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023" w:rsidRDefault="000E4DF2" w:rsidP="00EE6023">
      <w:pPr>
        <w:spacing w:after="0" w:line="240" w:lineRule="auto"/>
        <w:jc w:val="center"/>
        <w:rPr>
          <w:rFonts w:ascii="Arial" w:hAnsi="Arial" w:cs="Arial"/>
          <w:sz w:val="24"/>
          <w:szCs w:val="24"/>
        </w:rPr>
      </w:pPr>
      <w:r w:rsidRPr="00520667">
        <w:rPr>
          <w:b/>
          <w:noProof/>
          <w:lang w:eastAsia="pt-BR"/>
        </w:rPr>
        <w:drawing>
          <wp:anchor distT="0" distB="0" distL="114300" distR="114300" simplePos="0" relativeHeight="251659264" behindDoc="1" locked="0" layoutInCell="1" allowOverlap="1" wp14:anchorId="75A458F8" wp14:editId="3CF6261E">
            <wp:simplePos x="0" y="0"/>
            <wp:positionH relativeFrom="column">
              <wp:posOffset>1524000</wp:posOffset>
            </wp:positionH>
            <wp:positionV relativeFrom="paragraph">
              <wp:posOffset>-434975</wp:posOffset>
            </wp:positionV>
            <wp:extent cx="2786380" cy="669290"/>
            <wp:effectExtent l="0" t="0" r="0" b="0"/>
            <wp:wrapThrough wrapText="bothSides">
              <wp:wrapPolygon edited="0">
                <wp:start x="886" y="0"/>
                <wp:lineTo x="1034" y="9837"/>
                <wp:lineTo x="0" y="14140"/>
                <wp:lineTo x="0" y="20903"/>
                <wp:lineTo x="6055" y="20903"/>
                <wp:lineTo x="21413" y="19059"/>
                <wp:lineTo x="21413" y="2459"/>
                <wp:lineTo x="19641" y="1844"/>
                <wp:lineTo x="5169" y="0"/>
                <wp:lineTo x="886" y="0"/>
              </wp:wrapPolygon>
            </wp:wrapThrough>
            <wp:docPr id="1" name="Imagem 1" descr="https://www.bahiana.edu.br/revistamcc/hp/imagen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ahiana.edu.br/revistamcc/hp/imagens/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6380" cy="66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6023" w:rsidRDefault="00EE6023" w:rsidP="00EE6023">
      <w:pPr>
        <w:spacing w:after="0" w:line="240" w:lineRule="auto"/>
        <w:jc w:val="center"/>
        <w:rPr>
          <w:rFonts w:ascii="Arial" w:hAnsi="Arial" w:cs="Arial"/>
          <w:sz w:val="24"/>
          <w:szCs w:val="24"/>
        </w:rPr>
      </w:pPr>
    </w:p>
    <w:p w:rsidR="00EE6023" w:rsidRDefault="00EE6023" w:rsidP="000E4DF2">
      <w:pPr>
        <w:spacing w:after="0" w:line="240" w:lineRule="auto"/>
        <w:jc w:val="both"/>
        <w:rPr>
          <w:rFonts w:ascii="Arial" w:hAnsi="Arial" w:cs="Arial"/>
          <w:sz w:val="24"/>
          <w:szCs w:val="24"/>
        </w:rPr>
      </w:pPr>
    </w:p>
    <w:p w:rsidR="00EE6023" w:rsidRPr="00092BF5" w:rsidRDefault="00EE6023" w:rsidP="00EE6023">
      <w:pPr>
        <w:spacing w:after="0" w:line="360" w:lineRule="auto"/>
        <w:jc w:val="center"/>
        <w:rPr>
          <w:rFonts w:ascii="Arial" w:hAnsi="Arial" w:cs="Arial"/>
          <w:b/>
          <w:sz w:val="24"/>
          <w:szCs w:val="24"/>
        </w:rPr>
      </w:pPr>
      <w:r w:rsidRPr="00092BF5">
        <w:rPr>
          <w:rFonts w:ascii="Arial" w:hAnsi="Arial" w:cs="Arial"/>
          <w:b/>
          <w:sz w:val="24"/>
          <w:szCs w:val="24"/>
        </w:rPr>
        <w:t>ESCOLA BAHIANA DE MEDICINA E SAÚDE PÚBLICA</w:t>
      </w:r>
    </w:p>
    <w:p w:rsidR="00EE6023" w:rsidRPr="00F207D7" w:rsidRDefault="00EE6023" w:rsidP="00EE6023">
      <w:pPr>
        <w:spacing w:after="0" w:line="360" w:lineRule="auto"/>
        <w:jc w:val="center"/>
        <w:rPr>
          <w:rFonts w:ascii="Arial" w:hAnsi="Arial" w:cs="Arial"/>
          <w:sz w:val="24"/>
          <w:szCs w:val="24"/>
        </w:rPr>
      </w:pPr>
      <w:r w:rsidRPr="00092BF5">
        <w:rPr>
          <w:rFonts w:ascii="Arial" w:hAnsi="Arial" w:cs="Arial"/>
          <w:b/>
          <w:sz w:val="24"/>
          <w:szCs w:val="24"/>
        </w:rPr>
        <w:t>PROGRAMA DE PÓS-GRADUAÇÃO EM TECNOLOGIAS EM SAÚDE</w:t>
      </w:r>
    </w:p>
    <w:p w:rsidR="00503903" w:rsidRDefault="00503903" w:rsidP="000E4DF2">
      <w:pPr>
        <w:spacing w:after="0" w:line="240" w:lineRule="auto"/>
        <w:jc w:val="center"/>
        <w:rPr>
          <w:rFonts w:ascii="Arial" w:hAnsi="Arial" w:cs="Arial"/>
          <w:sz w:val="24"/>
          <w:szCs w:val="24"/>
        </w:rPr>
      </w:pPr>
    </w:p>
    <w:p w:rsidR="00324041" w:rsidRDefault="00324041" w:rsidP="000E4DF2">
      <w:pPr>
        <w:spacing w:after="0" w:line="240" w:lineRule="auto"/>
        <w:jc w:val="center"/>
        <w:rPr>
          <w:rFonts w:ascii="Arial" w:hAnsi="Arial" w:cs="Arial"/>
          <w:sz w:val="24"/>
          <w:szCs w:val="24"/>
        </w:rPr>
      </w:pPr>
    </w:p>
    <w:p w:rsidR="00324041" w:rsidRPr="00F207D7" w:rsidRDefault="00324041" w:rsidP="000E4DF2">
      <w:pPr>
        <w:spacing w:after="0" w:line="240" w:lineRule="auto"/>
        <w:jc w:val="center"/>
        <w:rPr>
          <w:rFonts w:ascii="Arial" w:hAnsi="Arial" w:cs="Arial"/>
          <w:sz w:val="24"/>
          <w:szCs w:val="24"/>
        </w:rPr>
      </w:pPr>
    </w:p>
    <w:p w:rsidR="00EE6023" w:rsidRPr="00092BF5" w:rsidRDefault="00EE6023" w:rsidP="00EE6023">
      <w:pPr>
        <w:spacing w:after="0" w:line="360" w:lineRule="auto"/>
        <w:jc w:val="center"/>
        <w:rPr>
          <w:rFonts w:ascii="Arial" w:hAnsi="Arial" w:cs="Arial"/>
          <w:b/>
          <w:sz w:val="24"/>
        </w:rPr>
      </w:pPr>
      <w:r w:rsidRPr="00092BF5">
        <w:rPr>
          <w:rFonts w:ascii="Arial" w:hAnsi="Arial" w:cs="Arial"/>
          <w:b/>
          <w:sz w:val="24"/>
          <w:szCs w:val="24"/>
        </w:rPr>
        <w:t>PALOMA SILVA LOPES</w:t>
      </w:r>
    </w:p>
    <w:p w:rsidR="002A74CF" w:rsidRDefault="002A74CF" w:rsidP="000E4DF2">
      <w:pPr>
        <w:spacing w:after="0" w:line="240" w:lineRule="auto"/>
        <w:jc w:val="both"/>
        <w:rPr>
          <w:rFonts w:ascii="Arial" w:hAnsi="Arial" w:cs="Arial"/>
          <w:sz w:val="24"/>
        </w:rPr>
      </w:pPr>
    </w:p>
    <w:p w:rsidR="00503903" w:rsidRDefault="00503903" w:rsidP="000E4DF2">
      <w:pPr>
        <w:spacing w:after="0" w:line="240" w:lineRule="auto"/>
        <w:jc w:val="both"/>
        <w:rPr>
          <w:rFonts w:ascii="Arial" w:hAnsi="Arial" w:cs="Arial"/>
          <w:sz w:val="24"/>
        </w:rPr>
      </w:pPr>
    </w:p>
    <w:p w:rsidR="00503903" w:rsidRDefault="00503903"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503903" w:rsidRDefault="00503903" w:rsidP="000E4DF2">
      <w:pPr>
        <w:spacing w:after="0" w:line="240" w:lineRule="auto"/>
        <w:jc w:val="both"/>
        <w:rPr>
          <w:rFonts w:ascii="Arial" w:hAnsi="Arial" w:cs="Arial"/>
          <w:sz w:val="24"/>
        </w:rPr>
      </w:pPr>
    </w:p>
    <w:p w:rsidR="00503903" w:rsidRDefault="00503903" w:rsidP="000E4DF2">
      <w:pPr>
        <w:spacing w:after="0" w:line="240" w:lineRule="auto"/>
        <w:jc w:val="both"/>
        <w:rPr>
          <w:rFonts w:ascii="Arial" w:hAnsi="Arial" w:cs="Arial"/>
          <w:sz w:val="24"/>
        </w:rPr>
      </w:pPr>
    </w:p>
    <w:p w:rsidR="00503903" w:rsidRDefault="00503903" w:rsidP="000E4DF2">
      <w:pPr>
        <w:spacing w:after="0" w:line="240" w:lineRule="auto"/>
        <w:jc w:val="both"/>
        <w:rPr>
          <w:rFonts w:ascii="Arial" w:hAnsi="Arial" w:cs="Arial"/>
          <w:sz w:val="24"/>
        </w:rPr>
      </w:pPr>
    </w:p>
    <w:p w:rsidR="00503903" w:rsidRDefault="00503903" w:rsidP="000E4DF2">
      <w:pPr>
        <w:spacing w:after="0" w:line="240" w:lineRule="auto"/>
        <w:jc w:val="both"/>
        <w:rPr>
          <w:rFonts w:ascii="Arial" w:hAnsi="Arial" w:cs="Arial"/>
          <w:sz w:val="24"/>
        </w:rPr>
      </w:pPr>
    </w:p>
    <w:p w:rsidR="00503903" w:rsidRDefault="00503903"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503903" w:rsidRPr="00503903" w:rsidRDefault="00503903" w:rsidP="00503903">
      <w:pPr>
        <w:spacing w:after="0" w:line="360" w:lineRule="auto"/>
        <w:jc w:val="center"/>
        <w:rPr>
          <w:rFonts w:ascii="Arial" w:hAnsi="Arial" w:cs="Arial"/>
          <w:b/>
          <w:sz w:val="24"/>
        </w:rPr>
      </w:pPr>
      <w:r w:rsidRPr="00503903">
        <w:rPr>
          <w:rFonts w:ascii="Arial" w:hAnsi="Arial" w:cs="Arial"/>
          <w:b/>
          <w:sz w:val="24"/>
        </w:rPr>
        <w:t>INDEPENDÊNCIA FUNCIONAL E QUALIDADE DE VIDA DE PACIENTES COM MUCOPOLISSACARIDOSE</w:t>
      </w:r>
      <w:r w:rsidR="00A15D50">
        <w:rPr>
          <w:rFonts w:ascii="Arial" w:hAnsi="Arial" w:cs="Arial"/>
          <w:b/>
          <w:sz w:val="24"/>
        </w:rPr>
        <w:t>S</w:t>
      </w:r>
    </w:p>
    <w:p w:rsidR="00503903" w:rsidRDefault="00503903"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EE6023" w:rsidRDefault="00EE6023" w:rsidP="000E4DF2">
      <w:pPr>
        <w:spacing w:after="0" w:line="240" w:lineRule="auto"/>
        <w:jc w:val="both"/>
        <w:rPr>
          <w:rFonts w:ascii="Arial" w:hAnsi="Arial" w:cs="Arial"/>
          <w:sz w:val="24"/>
        </w:rPr>
      </w:pPr>
    </w:p>
    <w:p w:rsidR="00EE6023" w:rsidRPr="00092BF5" w:rsidRDefault="000E4DF2" w:rsidP="000E4DF2">
      <w:pPr>
        <w:spacing w:after="0" w:line="240" w:lineRule="auto"/>
        <w:jc w:val="center"/>
        <w:rPr>
          <w:rFonts w:ascii="Arial" w:hAnsi="Arial" w:cs="Arial"/>
          <w:b/>
          <w:sz w:val="24"/>
        </w:rPr>
      </w:pPr>
      <w:r w:rsidRPr="00092BF5">
        <w:rPr>
          <w:rFonts w:ascii="Arial" w:hAnsi="Arial" w:cs="Arial"/>
          <w:b/>
          <w:sz w:val="24"/>
        </w:rPr>
        <w:t>DISSERTAÇÃO DE MESTRADO</w:t>
      </w:r>
    </w:p>
    <w:p w:rsidR="00EE6023" w:rsidRDefault="00EE6023" w:rsidP="000E4DF2">
      <w:pPr>
        <w:spacing w:after="0" w:line="240" w:lineRule="auto"/>
        <w:jc w:val="both"/>
        <w:rPr>
          <w:rFonts w:ascii="Arial" w:hAnsi="Arial" w:cs="Arial"/>
          <w:sz w:val="24"/>
        </w:rPr>
      </w:pPr>
    </w:p>
    <w:p w:rsidR="00EE6023" w:rsidRDefault="00EE6023" w:rsidP="000E4DF2">
      <w:pPr>
        <w:spacing w:after="0" w:line="240" w:lineRule="auto"/>
        <w:jc w:val="both"/>
        <w:rPr>
          <w:rFonts w:ascii="Arial" w:hAnsi="Arial" w:cs="Arial"/>
          <w:sz w:val="24"/>
        </w:rPr>
      </w:pPr>
    </w:p>
    <w:p w:rsidR="00EE6023" w:rsidRDefault="00EE6023" w:rsidP="000E4DF2">
      <w:pPr>
        <w:spacing w:after="0" w:line="240" w:lineRule="auto"/>
        <w:jc w:val="both"/>
        <w:rPr>
          <w:rFonts w:ascii="Arial" w:hAnsi="Arial" w:cs="Arial"/>
          <w:sz w:val="24"/>
        </w:rPr>
      </w:pPr>
    </w:p>
    <w:p w:rsidR="00EE6023" w:rsidRDefault="00EE6023" w:rsidP="000E4DF2">
      <w:pPr>
        <w:spacing w:after="0" w:line="240" w:lineRule="auto"/>
        <w:jc w:val="both"/>
        <w:rPr>
          <w:rFonts w:ascii="Arial" w:hAnsi="Arial" w:cs="Arial"/>
          <w:sz w:val="24"/>
        </w:rPr>
      </w:pPr>
    </w:p>
    <w:p w:rsidR="00EE6023" w:rsidRDefault="00EE6023" w:rsidP="000E4DF2">
      <w:pPr>
        <w:spacing w:after="0" w:line="240" w:lineRule="auto"/>
        <w:jc w:val="both"/>
        <w:rPr>
          <w:rFonts w:ascii="Arial" w:hAnsi="Arial" w:cs="Arial"/>
          <w:sz w:val="24"/>
        </w:rPr>
      </w:pPr>
    </w:p>
    <w:p w:rsidR="00EE6023" w:rsidRDefault="00EE6023" w:rsidP="000E4DF2">
      <w:pPr>
        <w:spacing w:after="0" w:line="240" w:lineRule="auto"/>
        <w:jc w:val="both"/>
        <w:rPr>
          <w:rFonts w:ascii="Arial" w:hAnsi="Arial" w:cs="Arial"/>
          <w:sz w:val="24"/>
        </w:rPr>
      </w:pPr>
    </w:p>
    <w:p w:rsidR="00503903" w:rsidRDefault="00503903"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EE6023" w:rsidRDefault="00EE6023" w:rsidP="000E4DF2">
      <w:pPr>
        <w:spacing w:after="0" w:line="240" w:lineRule="auto"/>
        <w:jc w:val="both"/>
        <w:rPr>
          <w:rFonts w:ascii="Arial" w:hAnsi="Arial" w:cs="Arial"/>
          <w:sz w:val="24"/>
        </w:rPr>
      </w:pPr>
    </w:p>
    <w:p w:rsidR="00EE6023" w:rsidRPr="00092BF5" w:rsidRDefault="00503903" w:rsidP="000E4DF2">
      <w:pPr>
        <w:spacing w:after="0" w:line="240" w:lineRule="auto"/>
        <w:jc w:val="center"/>
        <w:rPr>
          <w:rFonts w:ascii="Arial" w:hAnsi="Arial" w:cs="Arial"/>
          <w:b/>
          <w:sz w:val="24"/>
        </w:rPr>
      </w:pPr>
      <w:r w:rsidRPr="00092BF5">
        <w:rPr>
          <w:rFonts w:ascii="Arial" w:hAnsi="Arial" w:cs="Arial"/>
          <w:b/>
          <w:sz w:val="24"/>
        </w:rPr>
        <w:t>S</w:t>
      </w:r>
      <w:r w:rsidR="000E4DF2" w:rsidRPr="00092BF5">
        <w:rPr>
          <w:rFonts w:ascii="Arial" w:hAnsi="Arial" w:cs="Arial"/>
          <w:b/>
          <w:sz w:val="24"/>
        </w:rPr>
        <w:t>alvador</w:t>
      </w:r>
    </w:p>
    <w:p w:rsidR="00503903" w:rsidRDefault="00503903" w:rsidP="000E4DF2">
      <w:pPr>
        <w:spacing w:after="0" w:line="240" w:lineRule="auto"/>
        <w:jc w:val="center"/>
        <w:rPr>
          <w:rFonts w:ascii="Arial" w:hAnsi="Arial" w:cs="Arial"/>
          <w:sz w:val="24"/>
        </w:rPr>
      </w:pPr>
      <w:r w:rsidRPr="00092BF5">
        <w:rPr>
          <w:rFonts w:ascii="Arial" w:hAnsi="Arial" w:cs="Arial"/>
          <w:b/>
          <w:sz w:val="24"/>
        </w:rPr>
        <w:t>201</w:t>
      </w:r>
      <w:r w:rsidR="0009555C">
        <w:rPr>
          <w:rFonts w:ascii="Arial" w:hAnsi="Arial" w:cs="Arial"/>
          <w:b/>
          <w:sz w:val="24"/>
        </w:rPr>
        <w:t>8</w:t>
      </w:r>
    </w:p>
    <w:p w:rsidR="00503903" w:rsidRDefault="00503903" w:rsidP="00503903">
      <w:pPr>
        <w:spacing w:after="0" w:line="240" w:lineRule="auto"/>
        <w:jc w:val="center"/>
        <w:rPr>
          <w:rFonts w:ascii="Arial" w:hAnsi="Arial" w:cs="Arial"/>
          <w:sz w:val="24"/>
        </w:rPr>
      </w:pPr>
    </w:p>
    <w:p w:rsidR="00503903" w:rsidRDefault="00503903" w:rsidP="00503903">
      <w:pPr>
        <w:spacing w:after="0" w:line="240" w:lineRule="auto"/>
        <w:jc w:val="center"/>
        <w:rPr>
          <w:rFonts w:ascii="Arial" w:hAnsi="Arial" w:cs="Arial"/>
          <w:sz w:val="24"/>
        </w:rPr>
      </w:pPr>
    </w:p>
    <w:p w:rsidR="00503903" w:rsidRDefault="00503903" w:rsidP="00503903">
      <w:pPr>
        <w:spacing w:after="0" w:line="240" w:lineRule="auto"/>
        <w:jc w:val="center"/>
        <w:rPr>
          <w:rFonts w:ascii="Arial" w:hAnsi="Arial" w:cs="Arial"/>
          <w:sz w:val="24"/>
        </w:rPr>
      </w:pPr>
    </w:p>
    <w:p w:rsidR="00EE6023" w:rsidRPr="00503903" w:rsidRDefault="00503903" w:rsidP="00503903">
      <w:pPr>
        <w:spacing w:after="0" w:line="360" w:lineRule="auto"/>
        <w:jc w:val="center"/>
        <w:rPr>
          <w:rFonts w:ascii="Arial" w:hAnsi="Arial" w:cs="Arial"/>
          <w:b/>
          <w:sz w:val="24"/>
        </w:rPr>
      </w:pPr>
      <w:r w:rsidRPr="00503903">
        <w:rPr>
          <w:rFonts w:ascii="Arial" w:hAnsi="Arial" w:cs="Arial"/>
          <w:b/>
          <w:sz w:val="24"/>
        </w:rPr>
        <w:t>PALOMA SILVA LOPES</w:t>
      </w:r>
    </w:p>
    <w:p w:rsidR="00503903" w:rsidRDefault="00503903" w:rsidP="00503903">
      <w:pPr>
        <w:spacing w:after="0" w:line="240" w:lineRule="auto"/>
        <w:jc w:val="both"/>
        <w:rPr>
          <w:rFonts w:ascii="Arial" w:hAnsi="Arial" w:cs="Arial"/>
          <w:sz w:val="24"/>
        </w:rPr>
      </w:pPr>
    </w:p>
    <w:p w:rsidR="00503903" w:rsidRDefault="00503903" w:rsidP="00503903">
      <w:pPr>
        <w:spacing w:after="0" w:line="240" w:lineRule="auto"/>
        <w:jc w:val="both"/>
        <w:rPr>
          <w:rFonts w:ascii="Arial" w:hAnsi="Arial" w:cs="Arial"/>
          <w:sz w:val="24"/>
        </w:rPr>
      </w:pPr>
    </w:p>
    <w:p w:rsidR="00503903" w:rsidRDefault="00503903" w:rsidP="00503903">
      <w:pPr>
        <w:spacing w:after="0" w:line="240" w:lineRule="auto"/>
        <w:jc w:val="both"/>
        <w:rPr>
          <w:rFonts w:ascii="Arial" w:hAnsi="Arial" w:cs="Arial"/>
          <w:sz w:val="24"/>
        </w:rPr>
      </w:pPr>
    </w:p>
    <w:p w:rsidR="00503903" w:rsidRDefault="00503903" w:rsidP="00503903">
      <w:pPr>
        <w:spacing w:after="0" w:line="240" w:lineRule="auto"/>
        <w:jc w:val="both"/>
        <w:rPr>
          <w:rFonts w:ascii="Arial" w:hAnsi="Arial" w:cs="Arial"/>
          <w:sz w:val="24"/>
        </w:rPr>
      </w:pPr>
    </w:p>
    <w:p w:rsidR="00503903" w:rsidRDefault="00503903" w:rsidP="00503903">
      <w:pPr>
        <w:spacing w:after="0" w:line="240" w:lineRule="auto"/>
        <w:jc w:val="both"/>
        <w:rPr>
          <w:rFonts w:ascii="Arial" w:hAnsi="Arial" w:cs="Arial"/>
          <w:sz w:val="24"/>
        </w:rPr>
      </w:pPr>
    </w:p>
    <w:p w:rsidR="00503903" w:rsidRDefault="00503903" w:rsidP="00503903">
      <w:pPr>
        <w:spacing w:after="0" w:line="240" w:lineRule="auto"/>
        <w:jc w:val="both"/>
        <w:rPr>
          <w:rFonts w:ascii="Arial" w:hAnsi="Arial" w:cs="Arial"/>
          <w:sz w:val="24"/>
        </w:rPr>
      </w:pPr>
    </w:p>
    <w:p w:rsidR="00503903" w:rsidRDefault="00503903" w:rsidP="00503903">
      <w:pPr>
        <w:spacing w:after="0" w:line="240" w:lineRule="auto"/>
        <w:jc w:val="both"/>
        <w:rPr>
          <w:rFonts w:ascii="Arial" w:hAnsi="Arial" w:cs="Arial"/>
          <w:sz w:val="24"/>
        </w:rPr>
      </w:pPr>
    </w:p>
    <w:p w:rsidR="00503903" w:rsidRDefault="00503903" w:rsidP="00503903">
      <w:pPr>
        <w:spacing w:after="0" w:line="240" w:lineRule="auto"/>
        <w:jc w:val="both"/>
        <w:rPr>
          <w:rFonts w:ascii="Arial" w:hAnsi="Arial" w:cs="Arial"/>
          <w:sz w:val="24"/>
        </w:rPr>
      </w:pPr>
    </w:p>
    <w:p w:rsidR="00503903" w:rsidRDefault="00503903" w:rsidP="00503903">
      <w:pPr>
        <w:spacing w:after="0" w:line="240" w:lineRule="auto"/>
        <w:jc w:val="both"/>
        <w:rPr>
          <w:rFonts w:ascii="Arial" w:hAnsi="Arial" w:cs="Arial"/>
          <w:sz w:val="24"/>
        </w:rPr>
      </w:pPr>
    </w:p>
    <w:p w:rsidR="00503903" w:rsidRDefault="00503903" w:rsidP="00503903">
      <w:pPr>
        <w:spacing w:after="0" w:line="240" w:lineRule="auto"/>
        <w:jc w:val="both"/>
        <w:rPr>
          <w:rFonts w:ascii="Arial" w:hAnsi="Arial" w:cs="Arial"/>
          <w:sz w:val="24"/>
        </w:rPr>
      </w:pPr>
    </w:p>
    <w:p w:rsidR="00503903" w:rsidRDefault="00503903" w:rsidP="00503903">
      <w:pPr>
        <w:spacing w:after="0" w:line="240" w:lineRule="auto"/>
        <w:jc w:val="both"/>
        <w:rPr>
          <w:rFonts w:ascii="Arial" w:hAnsi="Arial" w:cs="Arial"/>
          <w:sz w:val="24"/>
        </w:rPr>
      </w:pPr>
    </w:p>
    <w:p w:rsidR="00503903" w:rsidRDefault="00503903" w:rsidP="00503903">
      <w:pPr>
        <w:spacing w:after="0" w:line="240" w:lineRule="auto"/>
        <w:jc w:val="both"/>
        <w:rPr>
          <w:rFonts w:ascii="Arial" w:hAnsi="Arial" w:cs="Arial"/>
          <w:sz w:val="24"/>
        </w:rPr>
      </w:pPr>
    </w:p>
    <w:p w:rsidR="00503903" w:rsidRDefault="00503903" w:rsidP="00503903">
      <w:pPr>
        <w:spacing w:after="0" w:line="240" w:lineRule="auto"/>
        <w:jc w:val="both"/>
        <w:rPr>
          <w:rFonts w:ascii="Arial" w:hAnsi="Arial" w:cs="Arial"/>
          <w:sz w:val="24"/>
        </w:rPr>
      </w:pPr>
    </w:p>
    <w:p w:rsidR="00503903" w:rsidRPr="00503903" w:rsidRDefault="00503903" w:rsidP="00503903">
      <w:pPr>
        <w:spacing w:after="0" w:line="360" w:lineRule="auto"/>
        <w:jc w:val="center"/>
        <w:rPr>
          <w:rFonts w:ascii="Arial" w:hAnsi="Arial" w:cs="Arial"/>
          <w:b/>
          <w:sz w:val="24"/>
        </w:rPr>
      </w:pPr>
      <w:r w:rsidRPr="00503903">
        <w:rPr>
          <w:rFonts w:ascii="Arial" w:hAnsi="Arial" w:cs="Arial"/>
          <w:b/>
          <w:sz w:val="24"/>
        </w:rPr>
        <w:t>INDEPENDÊNCIA FUNCIONAL E QUALIDADE DE VIDA DE PACIENTES COM MUCOPOLISSACARIDOSE</w:t>
      </w:r>
      <w:r w:rsidR="00A15D50">
        <w:rPr>
          <w:rFonts w:ascii="Arial" w:hAnsi="Arial" w:cs="Arial"/>
          <w:b/>
          <w:sz w:val="24"/>
        </w:rPr>
        <w:t>S</w:t>
      </w:r>
    </w:p>
    <w:p w:rsidR="00503903" w:rsidRDefault="00503903" w:rsidP="00503903">
      <w:pPr>
        <w:spacing w:after="0" w:line="240" w:lineRule="auto"/>
        <w:jc w:val="both"/>
        <w:rPr>
          <w:rFonts w:ascii="Arial" w:hAnsi="Arial" w:cs="Arial"/>
          <w:sz w:val="24"/>
        </w:rPr>
      </w:pPr>
    </w:p>
    <w:p w:rsidR="00503903" w:rsidRDefault="00503903" w:rsidP="00503903">
      <w:pPr>
        <w:spacing w:after="0" w:line="240" w:lineRule="auto"/>
        <w:jc w:val="both"/>
        <w:rPr>
          <w:rFonts w:ascii="Arial" w:hAnsi="Arial" w:cs="Arial"/>
          <w:sz w:val="24"/>
        </w:rPr>
      </w:pPr>
    </w:p>
    <w:p w:rsidR="00503903" w:rsidRDefault="00503903" w:rsidP="00503903">
      <w:pPr>
        <w:spacing w:after="0" w:line="240" w:lineRule="auto"/>
        <w:jc w:val="both"/>
        <w:rPr>
          <w:rFonts w:ascii="Arial" w:hAnsi="Arial" w:cs="Arial"/>
          <w:sz w:val="24"/>
        </w:rPr>
      </w:pPr>
    </w:p>
    <w:p w:rsidR="00503903" w:rsidRDefault="00503903" w:rsidP="00503903">
      <w:pPr>
        <w:spacing w:after="0" w:line="240" w:lineRule="auto"/>
        <w:jc w:val="both"/>
        <w:rPr>
          <w:rFonts w:ascii="Arial" w:hAnsi="Arial" w:cs="Arial"/>
          <w:sz w:val="24"/>
        </w:rPr>
      </w:pPr>
    </w:p>
    <w:p w:rsidR="00503903" w:rsidRDefault="00503903" w:rsidP="00503903">
      <w:pPr>
        <w:spacing w:after="0" w:line="240" w:lineRule="auto"/>
        <w:jc w:val="both"/>
        <w:rPr>
          <w:rFonts w:ascii="Arial" w:hAnsi="Arial" w:cs="Arial"/>
          <w:sz w:val="24"/>
        </w:rPr>
      </w:pPr>
    </w:p>
    <w:p w:rsidR="00503903" w:rsidRDefault="00503903" w:rsidP="00503903">
      <w:pPr>
        <w:spacing w:after="0" w:line="240" w:lineRule="auto"/>
        <w:jc w:val="both"/>
        <w:rPr>
          <w:rFonts w:ascii="Arial" w:hAnsi="Arial" w:cs="Arial"/>
          <w:sz w:val="24"/>
        </w:rPr>
      </w:pPr>
    </w:p>
    <w:p w:rsidR="00503903" w:rsidRDefault="00503903" w:rsidP="00503903">
      <w:pPr>
        <w:spacing w:after="0" w:line="240" w:lineRule="auto"/>
        <w:jc w:val="both"/>
        <w:rPr>
          <w:rFonts w:ascii="Arial" w:hAnsi="Arial" w:cs="Arial"/>
          <w:sz w:val="24"/>
        </w:rPr>
      </w:pPr>
    </w:p>
    <w:p w:rsidR="000E4DF2" w:rsidRDefault="00503903" w:rsidP="000E4DF2">
      <w:pPr>
        <w:spacing w:after="0" w:line="240" w:lineRule="auto"/>
        <w:ind w:left="4536"/>
        <w:jc w:val="both"/>
        <w:rPr>
          <w:rFonts w:ascii="Arial" w:hAnsi="Arial" w:cs="Arial"/>
          <w:sz w:val="24"/>
        </w:rPr>
      </w:pPr>
      <w:r>
        <w:rPr>
          <w:rFonts w:ascii="Arial" w:hAnsi="Arial" w:cs="Arial"/>
          <w:sz w:val="24"/>
        </w:rPr>
        <w:t>Dissertação apresentada ao Programa de Pós-graduação Stricto Sensu em Tecnologias em Saúde da Escola Bahiana de Medicina e Saúde Pública</w:t>
      </w:r>
      <w:r w:rsidR="003124E4">
        <w:rPr>
          <w:rFonts w:ascii="Arial" w:hAnsi="Arial" w:cs="Arial"/>
          <w:sz w:val="24"/>
        </w:rPr>
        <w:t>,</w:t>
      </w:r>
      <w:r>
        <w:rPr>
          <w:rFonts w:ascii="Arial" w:hAnsi="Arial" w:cs="Arial"/>
          <w:sz w:val="24"/>
        </w:rPr>
        <w:t xml:space="preserve"> como requisito parcial para obtenção do Título de Mestre em Tecnologias em Saúde</w:t>
      </w:r>
      <w:r w:rsidR="000E4DF2">
        <w:rPr>
          <w:rFonts w:ascii="Arial" w:hAnsi="Arial" w:cs="Arial"/>
          <w:sz w:val="24"/>
        </w:rPr>
        <w:t>.</w:t>
      </w:r>
    </w:p>
    <w:p w:rsidR="000E4DF2" w:rsidRDefault="000E4DF2" w:rsidP="000E4DF2">
      <w:pPr>
        <w:spacing w:after="0" w:line="240" w:lineRule="auto"/>
        <w:ind w:left="4536"/>
        <w:jc w:val="both"/>
        <w:rPr>
          <w:rFonts w:ascii="Arial" w:hAnsi="Arial" w:cs="Arial"/>
          <w:sz w:val="24"/>
        </w:rPr>
      </w:pPr>
    </w:p>
    <w:p w:rsidR="000E4DF2" w:rsidRDefault="000E4DF2" w:rsidP="000E4DF2">
      <w:pPr>
        <w:spacing w:after="0" w:line="240" w:lineRule="auto"/>
        <w:ind w:left="4536"/>
        <w:jc w:val="both"/>
        <w:rPr>
          <w:rFonts w:ascii="Arial" w:hAnsi="Arial" w:cs="Arial"/>
          <w:sz w:val="24"/>
        </w:rPr>
      </w:pPr>
      <w:r>
        <w:rPr>
          <w:rFonts w:ascii="Arial" w:hAnsi="Arial" w:cs="Arial"/>
          <w:sz w:val="24"/>
        </w:rPr>
        <w:t>Orientador: Prof</w:t>
      </w:r>
      <w:r w:rsidR="007F07CD">
        <w:rPr>
          <w:rFonts w:ascii="Arial" w:hAnsi="Arial" w:cs="Arial"/>
          <w:sz w:val="24"/>
        </w:rPr>
        <w:t>. Dr</w:t>
      </w:r>
      <w:r>
        <w:rPr>
          <w:rFonts w:ascii="Arial" w:hAnsi="Arial" w:cs="Arial"/>
          <w:sz w:val="24"/>
        </w:rPr>
        <w:t>. Marcos Antônio Almeida Matos.</w:t>
      </w:r>
    </w:p>
    <w:p w:rsidR="00503903" w:rsidRDefault="00503903"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Default="000E4DF2" w:rsidP="000E4DF2">
      <w:pPr>
        <w:spacing w:after="0" w:line="240" w:lineRule="auto"/>
        <w:jc w:val="both"/>
        <w:rPr>
          <w:rFonts w:ascii="Arial" w:hAnsi="Arial" w:cs="Arial"/>
          <w:sz w:val="24"/>
        </w:rPr>
      </w:pPr>
    </w:p>
    <w:p w:rsidR="000E4DF2" w:rsidRPr="000E4DF2" w:rsidRDefault="000E4DF2" w:rsidP="000E4DF2">
      <w:pPr>
        <w:spacing w:after="0" w:line="240" w:lineRule="auto"/>
        <w:jc w:val="center"/>
        <w:rPr>
          <w:rFonts w:ascii="Arial" w:hAnsi="Arial" w:cs="Arial"/>
          <w:b/>
          <w:sz w:val="24"/>
        </w:rPr>
      </w:pPr>
      <w:r w:rsidRPr="000E4DF2">
        <w:rPr>
          <w:rFonts w:ascii="Arial" w:hAnsi="Arial" w:cs="Arial"/>
          <w:b/>
          <w:sz w:val="24"/>
        </w:rPr>
        <w:t>Salvador</w:t>
      </w:r>
    </w:p>
    <w:p w:rsidR="00802083" w:rsidRDefault="000E4DF2" w:rsidP="000E4DF2">
      <w:pPr>
        <w:spacing w:after="0" w:line="240" w:lineRule="auto"/>
        <w:jc w:val="center"/>
        <w:rPr>
          <w:rFonts w:ascii="Arial" w:hAnsi="Arial" w:cs="Arial"/>
          <w:b/>
          <w:sz w:val="24"/>
        </w:rPr>
      </w:pPr>
      <w:r w:rsidRPr="000E4DF2">
        <w:rPr>
          <w:rFonts w:ascii="Arial" w:hAnsi="Arial" w:cs="Arial"/>
          <w:b/>
          <w:sz w:val="24"/>
        </w:rPr>
        <w:t>201</w:t>
      </w:r>
      <w:r w:rsidR="0009555C">
        <w:rPr>
          <w:rFonts w:ascii="Arial" w:hAnsi="Arial" w:cs="Arial"/>
          <w:b/>
          <w:sz w:val="24"/>
        </w:rPr>
        <w:t>8</w:t>
      </w:r>
    </w:p>
    <w:p w:rsidR="00802083" w:rsidRDefault="00C45DD1">
      <w:pPr>
        <w:rPr>
          <w:rFonts w:ascii="Arial" w:hAnsi="Arial" w:cs="Arial"/>
          <w:b/>
          <w:sz w:val="24"/>
        </w:rPr>
      </w:pPr>
      <w:r>
        <w:rPr>
          <w:rFonts w:ascii="Arial" w:hAnsi="Arial" w:cs="Arial"/>
          <w:noProof/>
          <w:sz w:val="24"/>
          <w:lang w:eastAsia="pt-BR"/>
        </w:rPr>
        <w:lastRenderedPageBreak/>
        <w:drawing>
          <wp:anchor distT="0" distB="0" distL="114300" distR="114300" simplePos="0" relativeHeight="251795456" behindDoc="1" locked="0" layoutInCell="1" allowOverlap="1" wp14:anchorId="3C287FF3" wp14:editId="78C167CA">
            <wp:simplePos x="0" y="0"/>
            <wp:positionH relativeFrom="column">
              <wp:posOffset>-22860</wp:posOffset>
            </wp:positionH>
            <wp:positionV relativeFrom="paragraph">
              <wp:posOffset>4455160</wp:posOffset>
            </wp:positionV>
            <wp:extent cx="6086475" cy="3941445"/>
            <wp:effectExtent l="0" t="0" r="9525" b="1905"/>
            <wp:wrapThrough wrapText="bothSides">
              <wp:wrapPolygon edited="0">
                <wp:start x="0" y="0"/>
                <wp:lineTo x="0" y="21506"/>
                <wp:lineTo x="21566" y="21506"/>
                <wp:lineTo x="21566" y="0"/>
                <wp:lineTo x="0" y="0"/>
              </wp:wrapPolygon>
            </wp:wrapThrough>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394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083">
        <w:rPr>
          <w:rFonts w:ascii="Arial" w:hAnsi="Arial" w:cs="Arial"/>
          <w:b/>
          <w:sz w:val="24"/>
        </w:rPr>
        <w:br w:type="page"/>
      </w:r>
    </w:p>
    <w:p w:rsidR="007B38A6" w:rsidRDefault="008A37C1" w:rsidP="007B38A6">
      <w:pPr>
        <w:spacing w:after="0" w:line="360" w:lineRule="auto"/>
        <w:jc w:val="center"/>
        <w:rPr>
          <w:rFonts w:ascii="Arial" w:hAnsi="Arial" w:cs="Arial"/>
          <w:sz w:val="24"/>
        </w:rPr>
      </w:pPr>
      <w:r>
        <w:rPr>
          <w:noProof/>
          <w:lang w:eastAsia="pt-BR"/>
        </w:rPr>
        <w:lastRenderedPageBreak/>
        <w:drawing>
          <wp:anchor distT="0" distB="0" distL="114300" distR="114300" simplePos="0" relativeHeight="251793408" behindDoc="1" locked="0" layoutInCell="1" allowOverlap="1" wp14:anchorId="27334582" wp14:editId="74FE56B4">
            <wp:simplePos x="0" y="0"/>
            <wp:positionH relativeFrom="column">
              <wp:posOffset>-537210</wp:posOffset>
            </wp:positionH>
            <wp:positionV relativeFrom="paragraph">
              <wp:posOffset>-427355</wp:posOffset>
            </wp:positionV>
            <wp:extent cx="6480810" cy="9182100"/>
            <wp:effectExtent l="0" t="0" r="0" b="0"/>
            <wp:wrapThrough wrapText="bothSides">
              <wp:wrapPolygon edited="0">
                <wp:start x="0" y="0"/>
                <wp:lineTo x="0" y="21555"/>
                <wp:lineTo x="21524" y="21555"/>
                <wp:lineTo x="21524" y="0"/>
                <wp:lineTo x="0" y="0"/>
              </wp:wrapPolygon>
            </wp:wrapThrough>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810" cy="918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426FCF" w:rsidRDefault="00426FCF" w:rsidP="00BC16C0">
      <w:pPr>
        <w:spacing w:after="0" w:line="360" w:lineRule="auto"/>
        <w:jc w:val="both"/>
        <w:rPr>
          <w:rFonts w:ascii="Arial" w:hAnsi="Arial" w:cs="Arial"/>
          <w:sz w:val="24"/>
        </w:rPr>
      </w:pPr>
    </w:p>
    <w:p w:rsidR="00426FCF" w:rsidRDefault="00426FCF" w:rsidP="00BC16C0">
      <w:pPr>
        <w:spacing w:after="0" w:line="360" w:lineRule="auto"/>
        <w:jc w:val="both"/>
        <w:rPr>
          <w:rFonts w:ascii="Arial" w:hAnsi="Arial" w:cs="Arial"/>
          <w:sz w:val="24"/>
        </w:rPr>
      </w:pPr>
    </w:p>
    <w:p w:rsidR="00426FCF" w:rsidRDefault="00426FCF"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BC16C0" w:rsidP="00BC16C0">
      <w:pPr>
        <w:spacing w:after="0" w:line="360" w:lineRule="auto"/>
        <w:jc w:val="both"/>
        <w:rPr>
          <w:rFonts w:ascii="Arial" w:hAnsi="Arial" w:cs="Arial"/>
          <w:sz w:val="24"/>
        </w:rPr>
      </w:pPr>
    </w:p>
    <w:p w:rsidR="00BC16C0" w:rsidRDefault="00845167" w:rsidP="00BC16C0">
      <w:pPr>
        <w:spacing w:after="0" w:line="360" w:lineRule="auto"/>
        <w:ind w:left="4536"/>
        <w:jc w:val="both"/>
        <w:rPr>
          <w:rFonts w:ascii="Arial" w:hAnsi="Arial" w:cs="Arial"/>
          <w:sz w:val="24"/>
        </w:rPr>
      </w:pPr>
      <w:r>
        <w:rPr>
          <w:rFonts w:ascii="Arial" w:hAnsi="Arial" w:cs="Arial"/>
          <w:sz w:val="24"/>
        </w:rPr>
        <w:t>Dedico este trabalho àqueles que ressignificam a minha vida; que são a minha razão de ir e vir... e de permanecer; a minha  essência: Meus Pais.</w:t>
      </w:r>
    </w:p>
    <w:p w:rsidR="00BC16C0" w:rsidRDefault="00BC16C0" w:rsidP="00BC16C0">
      <w:pPr>
        <w:spacing w:after="0" w:line="360" w:lineRule="auto"/>
        <w:jc w:val="center"/>
        <w:rPr>
          <w:rFonts w:ascii="Arial" w:hAnsi="Arial" w:cs="Arial"/>
          <w:b/>
          <w:sz w:val="24"/>
        </w:rPr>
      </w:pPr>
      <w:r w:rsidRPr="00BC16C0">
        <w:rPr>
          <w:rFonts w:ascii="Arial" w:hAnsi="Arial" w:cs="Arial"/>
          <w:b/>
          <w:sz w:val="24"/>
        </w:rPr>
        <w:lastRenderedPageBreak/>
        <w:t>AGRADECIMENTOS</w:t>
      </w:r>
    </w:p>
    <w:p w:rsidR="00845167" w:rsidRDefault="00845167" w:rsidP="00845167">
      <w:pPr>
        <w:spacing w:after="0" w:line="360" w:lineRule="auto"/>
        <w:jc w:val="both"/>
        <w:rPr>
          <w:rFonts w:ascii="Arial" w:hAnsi="Arial" w:cs="Arial"/>
          <w:sz w:val="24"/>
        </w:rPr>
      </w:pPr>
    </w:p>
    <w:p w:rsidR="00845167" w:rsidRDefault="00845167" w:rsidP="00845167">
      <w:pPr>
        <w:spacing w:after="0" w:line="360" w:lineRule="auto"/>
        <w:jc w:val="both"/>
        <w:rPr>
          <w:rFonts w:ascii="Arial" w:hAnsi="Arial" w:cs="Arial"/>
          <w:sz w:val="24"/>
        </w:rPr>
      </w:pPr>
      <w:r>
        <w:rPr>
          <w:rFonts w:ascii="Arial" w:hAnsi="Arial" w:cs="Arial"/>
          <w:sz w:val="24"/>
        </w:rPr>
        <w:t>A Deus, quem conhece o meu assentar e o meu levantar; que, de longe, entende o meu pensamento. A Ti, Senhor, por mostrar-me, a todo instante, que “quando sou fraco, então, é que sou forte!”. Diante de Ti sou pequenina, mas</w:t>
      </w:r>
      <w:r w:rsidR="00BD4041">
        <w:rPr>
          <w:rFonts w:ascii="Arial" w:hAnsi="Arial" w:cs="Arial"/>
          <w:sz w:val="24"/>
        </w:rPr>
        <w:t xml:space="preserve"> contigo ao meu lado, sinto-me </w:t>
      </w:r>
      <w:r>
        <w:rPr>
          <w:rFonts w:ascii="Arial" w:hAnsi="Arial" w:cs="Arial"/>
          <w:sz w:val="24"/>
        </w:rPr>
        <w:t>gigante. Agradeço por tudo que sou e tudo que tenho!</w:t>
      </w:r>
    </w:p>
    <w:p w:rsidR="00845167" w:rsidRDefault="00845167" w:rsidP="00845167">
      <w:pPr>
        <w:spacing w:after="0" w:line="360" w:lineRule="auto"/>
        <w:jc w:val="both"/>
        <w:rPr>
          <w:rFonts w:ascii="Arial" w:hAnsi="Arial" w:cs="Arial"/>
          <w:sz w:val="24"/>
        </w:rPr>
      </w:pPr>
    </w:p>
    <w:p w:rsidR="00845167" w:rsidRDefault="00845167" w:rsidP="00845167">
      <w:pPr>
        <w:spacing w:after="0" w:line="360" w:lineRule="auto"/>
        <w:jc w:val="both"/>
        <w:rPr>
          <w:rFonts w:ascii="Arial" w:hAnsi="Arial" w:cs="Arial"/>
          <w:sz w:val="24"/>
        </w:rPr>
      </w:pPr>
      <w:r>
        <w:rPr>
          <w:rFonts w:ascii="Arial" w:hAnsi="Arial" w:cs="Arial"/>
          <w:sz w:val="24"/>
        </w:rPr>
        <w:t>Aos meus pais que, com muita humildade e esforço, me deram condições para trilhar a minha trajetória. A minha mãe, por toda sabedoria; por sua companhia durante muitas viagens, como forma de preservar a minha vida. Gratidão por sua força; por existir; por ser a minha mãe, minha amiga e por me ensinar que é preciso coragem para confiar. Com ela, sinto-me mais perto de Deus, pois é o meu maior exemplo de amor incondicional. Ao meu pai, minha lição diária de força; pelo amor que me concede; pelo incentivo; por me fazer entender que o caminho escolhido não estaria isento de dificuldades, mas que sou capaz de percorrê-lo; por me ensi</w:t>
      </w:r>
      <w:r w:rsidR="007349C4">
        <w:rPr>
          <w:rFonts w:ascii="Arial" w:hAnsi="Arial" w:cs="Arial"/>
          <w:sz w:val="24"/>
        </w:rPr>
        <w:t>nar a não reclamar, mas a lutar,</w:t>
      </w:r>
      <w:r>
        <w:rPr>
          <w:rFonts w:ascii="Arial" w:hAnsi="Arial" w:cs="Arial"/>
          <w:sz w:val="24"/>
        </w:rPr>
        <w:t xml:space="preserve"> porque, com o nosso Deus, somos fortes!</w:t>
      </w:r>
    </w:p>
    <w:p w:rsidR="00845167" w:rsidRDefault="00845167" w:rsidP="00845167">
      <w:pPr>
        <w:spacing w:after="0" w:line="360" w:lineRule="auto"/>
        <w:jc w:val="both"/>
        <w:rPr>
          <w:rFonts w:ascii="Arial" w:hAnsi="Arial" w:cs="Arial"/>
          <w:sz w:val="24"/>
        </w:rPr>
      </w:pPr>
    </w:p>
    <w:p w:rsidR="00845167" w:rsidRDefault="00845167" w:rsidP="00845167">
      <w:pPr>
        <w:spacing w:after="0" w:line="360" w:lineRule="auto"/>
        <w:jc w:val="both"/>
        <w:rPr>
          <w:rFonts w:ascii="Arial" w:hAnsi="Arial" w:cs="Arial"/>
          <w:sz w:val="24"/>
        </w:rPr>
      </w:pPr>
      <w:r w:rsidRPr="00101D36">
        <w:rPr>
          <w:rFonts w:ascii="Arial" w:hAnsi="Arial" w:cs="Arial"/>
          <w:sz w:val="24"/>
        </w:rPr>
        <w:t>Ao meu irmão, Murilo, por incentivar o meu aperfeiçoamento; por ser meu companheiro mesmo com as</w:t>
      </w:r>
      <w:r>
        <w:rPr>
          <w:rFonts w:ascii="Arial" w:hAnsi="Arial" w:cs="Arial"/>
          <w:sz w:val="24"/>
        </w:rPr>
        <w:t xml:space="preserve"> atribuições da </w:t>
      </w:r>
      <w:r w:rsidRPr="00101D36">
        <w:rPr>
          <w:rFonts w:ascii="Arial" w:hAnsi="Arial" w:cs="Arial"/>
          <w:sz w:val="24"/>
        </w:rPr>
        <w:t>“vida adulta”</w:t>
      </w:r>
      <w:r>
        <w:rPr>
          <w:rFonts w:ascii="Arial" w:hAnsi="Arial" w:cs="Arial"/>
          <w:sz w:val="24"/>
        </w:rPr>
        <w:t xml:space="preserve">, as quais nos exigem mais tempo e não permitem que tenhamos a mesma disponibilidade quando crianças; por seu amor, que independente da fase da vida, mas, em todas as circunstâncias, sempre me acompanha. </w:t>
      </w:r>
    </w:p>
    <w:p w:rsidR="00845167" w:rsidRDefault="00845167" w:rsidP="00845167">
      <w:pPr>
        <w:spacing w:after="0" w:line="360" w:lineRule="auto"/>
        <w:jc w:val="both"/>
        <w:rPr>
          <w:rFonts w:ascii="Arial" w:hAnsi="Arial" w:cs="Arial"/>
          <w:sz w:val="24"/>
        </w:rPr>
      </w:pPr>
    </w:p>
    <w:p w:rsidR="00845167" w:rsidRDefault="00845167" w:rsidP="00845167">
      <w:pPr>
        <w:spacing w:after="0" w:line="360" w:lineRule="auto"/>
        <w:jc w:val="both"/>
        <w:rPr>
          <w:rFonts w:ascii="Arial" w:hAnsi="Arial" w:cs="Arial"/>
          <w:sz w:val="24"/>
        </w:rPr>
      </w:pPr>
      <w:r>
        <w:rPr>
          <w:rFonts w:ascii="Arial" w:hAnsi="Arial" w:cs="Arial"/>
          <w:sz w:val="24"/>
        </w:rPr>
        <w:t>Ao meu namorado, Dimas Marcelo, por seu amor, paciência e zelo; por tentar compreender a minha ausência, mesmo sendo difícil aceitá-la; pelo incentivo e por confiar em mim, mais do que eu mesma; por me conceder equilíbrio, em momentos que eu não o tinha; por seu carinho</w:t>
      </w:r>
      <w:r w:rsidR="00BE0CFF">
        <w:rPr>
          <w:rFonts w:ascii="Arial" w:hAnsi="Arial" w:cs="Arial"/>
          <w:sz w:val="24"/>
        </w:rPr>
        <w:t>, cumplicidade</w:t>
      </w:r>
      <w:r>
        <w:rPr>
          <w:rFonts w:ascii="Arial" w:hAnsi="Arial" w:cs="Arial"/>
          <w:sz w:val="24"/>
        </w:rPr>
        <w:t xml:space="preserve"> e por sua presença indispensável à minha serenidade, em uma etapa importante da minha vida.</w:t>
      </w:r>
    </w:p>
    <w:p w:rsidR="00845167" w:rsidRDefault="00845167" w:rsidP="00845167">
      <w:pPr>
        <w:spacing w:after="0" w:line="360" w:lineRule="auto"/>
        <w:jc w:val="both"/>
        <w:rPr>
          <w:rFonts w:ascii="Arial" w:hAnsi="Arial" w:cs="Arial"/>
          <w:sz w:val="24"/>
        </w:rPr>
      </w:pPr>
    </w:p>
    <w:p w:rsidR="00845167" w:rsidRDefault="00845167" w:rsidP="00845167">
      <w:pPr>
        <w:spacing w:after="0" w:line="360" w:lineRule="auto"/>
        <w:jc w:val="both"/>
        <w:rPr>
          <w:rFonts w:ascii="Arial" w:hAnsi="Arial" w:cs="Arial"/>
          <w:sz w:val="24"/>
        </w:rPr>
      </w:pPr>
      <w:r>
        <w:rPr>
          <w:rFonts w:ascii="Arial" w:hAnsi="Arial" w:cs="Arial"/>
          <w:sz w:val="24"/>
        </w:rPr>
        <w:t xml:space="preserve">Ao Prof. Dr. Marcos Almeida, meu orientador, pela sabedoria e suporte na construção deste trabalho; por aceitar prontamente ao meu pedido de orientação; por compartilhar seus conhecimentos e experiências; pela confiança; por me estimular a enfrentar os desafios encontrados no caminho; e, principalmente, por sua força demonstrada em momentos difíceis, um dos motivos da minha admiração. </w:t>
      </w:r>
    </w:p>
    <w:p w:rsidR="00845167" w:rsidRDefault="00845167" w:rsidP="00845167">
      <w:pPr>
        <w:spacing w:after="0" w:line="360" w:lineRule="auto"/>
        <w:jc w:val="both"/>
        <w:rPr>
          <w:rFonts w:ascii="Arial" w:hAnsi="Arial" w:cs="Arial"/>
          <w:sz w:val="24"/>
        </w:rPr>
      </w:pPr>
      <w:r w:rsidRPr="0042247E">
        <w:rPr>
          <w:rFonts w:ascii="Arial" w:hAnsi="Arial" w:cs="Arial"/>
          <w:sz w:val="24"/>
        </w:rPr>
        <w:lastRenderedPageBreak/>
        <w:t>Ao Prof</w:t>
      </w:r>
      <w:r>
        <w:rPr>
          <w:rFonts w:ascii="Arial" w:hAnsi="Arial" w:cs="Arial"/>
          <w:sz w:val="24"/>
        </w:rPr>
        <w:t>.</w:t>
      </w:r>
      <w:r w:rsidRPr="0042247E">
        <w:rPr>
          <w:rFonts w:ascii="Arial" w:hAnsi="Arial" w:cs="Arial"/>
          <w:sz w:val="24"/>
        </w:rPr>
        <w:t xml:space="preserve"> Dr. Fabiano Silva, por</w:t>
      </w:r>
      <w:r>
        <w:rPr>
          <w:rFonts w:ascii="Arial" w:hAnsi="Arial" w:cs="Arial"/>
          <w:sz w:val="24"/>
        </w:rPr>
        <w:t xml:space="preserve"> todos os ensinamentos durante a minha formação e trajetória profissional, pelas contribuições, disponibilidade</w:t>
      </w:r>
      <w:r w:rsidR="00656272">
        <w:rPr>
          <w:rFonts w:ascii="Arial" w:hAnsi="Arial" w:cs="Arial"/>
          <w:sz w:val="24"/>
        </w:rPr>
        <w:t xml:space="preserve"> </w:t>
      </w:r>
      <w:r>
        <w:rPr>
          <w:rFonts w:ascii="Arial" w:hAnsi="Arial" w:cs="Arial"/>
          <w:sz w:val="24"/>
        </w:rPr>
        <w:t>e motivação ao meu crescimento.</w:t>
      </w:r>
    </w:p>
    <w:p w:rsidR="00845167" w:rsidRPr="00520BA8" w:rsidRDefault="00845167" w:rsidP="00845167">
      <w:pPr>
        <w:tabs>
          <w:tab w:val="left" w:pos="1390"/>
        </w:tabs>
        <w:spacing w:after="0" w:line="360" w:lineRule="auto"/>
        <w:jc w:val="both"/>
        <w:rPr>
          <w:rFonts w:ascii="Arial" w:hAnsi="Arial" w:cs="Arial"/>
          <w:sz w:val="24"/>
          <w:highlight w:val="yellow"/>
        </w:rPr>
      </w:pPr>
    </w:p>
    <w:p w:rsidR="00845167" w:rsidRPr="00A61269" w:rsidRDefault="00845167" w:rsidP="00845167">
      <w:pPr>
        <w:spacing w:after="0" w:line="360" w:lineRule="auto"/>
        <w:jc w:val="both"/>
        <w:rPr>
          <w:rFonts w:ascii="Arial" w:hAnsi="Arial" w:cs="Arial"/>
          <w:sz w:val="24"/>
        </w:rPr>
      </w:pPr>
      <w:r w:rsidRPr="00A61269">
        <w:rPr>
          <w:rFonts w:ascii="Arial" w:hAnsi="Arial" w:cs="Arial"/>
          <w:sz w:val="24"/>
        </w:rPr>
        <w:t>Ao Prof</w:t>
      </w:r>
      <w:r>
        <w:rPr>
          <w:rFonts w:ascii="Arial" w:hAnsi="Arial" w:cs="Arial"/>
          <w:sz w:val="24"/>
        </w:rPr>
        <w:t>.</w:t>
      </w:r>
      <w:r w:rsidRPr="00A61269">
        <w:rPr>
          <w:rFonts w:ascii="Arial" w:hAnsi="Arial" w:cs="Arial"/>
          <w:sz w:val="24"/>
        </w:rPr>
        <w:t xml:space="preserve"> Dr. Jefferson Petto, por participar e contribuir com </w:t>
      </w:r>
      <w:r w:rsidR="007E7B92">
        <w:rPr>
          <w:rFonts w:ascii="Arial" w:hAnsi="Arial" w:cs="Arial"/>
          <w:sz w:val="24"/>
        </w:rPr>
        <w:t>o meu processo formativo</w:t>
      </w:r>
      <w:r w:rsidRPr="00A61269">
        <w:rPr>
          <w:rFonts w:ascii="Arial" w:hAnsi="Arial" w:cs="Arial"/>
          <w:sz w:val="24"/>
        </w:rPr>
        <w:t xml:space="preserve"> desde a graduação</w:t>
      </w:r>
      <w:r w:rsidR="00415863">
        <w:rPr>
          <w:rFonts w:ascii="Arial" w:hAnsi="Arial" w:cs="Arial"/>
          <w:sz w:val="24"/>
        </w:rPr>
        <w:t>;</w:t>
      </w:r>
      <w:r w:rsidR="00DA1A46">
        <w:rPr>
          <w:rFonts w:ascii="Arial" w:hAnsi="Arial" w:cs="Arial"/>
          <w:sz w:val="24"/>
        </w:rPr>
        <w:t xml:space="preserve"> por sua disposição em ajudar</w:t>
      </w:r>
      <w:r w:rsidR="00656272">
        <w:rPr>
          <w:rFonts w:ascii="Arial" w:hAnsi="Arial" w:cs="Arial"/>
          <w:sz w:val="24"/>
        </w:rPr>
        <w:t>; solidariedade com minhas dúvidas</w:t>
      </w:r>
      <w:r w:rsidR="00DA1A46">
        <w:rPr>
          <w:rFonts w:ascii="Arial" w:hAnsi="Arial" w:cs="Arial"/>
          <w:sz w:val="24"/>
        </w:rPr>
        <w:t xml:space="preserve"> </w:t>
      </w:r>
      <w:r w:rsidRPr="00A61269">
        <w:rPr>
          <w:rFonts w:ascii="Arial" w:hAnsi="Arial" w:cs="Arial"/>
          <w:sz w:val="24"/>
        </w:rPr>
        <w:t xml:space="preserve">e por incentivar novas conquistas. </w:t>
      </w:r>
    </w:p>
    <w:p w:rsidR="00845167" w:rsidRDefault="00845167" w:rsidP="00845167">
      <w:pPr>
        <w:spacing w:after="0" w:line="360" w:lineRule="auto"/>
        <w:jc w:val="both"/>
        <w:rPr>
          <w:rFonts w:ascii="Arial" w:hAnsi="Arial" w:cs="Arial"/>
          <w:sz w:val="24"/>
          <w:highlight w:val="yellow"/>
        </w:rPr>
      </w:pPr>
    </w:p>
    <w:p w:rsidR="00845167" w:rsidRDefault="00845167" w:rsidP="00845167">
      <w:pPr>
        <w:spacing w:after="0" w:line="360" w:lineRule="auto"/>
        <w:jc w:val="both"/>
        <w:rPr>
          <w:rFonts w:ascii="Arial" w:hAnsi="Arial" w:cs="Arial"/>
          <w:sz w:val="24"/>
        </w:rPr>
      </w:pPr>
      <w:r>
        <w:rPr>
          <w:rFonts w:ascii="Arial" w:hAnsi="Arial" w:cs="Arial"/>
          <w:sz w:val="24"/>
        </w:rPr>
        <w:t xml:space="preserve">À Escola Bahiana de Medicina e Saúde Pública, corpo docente e funcionários. Meu afeto especial à Profª. Drª. Denise Matias; e aos colaboradores Bárbara, Denilson, Viviane, Pedro, Virgínia, Taise, Ione, Sr. Ademar, Sr. Edézio e Jeferson, pela cuidadosa receptividade e atenção disponibilizada; por marcarem de uma forma </w:t>
      </w:r>
      <w:r w:rsidR="00AC7869">
        <w:rPr>
          <w:rFonts w:ascii="Arial" w:hAnsi="Arial" w:cs="Arial"/>
          <w:sz w:val="24"/>
        </w:rPr>
        <w:t>sing</w:t>
      </w:r>
      <w:r>
        <w:rPr>
          <w:rFonts w:ascii="Arial" w:hAnsi="Arial" w:cs="Arial"/>
          <w:sz w:val="24"/>
        </w:rPr>
        <w:t xml:space="preserve">ular o meu caminho. E, também, a Léia Omena e Paloma, pela prestatividade. </w:t>
      </w:r>
    </w:p>
    <w:p w:rsidR="00845167" w:rsidRPr="00520BA8" w:rsidRDefault="00845167" w:rsidP="00845167">
      <w:pPr>
        <w:spacing w:after="0" w:line="360" w:lineRule="auto"/>
        <w:jc w:val="both"/>
        <w:rPr>
          <w:rFonts w:ascii="Arial" w:hAnsi="Arial" w:cs="Arial"/>
          <w:sz w:val="24"/>
          <w:highlight w:val="yellow"/>
        </w:rPr>
      </w:pPr>
    </w:p>
    <w:p w:rsidR="00845167" w:rsidRDefault="00845167" w:rsidP="00845167">
      <w:pPr>
        <w:spacing w:after="0" w:line="360" w:lineRule="auto"/>
        <w:jc w:val="both"/>
        <w:rPr>
          <w:rFonts w:ascii="Arial" w:hAnsi="Arial" w:cs="Arial"/>
          <w:sz w:val="24"/>
        </w:rPr>
      </w:pPr>
      <w:r>
        <w:rPr>
          <w:rFonts w:ascii="Arial" w:hAnsi="Arial" w:cs="Arial"/>
          <w:sz w:val="24"/>
        </w:rPr>
        <w:t>Aos amigos da Turma do Mestrado em Tecnologias em Saúde, 2016, co</w:t>
      </w:r>
      <w:r w:rsidR="00F30095">
        <w:rPr>
          <w:rFonts w:ascii="Arial" w:hAnsi="Arial" w:cs="Arial"/>
          <w:sz w:val="24"/>
        </w:rPr>
        <w:t>m os quais fui presenteada. Em especial</w:t>
      </w:r>
      <w:r>
        <w:rPr>
          <w:rFonts w:ascii="Arial" w:hAnsi="Arial" w:cs="Arial"/>
          <w:sz w:val="24"/>
        </w:rPr>
        <w:t xml:space="preserve"> </w:t>
      </w:r>
      <w:r w:rsidR="00DA1A46">
        <w:rPr>
          <w:rFonts w:ascii="Arial" w:hAnsi="Arial" w:cs="Arial"/>
          <w:sz w:val="24"/>
        </w:rPr>
        <w:t>a</w:t>
      </w:r>
      <w:r>
        <w:rPr>
          <w:rFonts w:ascii="Arial" w:hAnsi="Arial" w:cs="Arial"/>
          <w:sz w:val="24"/>
        </w:rPr>
        <w:t xml:space="preserve"> Luís Alfredo Gomez, Paulo Geambastiani, Cássia Caroline, Marcela Cavalcante, Nathalie Lino, </w:t>
      </w:r>
      <w:r w:rsidR="00F30095">
        <w:rPr>
          <w:rFonts w:ascii="Arial" w:hAnsi="Arial" w:cs="Arial"/>
          <w:sz w:val="24"/>
        </w:rPr>
        <w:t>Verena Souto, Rui,</w:t>
      </w:r>
      <w:r w:rsidR="00DA1A46">
        <w:rPr>
          <w:rFonts w:ascii="Arial" w:hAnsi="Arial" w:cs="Arial"/>
          <w:sz w:val="24"/>
        </w:rPr>
        <w:t xml:space="preserve"> João Filipe,</w:t>
      </w:r>
      <w:r w:rsidR="00F30095">
        <w:rPr>
          <w:rFonts w:ascii="Arial" w:hAnsi="Arial" w:cs="Arial"/>
          <w:sz w:val="24"/>
        </w:rPr>
        <w:t xml:space="preserve"> Maria Clara e Paula,</w:t>
      </w:r>
      <w:r>
        <w:rPr>
          <w:rFonts w:ascii="Arial" w:hAnsi="Arial" w:cs="Arial"/>
          <w:sz w:val="24"/>
        </w:rPr>
        <w:t xml:space="preserve"> pelas experiências repartidas e momentos</w:t>
      </w:r>
      <w:r w:rsidR="00F30095">
        <w:rPr>
          <w:rFonts w:ascii="Arial" w:hAnsi="Arial" w:cs="Arial"/>
          <w:sz w:val="24"/>
        </w:rPr>
        <w:t xml:space="preserve"> de descontração. E, em particular</w:t>
      </w:r>
      <w:r>
        <w:rPr>
          <w:rFonts w:ascii="Arial" w:hAnsi="Arial" w:cs="Arial"/>
          <w:sz w:val="24"/>
        </w:rPr>
        <w:t>, a Isabel Salviano, pelo carinho, companheirismo, confidências e por se tornar uma amiga, parceira da minha história de vida fora do contexto acadêmico.</w:t>
      </w:r>
    </w:p>
    <w:p w:rsidR="00845167" w:rsidRDefault="00845167" w:rsidP="00845167">
      <w:pPr>
        <w:spacing w:after="0" w:line="360" w:lineRule="auto"/>
        <w:jc w:val="both"/>
        <w:rPr>
          <w:rFonts w:ascii="Arial" w:hAnsi="Arial" w:cs="Arial"/>
          <w:sz w:val="24"/>
        </w:rPr>
      </w:pPr>
    </w:p>
    <w:p w:rsidR="00845167" w:rsidRDefault="00845167" w:rsidP="00845167">
      <w:pPr>
        <w:spacing w:after="0" w:line="360" w:lineRule="auto"/>
        <w:jc w:val="both"/>
        <w:rPr>
          <w:rFonts w:ascii="Arial" w:hAnsi="Arial" w:cs="Arial"/>
          <w:sz w:val="24"/>
        </w:rPr>
      </w:pPr>
      <w:r>
        <w:rPr>
          <w:rFonts w:ascii="Arial" w:hAnsi="Arial" w:cs="Arial"/>
          <w:sz w:val="24"/>
        </w:rPr>
        <w:t>À Faculdade Adventista da Bahia, instituição que, desde 2004, contribui com a minha formação, enquanto pessoa e como profissional. Gratidão a todos os meus professores. Em especial, à</w:t>
      </w:r>
      <w:r w:rsidRPr="00030CA1">
        <w:rPr>
          <w:rFonts w:ascii="Arial" w:hAnsi="Arial" w:cs="Arial"/>
          <w:sz w:val="24"/>
        </w:rPr>
        <w:t xml:space="preserve"> Profª. Djeyne</w:t>
      </w:r>
      <w:r>
        <w:rPr>
          <w:rFonts w:ascii="Arial" w:hAnsi="Arial" w:cs="Arial"/>
          <w:sz w:val="24"/>
        </w:rPr>
        <w:t xml:space="preserve"> Wagmacker, </w:t>
      </w:r>
      <w:r w:rsidR="00FF7BAA">
        <w:rPr>
          <w:rFonts w:ascii="Arial" w:hAnsi="Arial" w:cs="Arial"/>
          <w:sz w:val="24"/>
        </w:rPr>
        <w:t>pelo carinho</w:t>
      </w:r>
      <w:r>
        <w:rPr>
          <w:rFonts w:ascii="Arial" w:hAnsi="Arial" w:cs="Arial"/>
          <w:sz w:val="24"/>
        </w:rPr>
        <w:t xml:space="preserve">, compreensão, disponibilidade e auxílio na </w:t>
      </w:r>
      <w:r w:rsidR="00F30095">
        <w:rPr>
          <w:rFonts w:ascii="Arial" w:hAnsi="Arial" w:cs="Arial"/>
          <w:sz w:val="24"/>
        </w:rPr>
        <w:t>análise</w:t>
      </w:r>
      <w:r>
        <w:rPr>
          <w:rFonts w:ascii="Arial" w:hAnsi="Arial" w:cs="Arial"/>
          <w:sz w:val="24"/>
        </w:rPr>
        <w:t xml:space="preserve"> </w:t>
      </w:r>
      <w:r w:rsidR="00F30095">
        <w:rPr>
          <w:rFonts w:ascii="Arial" w:hAnsi="Arial" w:cs="Arial"/>
          <w:sz w:val="24"/>
        </w:rPr>
        <w:t xml:space="preserve">estatística </w:t>
      </w:r>
      <w:r>
        <w:rPr>
          <w:rFonts w:ascii="Arial" w:hAnsi="Arial" w:cs="Arial"/>
          <w:sz w:val="24"/>
        </w:rPr>
        <w:t>deste trabalho; ao Prof. Cláudi</w:t>
      </w:r>
      <w:r w:rsidR="00F30095">
        <w:rPr>
          <w:rFonts w:ascii="Arial" w:hAnsi="Arial" w:cs="Arial"/>
          <w:sz w:val="24"/>
        </w:rPr>
        <w:t xml:space="preserve">o Sousa, pelos ensinamentos </w:t>
      </w:r>
      <w:r>
        <w:rPr>
          <w:rFonts w:ascii="Arial" w:hAnsi="Arial" w:cs="Arial"/>
          <w:sz w:val="24"/>
        </w:rPr>
        <w:t xml:space="preserve">e por me encorajar em todos os momentos; e aos amigos Diego Patrício, Franklin Cajaíba e Karla Caggy, por todo apoio e incentivo.  </w:t>
      </w:r>
    </w:p>
    <w:p w:rsidR="00845167" w:rsidRDefault="00845167" w:rsidP="00845167">
      <w:pPr>
        <w:spacing w:after="0" w:line="360" w:lineRule="auto"/>
        <w:jc w:val="both"/>
        <w:rPr>
          <w:rFonts w:ascii="Arial" w:hAnsi="Arial" w:cs="Arial"/>
          <w:sz w:val="24"/>
        </w:rPr>
      </w:pPr>
    </w:p>
    <w:p w:rsidR="00845167" w:rsidRDefault="00845167" w:rsidP="00845167">
      <w:pPr>
        <w:spacing w:after="0" w:line="360" w:lineRule="auto"/>
        <w:jc w:val="both"/>
        <w:rPr>
          <w:rFonts w:ascii="Arial" w:hAnsi="Arial" w:cs="Arial"/>
          <w:sz w:val="24"/>
        </w:rPr>
      </w:pPr>
      <w:r>
        <w:rPr>
          <w:rFonts w:ascii="Arial" w:hAnsi="Arial" w:cs="Arial"/>
          <w:sz w:val="24"/>
        </w:rPr>
        <w:t xml:space="preserve">Aos meus alunos, que me estimulam buscar mais conhecimento e aprendizado; aqueles que despertam em mim o desejo de melhora e crescimento contínuos. </w:t>
      </w:r>
    </w:p>
    <w:p w:rsidR="00845167" w:rsidRDefault="00845167" w:rsidP="00845167">
      <w:pPr>
        <w:spacing w:after="0" w:line="360" w:lineRule="auto"/>
        <w:jc w:val="both"/>
        <w:rPr>
          <w:rFonts w:ascii="Arial" w:hAnsi="Arial" w:cs="Arial"/>
          <w:sz w:val="24"/>
        </w:rPr>
      </w:pPr>
    </w:p>
    <w:p w:rsidR="00BC16C0" w:rsidRDefault="00845167" w:rsidP="00BC16C0">
      <w:pPr>
        <w:spacing w:after="0" w:line="360" w:lineRule="auto"/>
        <w:jc w:val="both"/>
        <w:rPr>
          <w:rFonts w:ascii="Arial" w:hAnsi="Arial" w:cs="Arial"/>
          <w:sz w:val="24"/>
        </w:rPr>
      </w:pPr>
      <w:r>
        <w:rPr>
          <w:rFonts w:ascii="Arial" w:hAnsi="Arial" w:cs="Arial"/>
          <w:sz w:val="24"/>
        </w:rPr>
        <w:t>À equipe do Hospital Estadual da Criança de Feira de</w:t>
      </w:r>
      <w:r w:rsidR="00656272">
        <w:rPr>
          <w:rFonts w:ascii="Arial" w:hAnsi="Arial" w:cs="Arial"/>
          <w:sz w:val="24"/>
        </w:rPr>
        <w:t xml:space="preserve"> Santana-BA; em especial, </w:t>
      </w:r>
      <w:r w:rsidR="00A308EF">
        <w:rPr>
          <w:rFonts w:ascii="Arial" w:hAnsi="Arial" w:cs="Arial"/>
          <w:sz w:val="24"/>
        </w:rPr>
        <w:t xml:space="preserve">a </w:t>
      </w:r>
      <w:r w:rsidR="00656272">
        <w:rPr>
          <w:rFonts w:ascii="Arial" w:hAnsi="Arial" w:cs="Arial"/>
          <w:sz w:val="24"/>
        </w:rPr>
        <w:t>tod</w:t>
      </w:r>
      <w:r>
        <w:rPr>
          <w:rFonts w:ascii="Arial" w:hAnsi="Arial" w:cs="Arial"/>
          <w:sz w:val="24"/>
        </w:rPr>
        <w:t>os</w:t>
      </w:r>
      <w:r w:rsidR="00656272">
        <w:rPr>
          <w:rFonts w:ascii="Arial" w:hAnsi="Arial" w:cs="Arial"/>
          <w:sz w:val="24"/>
        </w:rPr>
        <w:t xml:space="preserve"> os pacientes, que</w:t>
      </w:r>
      <w:r w:rsidR="007E7B92">
        <w:rPr>
          <w:rFonts w:ascii="Arial" w:hAnsi="Arial" w:cs="Arial"/>
          <w:sz w:val="24"/>
        </w:rPr>
        <w:t xml:space="preserve"> me ensina</w:t>
      </w:r>
      <w:r w:rsidR="00656272">
        <w:rPr>
          <w:rFonts w:ascii="Arial" w:hAnsi="Arial" w:cs="Arial"/>
          <w:sz w:val="24"/>
        </w:rPr>
        <w:t xml:space="preserve">m </w:t>
      </w:r>
      <w:r>
        <w:rPr>
          <w:rFonts w:ascii="Arial" w:hAnsi="Arial" w:cs="Arial"/>
          <w:sz w:val="24"/>
        </w:rPr>
        <w:t xml:space="preserve">o </w:t>
      </w:r>
      <w:r w:rsidR="00EA347A">
        <w:rPr>
          <w:rFonts w:ascii="Arial" w:hAnsi="Arial" w:cs="Arial"/>
          <w:sz w:val="24"/>
        </w:rPr>
        <w:t>sentid</w:t>
      </w:r>
      <w:r>
        <w:rPr>
          <w:rFonts w:ascii="Arial" w:hAnsi="Arial" w:cs="Arial"/>
          <w:sz w:val="24"/>
        </w:rPr>
        <w:t>o da vida e não permitem que eu esqueça os propósitos de Deus para mim.</w:t>
      </w:r>
    </w:p>
    <w:p w:rsidR="00EE6023" w:rsidRPr="003124E4" w:rsidRDefault="003124E4" w:rsidP="00374320">
      <w:pPr>
        <w:spacing w:after="0" w:line="360" w:lineRule="auto"/>
        <w:jc w:val="center"/>
        <w:rPr>
          <w:rFonts w:ascii="Arial" w:hAnsi="Arial" w:cs="Arial"/>
          <w:b/>
          <w:sz w:val="24"/>
        </w:rPr>
      </w:pPr>
      <w:r w:rsidRPr="003124E4">
        <w:rPr>
          <w:rFonts w:ascii="Arial" w:hAnsi="Arial" w:cs="Arial"/>
          <w:b/>
          <w:sz w:val="24"/>
        </w:rPr>
        <w:lastRenderedPageBreak/>
        <w:t>RESUMO</w:t>
      </w:r>
    </w:p>
    <w:p w:rsidR="003124E4" w:rsidRDefault="003124E4" w:rsidP="00374320">
      <w:pPr>
        <w:spacing w:after="0" w:line="360" w:lineRule="auto"/>
        <w:jc w:val="both"/>
        <w:rPr>
          <w:rFonts w:ascii="Arial" w:hAnsi="Arial" w:cs="Arial"/>
          <w:sz w:val="24"/>
        </w:rPr>
      </w:pPr>
    </w:p>
    <w:p w:rsidR="00E059E2" w:rsidRDefault="00E059E2" w:rsidP="00E059E2">
      <w:pPr>
        <w:spacing w:after="0" w:line="240" w:lineRule="auto"/>
        <w:jc w:val="both"/>
        <w:rPr>
          <w:rFonts w:ascii="Arial" w:hAnsi="Arial" w:cs="Arial"/>
          <w:sz w:val="24"/>
        </w:rPr>
      </w:pPr>
      <w:r w:rsidRPr="000E6351">
        <w:rPr>
          <w:rFonts w:ascii="Arial" w:hAnsi="Arial" w:cs="Arial"/>
          <w:b/>
          <w:sz w:val="24"/>
        </w:rPr>
        <w:t>Introdução:</w:t>
      </w:r>
      <w:r>
        <w:rPr>
          <w:rFonts w:ascii="Arial" w:hAnsi="Arial" w:cs="Arial"/>
          <w:sz w:val="24"/>
        </w:rPr>
        <w:t xml:space="preserve"> As mucopolissacaridoses (MPS) correspondem a um grupo de doenças metabólicas raras, caracterizadas pela deficiência de enzimas específicas relacionadas à degradação de glicosaminoglicanos (GAGs). O acúmulo intralisossomal dessas moléculas gera danos celulares que resultam em alterações multissistêmicas, de caráter crônico e progressivo. Tais condições podem interferir na independência funcional para realização de atividades diárias e, por conseguinte, na qualidade de vida relacionada à saúde (QVRS), uma vez que as habilidades físicas e, também, os aspectos emocionais e sociais de indivíduos diagnosticados com MPS sofrem </w:t>
      </w:r>
      <w:r w:rsidR="00B45BF8">
        <w:rPr>
          <w:rFonts w:ascii="Arial" w:hAnsi="Arial" w:cs="Arial"/>
          <w:sz w:val="24"/>
        </w:rPr>
        <w:t>modifica</w:t>
      </w:r>
      <w:r>
        <w:rPr>
          <w:rFonts w:ascii="Arial" w:hAnsi="Arial" w:cs="Arial"/>
          <w:sz w:val="24"/>
        </w:rPr>
        <w:t xml:space="preserve">ções relevantes. </w:t>
      </w:r>
      <w:r w:rsidRPr="00055F0F">
        <w:rPr>
          <w:rFonts w:ascii="Arial" w:hAnsi="Arial" w:cs="Arial"/>
          <w:b/>
          <w:sz w:val="24"/>
        </w:rPr>
        <w:t>Objetivo:</w:t>
      </w:r>
      <w:r>
        <w:rPr>
          <w:rFonts w:ascii="Arial" w:hAnsi="Arial" w:cs="Arial"/>
          <w:sz w:val="24"/>
        </w:rPr>
        <w:t xml:space="preserve"> Verificar se existe correlação entre a independência funcional para realização de atividades de vida diária e a qualidade de vida relacionada à saúde de pacientes pediátricos diagnosticados com mucopolissacaridoses. </w:t>
      </w:r>
      <w:r w:rsidRPr="00055F0F">
        <w:rPr>
          <w:rFonts w:ascii="Arial" w:hAnsi="Arial" w:cs="Arial"/>
          <w:b/>
          <w:sz w:val="24"/>
        </w:rPr>
        <w:t>Casuística e Métodos:</w:t>
      </w:r>
      <w:r>
        <w:rPr>
          <w:rFonts w:ascii="Arial" w:hAnsi="Arial" w:cs="Arial"/>
          <w:b/>
          <w:sz w:val="24"/>
        </w:rPr>
        <w:t xml:space="preserve"> </w:t>
      </w:r>
      <w:r>
        <w:rPr>
          <w:rFonts w:ascii="Arial" w:hAnsi="Arial" w:cs="Arial"/>
          <w:sz w:val="24"/>
        </w:rPr>
        <w:t xml:space="preserve">Trata-se de um estudo observacional, analítico, de corte transversal, realizado no serviço de ortopedia do Hospital Santa Izabel da Santa Casa de Misericórdia da Bahia (HSI), no período de outubro de 2016 a março de 2017. </w:t>
      </w:r>
      <w:r w:rsidRPr="008E01B7">
        <w:rPr>
          <w:rFonts w:ascii="Arial" w:hAnsi="Arial" w:cs="Arial"/>
          <w:sz w:val="24"/>
        </w:rPr>
        <w:t xml:space="preserve">Foram incluídos crianças e adolescentes com idade entre 2 e 18 anos, diagnosticados com MPS, que estavam sob acompanhamento médico ambulatorial no período de janeiro de 2012 a outubro de 2014. A coleta de dados ocorreu a partir da análise documental </w:t>
      </w:r>
      <w:r w:rsidR="00BC43C8">
        <w:rPr>
          <w:rFonts w:ascii="Arial" w:hAnsi="Arial" w:cs="Arial"/>
          <w:sz w:val="24"/>
        </w:rPr>
        <w:t>da</w:t>
      </w:r>
      <w:r w:rsidR="006404CB">
        <w:rPr>
          <w:rFonts w:ascii="Arial" w:hAnsi="Arial" w:cs="Arial"/>
          <w:sz w:val="24"/>
        </w:rPr>
        <w:t xml:space="preserve">s </w:t>
      </w:r>
      <w:r w:rsidR="00BC43C8">
        <w:rPr>
          <w:rFonts w:ascii="Arial" w:hAnsi="Arial" w:cs="Arial"/>
          <w:sz w:val="24"/>
        </w:rPr>
        <w:t>fichas</w:t>
      </w:r>
      <w:r w:rsidR="006404CB">
        <w:rPr>
          <w:rFonts w:ascii="Arial" w:hAnsi="Arial" w:cs="Arial"/>
          <w:sz w:val="24"/>
        </w:rPr>
        <w:t xml:space="preserve"> de ava</w:t>
      </w:r>
      <w:r w:rsidRPr="008E01B7">
        <w:rPr>
          <w:rFonts w:ascii="Arial" w:hAnsi="Arial" w:cs="Arial"/>
          <w:sz w:val="24"/>
        </w:rPr>
        <w:t>liação</w:t>
      </w:r>
      <w:r w:rsidR="002642A5">
        <w:rPr>
          <w:rFonts w:ascii="Arial" w:hAnsi="Arial" w:cs="Arial"/>
          <w:sz w:val="24"/>
        </w:rPr>
        <w:t xml:space="preserve"> padronizadas</w:t>
      </w:r>
      <w:r w:rsidRPr="008E01B7">
        <w:rPr>
          <w:rFonts w:ascii="Arial" w:hAnsi="Arial" w:cs="Arial"/>
          <w:sz w:val="24"/>
        </w:rPr>
        <w:t xml:space="preserve"> </w:t>
      </w:r>
      <w:r w:rsidR="00BC43C8">
        <w:rPr>
          <w:rFonts w:ascii="Arial" w:hAnsi="Arial" w:cs="Arial"/>
          <w:sz w:val="24"/>
        </w:rPr>
        <w:t>utilizada</w:t>
      </w:r>
      <w:r w:rsidR="006404CB">
        <w:rPr>
          <w:rFonts w:ascii="Arial" w:hAnsi="Arial" w:cs="Arial"/>
          <w:sz w:val="24"/>
        </w:rPr>
        <w:t>s</w:t>
      </w:r>
      <w:r w:rsidRPr="008E01B7">
        <w:rPr>
          <w:rFonts w:ascii="Arial" w:hAnsi="Arial" w:cs="Arial"/>
          <w:sz w:val="24"/>
        </w:rPr>
        <w:t xml:space="preserve"> no serviço</w:t>
      </w:r>
      <w:r w:rsidR="00621F75">
        <w:rPr>
          <w:rFonts w:ascii="Arial" w:hAnsi="Arial" w:cs="Arial"/>
          <w:sz w:val="24"/>
        </w:rPr>
        <w:t>,</w:t>
      </w:r>
      <w:r w:rsidRPr="008E01B7">
        <w:rPr>
          <w:rFonts w:ascii="Arial" w:hAnsi="Arial" w:cs="Arial"/>
          <w:sz w:val="24"/>
        </w:rPr>
        <w:t xml:space="preserve"> </w:t>
      </w:r>
      <w:r w:rsidR="00BC43C8">
        <w:rPr>
          <w:rFonts w:ascii="Arial" w:hAnsi="Arial" w:cs="Arial"/>
          <w:sz w:val="24"/>
        </w:rPr>
        <w:t xml:space="preserve">aplicadas </w:t>
      </w:r>
      <w:r w:rsidRPr="008E01B7">
        <w:rPr>
          <w:rFonts w:ascii="Arial" w:hAnsi="Arial" w:cs="Arial"/>
          <w:sz w:val="24"/>
        </w:rPr>
        <w:t xml:space="preserve">no período da admissão dos pacientes por meio de entrevistas junto aos pais/cuidador. As variáveis do estudo compreenderam dados sociodemográficos; </w:t>
      </w:r>
      <w:r>
        <w:rPr>
          <w:rFonts w:ascii="Arial" w:hAnsi="Arial" w:cs="Arial"/>
          <w:sz w:val="24"/>
        </w:rPr>
        <w:t>nível de independência f</w:t>
      </w:r>
      <w:r w:rsidRPr="008E01B7">
        <w:rPr>
          <w:rFonts w:ascii="Arial" w:hAnsi="Arial" w:cs="Arial"/>
          <w:sz w:val="24"/>
        </w:rPr>
        <w:t>uncional (</w:t>
      </w:r>
      <w:r>
        <w:rPr>
          <w:rFonts w:ascii="Arial" w:hAnsi="Arial" w:cs="Arial"/>
          <w:sz w:val="24"/>
        </w:rPr>
        <w:t xml:space="preserve">mensurado pela </w:t>
      </w:r>
      <w:r w:rsidRPr="008E01B7">
        <w:rPr>
          <w:rFonts w:ascii="Arial" w:hAnsi="Arial" w:cs="Arial"/>
          <w:sz w:val="24"/>
        </w:rPr>
        <w:t xml:space="preserve">escala MIF); e </w:t>
      </w:r>
      <w:r>
        <w:rPr>
          <w:rFonts w:ascii="Arial" w:hAnsi="Arial" w:cs="Arial"/>
          <w:sz w:val="24"/>
        </w:rPr>
        <w:t xml:space="preserve">medida </w:t>
      </w:r>
      <w:r w:rsidRPr="008E01B7">
        <w:rPr>
          <w:rFonts w:ascii="Arial" w:hAnsi="Arial" w:cs="Arial"/>
          <w:sz w:val="24"/>
        </w:rPr>
        <w:t xml:space="preserve">da QVRS, obtida pelo instrumento </w:t>
      </w:r>
      <w:r w:rsidRPr="008E01B7">
        <w:rPr>
          <w:rFonts w:ascii="Arial" w:hAnsi="Arial" w:cs="Arial"/>
          <w:i/>
          <w:sz w:val="24"/>
          <w:szCs w:val="24"/>
        </w:rPr>
        <w:t>Pediatric Quality of Life Inventory</w:t>
      </w:r>
      <w:r w:rsidRPr="008E01B7">
        <w:rPr>
          <w:rFonts w:ascii="Arial" w:hAnsi="Arial" w:cs="Arial"/>
          <w:sz w:val="24"/>
          <w:szCs w:val="24"/>
        </w:rPr>
        <w:t xml:space="preserve"> (</w:t>
      </w:r>
      <w:r w:rsidRPr="008E01B7">
        <w:rPr>
          <w:rFonts w:ascii="Arial" w:hAnsi="Arial" w:cs="Arial"/>
          <w:sz w:val="24"/>
        </w:rPr>
        <w:t>PedsQL</w:t>
      </w:r>
      <w:r w:rsidRPr="008E01B7">
        <w:rPr>
          <w:rFonts w:ascii="Arial" w:hAnsi="Arial" w:cs="Arial"/>
          <w:sz w:val="24"/>
          <w:vertAlign w:val="superscript"/>
        </w:rPr>
        <w:t>TM</w:t>
      </w:r>
      <w:r w:rsidRPr="008E01B7">
        <w:rPr>
          <w:rFonts w:ascii="Arial" w:hAnsi="Arial" w:cs="Arial"/>
          <w:sz w:val="24"/>
        </w:rPr>
        <w:t xml:space="preserve"> 4.0).</w:t>
      </w:r>
      <w:r>
        <w:rPr>
          <w:rFonts w:ascii="Arial" w:hAnsi="Arial" w:cs="Arial"/>
          <w:sz w:val="24"/>
        </w:rPr>
        <w:t xml:space="preserve"> </w:t>
      </w:r>
      <w:r w:rsidRPr="008F7606">
        <w:rPr>
          <w:rFonts w:ascii="Arial" w:hAnsi="Arial" w:cs="Arial"/>
          <w:b/>
          <w:sz w:val="24"/>
        </w:rPr>
        <w:t>Resultados:</w:t>
      </w:r>
      <w:r>
        <w:rPr>
          <w:rFonts w:ascii="Arial" w:hAnsi="Arial" w:cs="Arial"/>
          <w:sz w:val="24"/>
        </w:rPr>
        <w:t xml:space="preserve"> 26 pacientes participaram do estudo. Estes eram predominantemente do sexo masculino (61,5%), com média de idade de 10±4,5 anos, acometidos por MPS tipo VI (73,1%). Segundo a perspectiva dos pais, as crianças e adolescentes necessitavam de maior assistência para realizar atividades de autocuidado, comparado às atividades de transferências e locomoção. Quanto à QVRS, os pais consideraram melhor condição de saúde física do que de saúde psicossocial. A MIF e a QVRS não</w:t>
      </w:r>
      <w:r w:rsidR="005E4CB1">
        <w:rPr>
          <w:rFonts w:ascii="Arial" w:hAnsi="Arial" w:cs="Arial"/>
          <w:sz w:val="24"/>
        </w:rPr>
        <w:t xml:space="preserve"> tiveram associação com a idade e o</w:t>
      </w:r>
      <w:r>
        <w:rPr>
          <w:rFonts w:ascii="Arial" w:hAnsi="Arial" w:cs="Arial"/>
          <w:sz w:val="24"/>
        </w:rPr>
        <w:t xml:space="preserve"> sexo. Houve correlação significativa entre o escore total da MIF e a qualidade de vida geral, r=0,52 (p=0,007). A capacidade física foi o único domínio da QVRS que apresentou correlação significativa com as dimensões da MIF; correlação moderada com o domínio motor, r=0,60 (p=0,001), e fraca com o domínio cognitivo, r=0,40 (p=0,04). </w:t>
      </w:r>
      <w:r w:rsidRPr="0000012A">
        <w:rPr>
          <w:rFonts w:ascii="Arial" w:hAnsi="Arial" w:cs="Arial"/>
          <w:sz w:val="24"/>
          <w:szCs w:val="24"/>
        </w:rPr>
        <w:t xml:space="preserve">No modelo de análise multivariada de regressão linear, </w:t>
      </w:r>
      <w:r>
        <w:rPr>
          <w:rFonts w:ascii="Arial" w:hAnsi="Arial" w:cs="Arial"/>
          <w:sz w:val="24"/>
          <w:szCs w:val="24"/>
        </w:rPr>
        <w:t>apenas o sub</w:t>
      </w:r>
      <w:r w:rsidRPr="0000012A">
        <w:rPr>
          <w:rFonts w:ascii="Arial" w:hAnsi="Arial" w:cs="Arial"/>
          <w:sz w:val="24"/>
          <w:szCs w:val="24"/>
        </w:rPr>
        <w:t xml:space="preserve">domínio </w:t>
      </w:r>
      <w:r>
        <w:rPr>
          <w:rFonts w:ascii="Arial" w:hAnsi="Arial" w:cs="Arial"/>
          <w:sz w:val="24"/>
          <w:szCs w:val="24"/>
        </w:rPr>
        <w:t>locomoção</w:t>
      </w:r>
      <w:r w:rsidRPr="0000012A">
        <w:rPr>
          <w:rFonts w:ascii="Arial" w:hAnsi="Arial" w:cs="Arial"/>
          <w:sz w:val="24"/>
          <w:szCs w:val="24"/>
        </w:rPr>
        <w:t xml:space="preserve"> </w:t>
      </w:r>
      <w:r>
        <w:rPr>
          <w:rFonts w:ascii="Arial" w:hAnsi="Arial" w:cs="Arial"/>
          <w:sz w:val="24"/>
          <w:szCs w:val="24"/>
        </w:rPr>
        <w:t>da MIF apresentou correlação independente com o domínio capacidade física do PedsQL</w:t>
      </w:r>
      <w:r w:rsidRPr="00964AAC">
        <w:rPr>
          <w:rFonts w:ascii="Arial" w:hAnsi="Arial" w:cs="Arial"/>
          <w:sz w:val="24"/>
          <w:szCs w:val="24"/>
          <w:vertAlign w:val="superscript"/>
        </w:rPr>
        <w:t>TM</w:t>
      </w:r>
      <w:r>
        <w:rPr>
          <w:rFonts w:ascii="Arial" w:hAnsi="Arial" w:cs="Arial"/>
          <w:sz w:val="24"/>
          <w:szCs w:val="24"/>
        </w:rPr>
        <w:t xml:space="preserve"> 4.0 </w:t>
      </w:r>
      <w:r w:rsidRPr="0000012A">
        <w:rPr>
          <w:rFonts w:ascii="Arial" w:hAnsi="Arial" w:cs="Arial"/>
          <w:sz w:val="24"/>
          <w:szCs w:val="24"/>
        </w:rPr>
        <w:t>(p</w:t>
      </w:r>
      <w:r>
        <w:rPr>
          <w:rFonts w:ascii="Arial" w:hAnsi="Arial" w:cs="Arial"/>
          <w:sz w:val="24"/>
          <w:szCs w:val="24"/>
        </w:rPr>
        <w:t>&lt;</w:t>
      </w:r>
      <w:r w:rsidRPr="0000012A">
        <w:rPr>
          <w:rFonts w:ascii="Arial" w:hAnsi="Arial" w:cs="Arial"/>
          <w:sz w:val="24"/>
          <w:szCs w:val="24"/>
        </w:rPr>
        <w:t xml:space="preserve">0,01). </w:t>
      </w:r>
      <w:r>
        <w:rPr>
          <w:rFonts w:ascii="Arial" w:hAnsi="Arial" w:cs="Arial"/>
          <w:sz w:val="24"/>
          <w:szCs w:val="24"/>
        </w:rPr>
        <w:t>39,7</w:t>
      </w:r>
      <w:r w:rsidRPr="0000012A">
        <w:rPr>
          <w:rFonts w:ascii="Arial" w:hAnsi="Arial" w:cs="Arial"/>
          <w:sz w:val="24"/>
          <w:szCs w:val="24"/>
        </w:rPr>
        <w:t>% da vari</w:t>
      </w:r>
      <w:r>
        <w:rPr>
          <w:rFonts w:ascii="Arial" w:hAnsi="Arial" w:cs="Arial"/>
          <w:sz w:val="24"/>
          <w:szCs w:val="24"/>
        </w:rPr>
        <w:t>abilidade da capacidade física fo</w:t>
      </w:r>
      <w:r w:rsidR="00116684">
        <w:rPr>
          <w:rFonts w:ascii="Arial" w:hAnsi="Arial" w:cs="Arial"/>
          <w:sz w:val="24"/>
          <w:szCs w:val="24"/>
        </w:rPr>
        <w:t>ram</w:t>
      </w:r>
      <w:r>
        <w:rPr>
          <w:rFonts w:ascii="Arial" w:hAnsi="Arial" w:cs="Arial"/>
          <w:sz w:val="24"/>
          <w:szCs w:val="24"/>
        </w:rPr>
        <w:t xml:space="preserve"> explicad</w:t>
      </w:r>
      <w:r w:rsidR="00116684">
        <w:rPr>
          <w:rFonts w:ascii="Arial" w:hAnsi="Arial" w:cs="Arial"/>
          <w:sz w:val="24"/>
          <w:szCs w:val="24"/>
        </w:rPr>
        <w:t>os</w:t>
      </w:r>
      <w:r>
        <w:rPr>
          <w:rFonts w:ascii="Arial" w:hAnsi="Arial" w:cs="Arial"/>
          <w:sz w:val="24"/>
          <w:szCs w:val="24"/>
        </w:rPr>
        <w:t xml:space="preserve"> pelo</w:t>
      </w:r>
      <w:r w:rsidRPr="0000012A">
        <w:rPr>
          <w:rFonts w:ascii="Arial" w:hAnsi="Arial" w:cs="Arial"/>
          <w:sz w:val="24"/>
          <w:szCs w:val="24"/>
        </w:rPr>
        <w:t xml:space="preserve"> </w:t>
      </w:r>
      <w:r>
        <w:rPr>
          <w:rFonts w:ascii="Arial" w:hAnsi="Arial" w:cs="Arial"/>
          <w:sz w:val="24"/>
          <w:szCs w:val="24"/>
        </w:rPr>
        <w:t xml:space="preserve">subdomínio locomoção. </w:t>
      </w:r>
      <w:r w:rsidRPr="009C436A">
        <w:rPr>
          <w:rFonts w:ascii="Arial" w:hAnsi="Arial" w:cs="Arial"/>
          <w:b/>
          <w:sz w:val="24"/>
        </w:rPr>
        <w:t>C</w:t>
      </w:r>
      <w:r>
        <w:rPr>
          <w:rFonts w:ascii="Arial" w:hAnsi="Arial" w:cs="Arial"/>
          <w:b/>
          <w:sz w:val="24"/>
        </w:rPr>
        <w:t>onclusão</w:t>
      </w:r>
      <w:r w:rsidRPr="009C436A">
        <w:rPr>
          <w:rFonts w:ascii="Arial" w:hAnsi="Arial" w:cs="Arial"/>
          <w:b/>
          <w:sz w:val="24"/>
        </w:rPr>
        <w:t>:</w:t>
      </w:r>
      <w:r>
        <w:rPr>
          <w:rFonts w:ascii="Arial" w:hAnsi="Arial" w:cs="Arial"/>
          <w:b/>
          <w:sz w:val="24"/>
        </w:rPr>
        <w:t xml:space="preserve"> </w:t>
      </w:r>
      <w:r w:rsidRPr="004D521B">
        <w:rPr>
          <w:rFonts w:ascii="Arial" w:hAnsi="Arial" w:cs="Arial"/>
          <w:sz w:val="24"/>
        </w:rPr>
        <w:t>A</w:t>
      </w:r>
      <w:r>
        <w:rPr>
          <w:rFonts w:ascii="Arial" w:hAnsi="Arial" w:cs="Arial"/>
          <w:sz w:val="24"/>
        </w:rPr>
        <w:t xml:space="preserve"> independência funcional de crianças e adolescentes com MPS apresentou correlação significativa com a QVRS. Foi observada correlação entre as atividades de autocuidado, transferências, locomoção e cognição social, com o domínio capacidade física da QVRS. A dificuldade para locomoção, de forma independente, foi </w:t>
      </w:r>
      <w:r w:rsidR="00D72804">
        <w:rPr>
          <w:rFonts w:ascii="Arial" w:hAnsi="Arial" w:cs="Arial"/>
          <w:sz w:val="24"/>
        </w:rPr>
        <w:t>o fator</w:t>
      </w:r>
      <w:r>
        <w:rPr>
          <w:rFonts w:ascii="Arial" w:hAnsi="Arial" w:cs="Arial"/>
          <w:sz w:val="24"/>
        </w:rPr>
        <w:t xml:space="preserve"> com maior impacto na capacidade física dos sujeitos participantes deste estudo, de acordo com a concepção dos seus pais ou cuidadores.</w:t>
      </w:r>
    </w:p>
    <w:p w:rsidR="00E059E2" w:rsidRDefault="00E059E2" w:rsidP="00E059E2">
      <w:pPr>
        <w:spacing w:after="0" w:line="240" w:lineRule="auto"/>
        <w:jc w:val="both"/>
        <w:rPr>
          <w:rFonts w:ascii="Arial" w:hAnsi="Arial" w:cs="Arial"/>
          <w:sz w:val="24"/>
        </w:rPr>
      </w:pPr>
    </w:p>
    <w:p w:rsidR="003124E4" w:rsidRPr="00FF1F37" w:rsidRDefault="00E059E2" w:rsidP="00E059E2">
      <w:pPr>
        <w:spacing w:after="0" w:line="240" w:lineRule="auto"/>
        <w:jc w:val="both"/>
        <w:rPr>
          <w:rFonts w:ascii="Arial" w:hAnsi="Arial" w:cs="Arial"/>
          <w:sz w:val="24"/>
          <w:lang w:val="en-US"/>
        </w:rPr>
      </w:pPr>
      <w:r w:rsidRPr="008F7606">
        <w:rPr>
          <w:rFonts w:ascii="Arial" w:hAnsi="Arial" w:cs="Arial"/>
          <w:b/>
          <w:sz w:val="24"/>
        </w:rPr>
        <w:t>Palavras-chave:</w:t>
      </w:r>
      <w:r>
        <w:rPr>
          <w:rFonts w:ascii="Arial" w:hAnsi="Arial" w:cs="Arial"/>
          <w:sz w:val="24"/>
        </w:rPr>
        <w:t xml:space="preserve"> Mucopolissacaridoses. Atividades Cotidianas. </w:t>
      </w:r>
      <w:r w:rsidRPr="00FF1F37">
        <w:rPr>
          <w:rFonts w:ascii="Arial" w:hAnsi="Arial" w:cs="Arial"/>
          <w:sz w:val="24"/>
          <w:lang w:val="en-US"/>
        </w:rPr>
        <w:t>Qualidade de Vida</w:t>
      </w:r>
      <w:r w:rsidR="008D1BD7" w:rsidRPr="00FF1F37">
        <w:rPr>
          <w:rFonts w:ascii="Arial" w:hAnsi="Arial" w:cs="Arial"/>
          <w:sz w:val="24"/>
          <w:lang w:val="en-US"/>
        </w:rPr>
        <w:t>.</w:t>
      </w:r>
    </w:p>
    <w:p w:rsidR="00EE6023" w:rsidRPr="00FF1F37" w:rsidRDefault="00EE6023" w:rsidP="003124E4">
      <w:pPr>
        <w:spacing w:after="0" w:line="240" w:lineRule="auto"/>
        <w:jc w:val="both"/>
        <w:rPr>
          <w:rFonts w:ascii="Arial" w:hAnsi="Arial" w:cs="Arial"/>
          <w:sz w:val="24"/>
          <w:lang w:val="en-US"/>
        </w:rPr>
      </w:pPr>
    </w:p>
    <w:p w:rsidR="00562FA7" w:rsidRPr="00FF1F37" w:rsidRDefault="00562FA7" w:rsidP="003124E4">
      <w:pPr>
        <w:spacing w:after="0" w:line="240" w:lineRule="auto"/>
        <w:jc w:val="both"/>
        <w:rPr>
          <w:rFonts w:ascii="Arial" w:hAnsi="Arial" w:cs="Arial"/>
          <w:sz w:val="24"/>
          <w:lang w:val="en-US"/>
        </w:rPr>
      </w:pPr>
    </w:p>
    <w:p w:rsidR="003124E4" w:rsidRPr="00FF1F37" w:rsidRDefault="003124E4" w:rsidP="008C3C64">
      <w:pPr>
        <w:spacing w:after="0" w:line="360" w:lineRule="auto"/>
        <w:jc w:val="center"/>
        <w:rPr>
          <w:rFonts w:ascii="Arial" w:hAnsi="Arial" w:cs="Arial"/>
          <w:b/>
          <w:sz w:val="24"/>
          <w:lang w:val="en-US"/>
        </w:rPr>
      </w:pPr>
      <w:r w:rsidRPr="00FF1F37">
        <w:rPr>
          <w:rFonts w:ascii="Arial" w:hAnsi="Arial" w:cs="Arial"/>
          <w:b/>
          <w:sz w:val="24"/>
          <w:lang w:val="en-US"/>
        </w:rPr>
        <w:lastRenderedPageBreak/>
        <w:t>ABSTRACT</w:t>
      </w:r>
    </w:p>
    <w:p w:rsidR="003124E4" w:rsidRPr="00FF1F37" w:rsidRDefault="003124E4" w:rsidP="008C3C64">
      <w:pPr>
        <w:spacing w:after="0" w:line="360" w:lineRule="auto"/>
        <w:jc w:val="both"/>
        <w:rPr>
          <w:rFonts w:ascii="Arial" w:hAnsi="Arial" w:cs="Arial"/>
          <w:sz w:val="24"/>
          <w:lang w:val="en-US"/>
        </w:rPr>
      </w:pPr>
    </w:p>
    <w:p w:rsidR="00A159A9" w:rsidRPr="0011764E" w:rsidRDefault="00A159A9" w:rsidP="00A159A9">
      <w:pPr>
        <w:spacing w:after="0" w:line="240" w:lineRule="auto"/>
        <w:jc w:val="both"/>
        <w:rPr>
          <w:rFonts w:ascii="Arial" w:hAnsi="Arial" w:cs="Arial"/>
          <w:sz w:val="24"/>
          <w:lang w:val="en-US"/>
        </w:rPr>
      </w:pPr>
      <w:r w:rsidRPr="0011764E">
        <w:rPr>
          <w:rFonts w:ascii="Arial" w:hAnsi="Arial" w:cs="Arial"/>
          <w:b/>
          <w:sz w:val="24"/>
          <w:lang w:val="en-US"/>
        </w:rPr>
        <w:t>Introduction:</w:t>
      </w:r>
      <w:r w:rsidRPr="0011764E">
        <w:rPr>
          <w:rFonts w:ascii="Arial" w:hAnsi="Arial" w:cs="Arial"/>
          <w:sz w:val="24"/>
          <w:lang w:val="en-US"/>
        </w:rPr>
        <w:t xml:space="preserve"> Mucopolysaccharidoses (MPS) correspond to a group of rare metabolic diseases, characterized by the deficiency of specific enzymes related to the degradation of glycos</w:t>
      </w:r>
      <w:r>
        <w:rPr>
          <w:rFonts w:ascii="Arial" w:hAnsi="Arial" w:cs="Arial"/>
          <w:sz w:val="24"/>
          <w:lang w:val="en-US"/>
        </w:rPr>
        <w:t>aminoglycans (GAGs). The intral</w:t>
      </w:r>
      <w:r w:rsidR="00E43A63">
        <w:rPr>
          <w:rFonts w:ascii="Arial" w:hAnsi="Arial" w:cs="Arial"/>
          <w:sz w:val="24"/>
          <w:lang w:val="en-US"/>
        </w:rPr>
        <w:t>y</w:t>
      </w:r>
      <w:r w:rsidRPr="0011764E">
        <w:rPr>
          <w:rFonts w:ascii="Arial" w:hAnsi="Arial" w:cs="Arial"/>
          <w:sz w:val="24"/>
          <w:lang w:val="en-US"/>
        </w:rPr>
        <w:t xml:space="preserve">sosomal accumulation of these molecules causes cellular damage that results in multisystemic, chronic and progressive changes. Such conditions may interfere with functional independence to perform daily activities, and therefore on health-related quality of life (HRQoL), since the physical abilities, as well as the emotional and social aspects of individuals diagnosed with MPS undergo relevant changes. </w:t>
      </w:r>
      <w:r w:rsidRPr="00EB574C">
        <w:rPr>
          <w:rFonts w:ascii="Arial" w:hAnsi="Arial" w:cs="Arial"/>
          <w:b/>
          <w:sz w:val="24"/>
          <w:lang w:val="en-US"/>
        </w:rPr>
        <w:t>Aims:</w:t>
      </w:r>
      <w:r w:rsidRPr="00EB574C">
        <w:rPr>
          <w:rFonts w:ascii="Arial" w:hAnsi="Arial" w:cs="Arial"/>
          <w:sz w:val="24"/>
          <w:lang w:val="en-US"/>
        </w:rPr>
        <w:t xml:space="preserve"> To verify if there is a correlation between the functional independence to perform activities of daily living and the health-</w:t>
      </w:r>
      <w:r w:rsidR="00E43A63" w:rsidRPr="00EB574C">
        <w:rPr>
          <w:rFonts w:ascii="Arial" w:hAnsi="Arial" w:cs="Arial"/>
          <w:sz w:val="24"/>
          <w:lang w:val="en-US"/>
        </w:rPr>
        <w:t xml:space="preserve">related </w:t>
      </w:r>
      <w:r w:rsidRPr="00EB574C">
        <w:rPr>
          <w:rFonts w:ascii="Arial" w:hAnsi="Arial" w:cs="Arial"/>
          <w:sz w:val="24"/>
          <w:lang w:val="en-US"/>
        </w:rPr>
        <w:t>quality</w:t>
      </w:r>
      <w:r w:rsidR="00E43A63" w:rsidRPr="00EB574C">
        <w:rPr>
          <w:rFonts w:ascii="Arial" w:hAnsi="Arial" w:cs="Arial"/>
          <w:sz w:val="24"/>
          <w:lang w:val="en-US"/>
        </w:rPr>
        <w:t xml:space="preserve"> </w:t>
      </w:r>
      <w:r w:rsidRPr="00EB574C">
        <w:rPr>
          <w:rFonts w:ascii="Arial" w:hAnsi="Arial" w:cs="Arial"/>
          <w:sz w:val="24"/>
          <w:lang w:val="en-US"/>
        </w:rPr>
        <w:t>of life of pediatric patients diagnosed with mucopolysaccharidoses.</w:t>
      </w:r>
      <w:r w:rsidRPr="0011764E">
        <w:rPr>
          <w:rFonts w:ascii="Arial" w:hAnsi="Arial" w:cs="Arial"/>
          <w:sz w:val="24"/>
          <w:lang w:val="en-US"/>
        </w:rPr>
        <w:t xml:space="preserve"> </w:t>
      </w:r>
      <w:r w:rsidRPr="00BF1ED8">
        <w:rPr>
          <w:rFonts w:ascii="Arial" w:hAnsi="Arial" w:cs="Arial"/>
          <w:b/>
          <w:sz w:val="24"/>
          <w:lang w:val="en-US"/>
        </w:rPr>
        <w:t>Methods:</w:t>
      </w:r>
      <w:r w:rsidRPr="00BF1ED8">
        <w:rPr>
          <w:rFonts w:ascii="Arial" w:hAnsi="Arial" w:cs="Arial"/>
          <w:sz w:val="24"/>
          <w:lang w:val="en-US"/>
        </w:rPr>
        <w:t xml:space="preserve"> </w:t>
      </w:r>
      <w:r w:rsidR="00EB574C" w:rsidRPr="00BF1ED8">
        <w:rPr>
          <w:rFonts w:ascii="Arial" w:hAnsi="Arial" w:cs="Arial"/>
          <w:sz w:val="24"/>
          <w:lang w:val="en"/>
        </w:rPr>
        <w:t>This is an observational, analytical, cross-sectional study performed at the orthopedic service of the Santa Izabel Hospital (HSI), from October 2016 to March 2017. They were including children and adolescents aged 2 to 18 years, diagnosed with MPS, who were under medical outpatient follow-up from January 2012 to October 2014.</w:t>
      </w:r>
      <w:r w:rsidR="00A365C6">
        <w:rPr>
          <w:rFonts w:ascii="Arial" w:hAnsi="Arial" w:cs="Arial"/>
          <w:sz w:val="24"/>
          <w:lang w:val="en"/>
        </w:rPr>
        <w:t xml:space="preserve"> </w:t>
      </w:r>
      <w:r w:rsidR="00EB574C" w:rsidRPr="00BF1ED8">
        <w:rPr>
          <w:rFonts w:ascii="Arial" w:hAnsi="Arial" w:cs="Arial"/>
          <w:sz w:val="24"/>
          <w:lang w:val="en"/>
        </w:rPr>
        <w:t xml:space="preserve">The data collection </w:t>
      </w:r>
      <w:r w:rsidR="00A365C6">
        <w:rPr>
          <w:rFonts w:ascii="Arial" w:hAnsi="Arial" w:cs="Arial"/>
          <w:sz w:val="24"/>
          <w:lang w:val="en"/>
        </w:rPr>
        <w:t>was based on</w:t>
      </w:r>
      <w:r w:rsidR="00EB574C" w:rsidRPr="00BF1ED8">
        <w:rPr>
          <w:rFonts w:ascii="Arial" w:hAnsi="Arial" w:cs="Arial"/>
          <w:sz w:val="24"/>
          <w:lang w:val="en"/>
        </w:rPr>
        <w:t xml:space="preserve"> the documentary analysis of the </w:t>
      </w:r>
      <w:r w:rsidR="00A365C6">
        <w:rPr>
          <w:rFonts w:ascii="Arial" w:hAnsi="Arial" w:cs="Arial"/>
          <w:sz w:val="24"/>
          <w:lang w:val="en"/>
        </w:rPr>
        <w:t>standardized evaluation sheets used</w:t>
      </w:r>
      <w:r w:rsidR="00EB574C" w:rsidRPr="00BF1ED8">
        <w:rPr>
          <w:rFonts w:ascii="Arial" w:hAnsi="Arial" w:cs="Arial"/>
          <w:sz w:val="24"/>
          <w:lang w:val="en"/>
        </w:rPr>
        <w:t xml:space="preserve"> in the service,</w:t>
      </w:r>
      <w:r w:rsidR="00A365C6">
        <w:rPr>
          <w:rFonts w:ascii="Arial" w:hAnsi="Arial" w:cs="Arial"/>
          <w:sz w:val="24"/>
          <w:lang w:val="en"/>
        </w:rPr>
        <w:t xml:space="preserve"> applied</w:t>
      </w:r>
      <w:r w:rsidR="00EB574C" w:rsidRPr="00BF1ED8">
        <w:rPr>
          <w:rFonts w:ascii="Arial" w:hAnsi="Arial" w:cs="Arial"/>
          <w:sz w:val="24"/>
          <w:lang w:val="en"/>
        </w:rPr>
        <w:t xml:space="preserve"> in the period of</w:t>
      </w:r>
      <w:r w:rsidR="00A365C6">
        <w:rPr>
          <w:rFonts w:ascii="Arial" w:hAnsi="Arial" w:cs="Arial"/>
          <w:sz w:val="24"/>
          <w:lang w:val="en"/>
        </w:rPr>
        <w:t xml:space="preserve"> admission of the</w:t>
      </w:r>
      <w:r w:rsidR="00EB574C" w:rsidRPr="00BF1ED8">
        <w:rPr>
          <w:rFonts w:ascii="Arial" w:hAnsi="Arial" w:cs="Arial"/>
          <w:sz w:val="24"/>
          <w:lang w:val="en"/>
        </w:rPr>
        <w:t xml:space="preserve"> patient</w:t>
      </w:r>
      <w:r w:rsidR="00A365C6">
        <w:rPr>
          <w:rFonts w:ascii="Arial" w:hAnsi="Arial" w:cs="Arial"/>
          <w:sz w:val="24"/>
          <w:lang w:val="en"/>
        </w:rPr>
        <w:t>s</w:t>
      </w:r>
      <w:r w:rsidR="00EB574C" w:rsidRPr="00BF1ED8">
        <w:rPr>
          <w:rFonts w:ascii="Arial" w:hAnsi="Arial" w:cs="Arial"/>
          <w:sz w:val="24"/>
          <w:lang w:val="en"/>
        </w:rPr>
        <w:t xml:space="preserve"> through interviews with </w:t>
      </w:r>
      <w:r w:rsidR="00A365C6">
        <w:rPr>
          <w:rFonts w:ascii="Arial" w:hAnsi="Arial" w:cs="Arial"/>
          <w:sz w:val="24"/>
          <w:lang w:val="en"/>
        </w:rPr>
        <w:t xml:space="preserve">the </w:t>
      </w:r>
      <w:r w:rsidR="00EB574C" w:rsidRPr="00BF1ED8">
        <w:rPr>
          <w:rFonts w:ascii="Arial" w:hAnsi="Arial" w:cs="Arial"/>
          <w:sz w:val="24"/>
          <w:lang w:val="en"/>
        </w:rPr>
        <w:t>parents / caregivers.</w:t>
      </w:r>
      <w:r w:rsidR="00BF1ED8" w:rsidRPr="00BF1ED8">
        <w:rPr>
          <w:rFonts w:ascii="Arial" w:hAnsi="Arial" w:cs="Arial"/>
          <w:sz w:val="24"/>
          <w:lang w:val="en"/>
        </w:rPr>
        <w:t xml:space="preserve"> </w:t>
      </w:r>
      <w:r w:rsidR="00EB574C" w:rsidRPr="00BF1ED8">
        <w:rPr>
          <w:rFonts w:ascii="Arial" w:hAnsi="Arial" w:cs="Arial"/>
          <w:sz w:val="24"/>
          <w:lang w:val="en"/>
        </w:rPr>
        <w:t>The study variables comprised sociodemographic data; functional independence level (measured by the MIF scale); and HRQoL measurement obtained by the Pediatric Quality of Life Inventory (PedsQL</w:t>
      </w:r>
      <w:r w:rsidR="00EB574C" w:rsidRPr="00BF1ED8">
        <w:rPr>
          <w:rFonts w:ascii="Arial" w:hAnsi="Arial" w:cs="Arial"/>
          <w:sz w:val="24"/>
          <w:vertAlign w:val="superscript"/>
          <w:lang w:val="en"/>
        </w:rPr>
        <w:t>TM</w:t>
      </w:r>
      <w:r w:rsidR="00EB574C" w:rsidRPr="00BF1ED8">
        <w:rPr>
          <w:rFonts w:ascii="Arial" w:hAnsi="Arial" w:cs="Arial"/>
          <w:sz w:val="24"/>
          <w:lang w:val="en"/>
        </w:rPr>
        <w:t xml:space="preserve"> 4.0).</w:t>
      </w:r>
      <w:r w:rsidR="00C57271">
        <w:rPr>
          <w:rFonts w:ascii="Arial" w:hAnsi="Arial" w:cs="Arial"/>
          <w:sz w:val="24"/>
          <w:lang w:val="en"/>
        </w:rPr>
        <w:t xml:space="preserve"> </w:t>
      </w:r>
      <w:r w:rsidRPr="0011764E">
        <w:rPr>
          <w:rFonts w:ascii="Arial" w:hAnsi="Arial" w:cs="Arial"/>
          <w:b/>
          <w:sz w:val="24"/>
          <w:lang w:val="en-US"/>
        </w:rPr>
        <w:t>Results:</w:t>
      </w:r>
      <w:r w:rsidRPr="0011764E">
        <w:rPr>
          <w:rFonts w:ascii="Arial" w:hAnsi="Arial" w:cs="Arial"/>
          <w:sz w:val="24"/>
          <w:lang w:val="en-US"/>
        </w:rPr>
        <w:t xml:space="preserve"> 26 patients participated in the study. These were predominantly males (61.5%), mean age of 10±4.5 years, and MPS type VI (73.1%). According to the parents' perspective, children and adolescents needed more assistance in self-care activities compared to transfer and locomotion activities. Regarding HRQoL, parents considered better physical health status than psychosocial health. MIF and HRQoL had no as</w:t>
      </w:r>
      <w:r w:rsidR="005E4CB1">
        <w:rPr>
          <w:rFonts w:ascii="Arial" w:hAnsi="Arial" w:cs="Arial"/>
          <w:sz w:val="24"/>
          <w:lang w:val="en-US"/>
        </w:rPr>
        <w:t>sociation with age and</w:t>
      </w:r>
      <w:r w:rsidRPr="0011764E">
        <w:rPr>
          <w:rFonts w:ascii="Arial" w:hAnsi="Arial" w:cs="Arial"/>
          <w:sz w:val="24"/>
          <w:lang w:val="en-US"/>
        </w:rPr>
        <w:t xml:space="preserve"> sex. There was a significant correlation between total MIF score and general quality of life, r=0.52 (p=0.007). The physical capacity was the only area of ​​the HRQ</w:t>
      </w:r>
      <w:r w:rsidR="005C1702">
        <w:rPr>
          <w:rFonts w:ascii="Arial" w:hAnsi="Arial" w:cs="Arial"/>
          <w:sz w:val="24"/>
          <w:lang w:val="en-US"/>
        </w:rPr>
        <w:t>o</w:t>
      </w:r>
      <w:r w:rsidRPr="0011764E">
        <w:rPr>
          <w:rFonts w:ascii="Arial" w:hAnsi="Arial" w:cs="Arial"/>
          <w:sz w:val="24"/>
          <w:lang w:val="en-US"/>
        </w:rPr>
        <w:t>L that showed a significant correlation with the dimensions of the MIF; moderate correlation with the motor domain, r=0.60 (p=0.001), and weak with the cognitive domain, r=0.40 (p=0.04). In the multivariate linear regression analysis model, only the subdomain locomotion of the MIF showed an independent correlation with the physical capacity domain of PedsQL</w:t>
      </w:r>
      <w:r w:rsidRPr="005C1702">
        <w:rPr>
          <w:rFonts w:ascii="Arial" w:hAnsi="Arial" w:cs="Arial"/>
          <w:sz w:val="24"/>
          <w:vertAlign w:val="superscript"/>
          <w:lang w:val="en-US"/>
        </w:rPr>
        <w:t>TM</w:t>
      </w:r>
      <w:r w:rsidR="005C1702">
        <w:rPr>
          <w:rFonts w:ascii="Arial" w:hAnsi="Arial" w:cs="Arial"/>
          <w:sz w:val="24"/>
          <w:lang w:val="en-US"/>
        </w:rPr>
        <w:t xml:space="preserve"> 4.0 (p</w:t>
      </w:r>
      <w:r w:rsidRPr="0011764E">
        <w:rPr>
          <w:rFonts w:ascii="Arial" w:hAnsi="Arial" w:cs="Arial"/>
          <w:sz w:val="24"/>
          <w:lang w:val="en-US"/>
        </w:rPr>
        <w:t>&lt;0.01). 39.7% of the variability of the physical capacity w</w:t>
      </w:r>
      <w:r w:rsidR="008035FA">
        <w:rPr>
          <w:rFonts w:ascii="Arial" w:hAnsi="Arial" w:cs="Arial"/>
          <w:sz w:val="24"/>
          <w:lang w:val="en-US"/>
        </w:rPr>
        <w:t>ere</w:t>
      </w:r>
      <w:r w:rsidRPr="0011764E">
        <w:rPr>
          <w:rFonts w:ascii="Arial" w:hAnsi="Arial" w:cs="Arial"/>
          <w:sz w:val="24"/>
          <w:lang w:val="en-US"/>
        </w:rPr>
        <w:t xml:space="preserve"> explained by the subdomain locomotion.</w:t>
      </w:r>
      <w:r w:rsidR="005C1702">
        <w:rPr>
          <w:rFonts w:ascii="Arial" w:hAnsi="Arial" w:cs="Arial"/>
          <w:sz w:val="24"/>
          <w:lang w:val="en-US"/>
        </w:rPr>
        <w:t xml:space="preserve"> </w:t>
      </w:r>
      <w:r w:rsidRPr="0011764E">
        <w:rPr>
          <w:rFonts w:ascii="Arial" w:hAnsi="Arial" w:cs="Arial"/>
          <w:b/>
          <w:sz w:val="24"/>
          <w:lang w:val="en-US"/>
        </w:rPr>
        <w:t>Conclusion:</w:t>
      </w:r>
      <w:r w:rsidRPr="0011764E">
        <w:rPr>
          <w:rFonts w:ascii="Arial" w:hAnsi="Arial" w:cs="Arial"/>
          <w:sz w:val="24"/>
          <w:lang w:val="en-US"/>
        </w:rPr>
        <w:t xml:space="preserve"> The functional independence of children and adolescents with MPS showed a significant correlation with HRQoL. A correlation was observed between the activities of self-care, transfers, locomotion and social cognition, with the physical capacity domain of HRQoL. The difficulty for locomotion, independently, was the </w:t>
      </w:r>
      <w:r w:rsidR="00A50CA9">
        <w:rPr>
          <w:rFonts w:ascii="Arial" w:hAnsi="Arial" w:cs="Arial"/>
          <w:sz w:val="24"/>
          <w:lang w:val="en-US"/>
        </w:rPr>
        <w:t>factor</w:t>
      </w:r>
      <w:r w:rsidRPr="0011764E">
        <w:rPr>
          <w:rFonts w:ascii="Arial" w:hAnsi="Arial" w:cs="Arial"/>
          <w:sz w:val="24"/>
          <w:lang w:val="en-US"/>
        </w:rPr>
        <w:t xml:space="preserve"> with the greatest impact on the physical capacity of the subjects participating in this study, according to the conception of their parents or caregivers.</w:t>
      </w:r>
    </w:p>
    <w:p w:rsidR="005C1702" w:rsidRDefault="005C1702" w:rsidP="00A159A9">
      <w:pPr>
        <w:spacing w:after="0" w:line="240" w:lineRule="auto"/>
        <w:jc w:val="both"/>
        <w:rPr>
          <w:rFonts w:ascii="Arial" w:hAnsi="Arial" w:cs="Arial"/>
          <w:sz w:val="24"/>
          <w:lang w:val="en-US"/>
        </w:rPr>
      </w:pPr>
    </w:p>
    <w:p w:rsidR="00EE6023" w:rsidRPr="00FF1F37" w:rsidRDefault="00A159A9" w:rsidP="00A159A9">
      <w:pPr>
        <w:spacing w:after="0" w:line="240" w:lineRule="auto"/>
        <w:jc w:val="both"/>
        <w:rPr>
          <w:rFonts w:ascii="Arial" w:hAnsi="Arial" w:cs="Arial"/>
          <w:sz w:val="24"/>
          <w:lang w:val="en-US"/>
        </w:rPr>
      </w:pPr>
      <w:r w:rsidRPr="0011764E">
        <w:rPr>
          <w:rFonts w:ascii="Arial" w:hAnsi="Arial" w:cs="Arial"/>
          <w:b/>
          <w:sz w:val="24"/>
          <w:lang w:val="en-US"/>
        </w:rPr>
        <w:t>Keywords:</w:t>
      </w:r>
      <w:r w:rsidRPr="0011764E">
        <w:rPr>
          <w:rFonts w:ascii="Arial" w:hAnsi="Arial" w:cs="Arial"/>
          <w:sz w:val="24"/>
          <w:lang w:val="en-US"/>
        </w:rPr>
        <w:t xml:space="preserve"> Mucopolysaccharidoses. Da</w:t>
      </w:r>
      <w:r w:rsidR="0077126E">
        <w:rPr>
          <w:rFonts w:ascii="Arial" w:hAnsi="Arial" w:cs="Arial"/>
          <w:sz w:val="24"/>
          <w:lang w:val="en-US"/>
        </w:rPr>
        <w:t>ily Activities. Quality of life.</w:t>
      </w:r>
    </w:p>
    <w:p w:rsidR="00EE6023" w:rsidRPr="00FF1F37" w:rsidRDefault="00EE6023" w:rsidP="003124E4">
      <w:pPr>
        <w:spacing w:after="0" w:line="240" w:lineRule="auto"/>
        <w:jc w:val="both"/>
        <w:rPr>
          <w:rFonts w:ascii="Arial" w:hAnsi="Arial" w:cs="Arial"/>
          <w:sz w:val="24"/>
          <w:lang w:val="en-US"/>
        </w:rPr>
      </w:pPr>
    </w:p>
    <w:p w:rsidR="00EE6023" w:rsidRDefault="00EE6023" w:rsidP="003124E4">
      <w:pPr>
        <w:spacing w:after="0" w:line="240" w:lineRule="auto"/>
        <w:jc w:val="both"/>
        <w:rPr>
          <w:rFonts w:ascii="Arial" w:hAnsi="Arial" w:cs="Arial"/>
          <w:sz w:val="24"/>
          <w:lang w:val="en-US"/>
        </w:rPr>
      </w:pPr>
    </w:p>
    <w:p w:rsidR="00C57271" w:rsidRDefault="00C57271" w:rsidP="003124E4">
      <w:pPr>
        <w:spacing w:after="0" w:line="240" w:lineRule="auto"/>
        <w:jc w:val="both"/>
        <w:rPr>
          <w:rFonts w:ascii="Arial" w:hAnsi="Arial" w:cs="Arial"/>
          <w:sz w:val="24"/>
          <w:lang w:val="en-US"/>
        </w:rPr>
      </w:pPr>
    </w:p>
    <w:p w:rsidR="00C57271" w:rsidRPr="00FF1F37" w:rsidRDefault="00C57271" w:rsidP="003124E4">
      <w:pPr>
        <w:spacing w:after="0" w:line="240" w:lineRule="auto"/>
        <w:jc w:val="both"/>
        <w:rPr>
          <w:rFonts w:ascii="Arial" w:hAnsi="Arial" w:cs="Arial"/>
          <w:sz w:val="24"/>
          <w:lang w:val="en-US"/>
        </w:rPr>
      </w:pPr>
    </w:p>
    <w:p w:rsidR="00EE6023" w:rsidRPr="00FF1F37" w:rsidRDefault="00EE6023" w:rsidP="003124E4">
      <w:pPr>
        <w:spacing w:after="0" w:line="240" w:lineRule="auto"/>
        <w:jc w:val="both"/>
        <w:rPr>
          <w:rFonts w:ascii="Arial" w:hAnsi="Arial" w:cs="Arial"/>
          <w:sz w:val="24"/>
          <w:lang w:val="en-US"/>
        </w:rPr>
      </w:pPr>
    </w:p>
    <w:p w:rsidR="00D36FA9" w:rsidRPr="00D36FA9" w:rsidRDefault="00D36FA9" w:rsidP="005F778F">
      <w:pPr>
        <w:spacing w:after="0" w:line="360" w:lineRule="auto"/>
        <w:jc w:val="center"/>
        <w:rPr>
          <w:rFonts w:ascii="Arial" w:hAnsi="Arial" w:cs="Arial"/>
          <w:b/>
          <w:sz w:val="24"/>
        </w:rPr>
      </w:pPr>
      <w:r w:rsidRPr="00D36FA9">
        <w:rPr>
          <w:rFonts w:ascii="Arial" w:hAnsi="Arial" w:cs="Arial"/>
          <w:b/>
          <w:sz w:val="24"/>
        </w:rPr>
        <w:lastRenderedPageBreak/>
        <w:t>LISTA DE QUADROS</w:t>
      </w:r>
    </w:p>
    <w:p w:rsidR="00D36FA9" w:rsidRDefault="00D36FA9" w:rsidP="005F778F">
      <w:pPr>
        <w:spacing w:after="0" w:line="360" w:lineRule="auto"/>
        <w:jc w:val="both"/>
        <w:rPr>
          <w:rFonts w:ascii="Arial" w:hAnsi="Arial" w:cs="Arial"/>
          <w:sz w:val="24"/>
        </w:rPr>
      </w:pPr>
    </w:p>
    <w:p w:rsidR="00F41B07" w:rsidRPr="00F41B07" w:rsidRDefault="00F41B07" w:rsidP="00F41B07">
      <w:pPr>
        <w:pStyle w:val="ndicedeilustraes"/>
        <w:tabs>
          <w:tab w:val="right" w:leader="dot" w:pos="9061"/>
        </w:tabs>
        <w:spacing w:line="360" w:lineRule="auto"/>
        <w:jc w:val="both"/>
        <w:rPr>
          <w:rFonts w:ascii="Arial" w:eastAsiaTheme="minorEastAsia" w:hAnsi="Arial" w:cs="Arial"/>
          <w:noProof/>
          <w:sz w:val="24"/>
          <w:szCs w:val="24"/>
          <w:lang w:eastAsia="pt-BR"/>
        </w:rPr>
      </w:pPr>
      <w:r w:rsidRPr="00F41B07">
        <w:rPr>
          <w:rFonts w:ascii="Arial" w:hAnsi="Arial" w:cs="Arial"/>
          <w:sz w:val="24"/>
          <w:szCs w:val="24"/>
        </w:rPr>
        <w:fldChar w:fldCharType="begin"/>
      </w:r>
      <w:r w:rsidRPr="00F41B07">
        <w:rPr>
          <w:rFonts w:ascii="Arial" w:hAnsi="Arial" w:cs="Arial"/>
          <w:sz w:val="24"/>
          <w:szCs w:val="24"/>
        </w:rPr>
        <w:instrText xml:space="preserve"> TOC \c "Quadro" </w:instrText>
      </w:r>
      <w:r w:rsidRPr="00F41B07">
        <w:rPr>
          <w:rFonts w:ascii="Arial" w:hAnsi="Arial" w:cs="Arial"/>
          <w:sz w:val="24"/>
          <w:szCs w:val="24"/>
        </w:rPr>
        <w:fldChar w:fldCharType="separate"/>
      </w:r>
      <w:r w:rsidRPr="00F41B07">
        <w:rPr>
          <w:rFonts w:ascii="Arial" w:hAnsi="Arial" w:cs="Arial"/>
          <w:b/>
          <w:noProof/>
          <w:sz w:val="24"/>
          <w:szCs w:val="24"/>
        </w:rPr>
        <w:t xml:space="preserve">Quadro 1 – </w:t>
      </w:r>
      <w:r w:rsidRPr="00F41B07">
        <w:rPr>
          <w:rFonts w:ascii="Arial" w:hAnsi="Arial" w:cs="Arial"/>
          <w:noProof/>
          <w:sz w:val="24"/>
          <w:szCs w:val="24"/>
        </w:rPr>
        <w:t>Classificação das MPS, de acordo com a deficiência enzimática e o substrato (GAG) acumulado.</w:t>
      </w:r>
      <w:r w:rsidRPr="00F41B07">
        <w:rPr>
          <w:rFonts w:ascii="Arial" w:hAnsi="Arial" w:cs="Arial"/>
          <w:noProof/>
          <w:sz w:val="24"/>
          <w:szCs w:val="24"/>
        </w:rPr>
        <w:tab/>
      </w:r>
      <w:r w:rsidRPr="00F41B07">
        <w:rPr>
          <w:rFonts w:ascii="Arial" w:hAnsi="Arial" w:cs="Arial"/>
          <w:noProof/>
          <w:sz w:val="24"/>
          <w:szCs w:val="24"/>
        </w:rPr>
        <w:fldChar w:fldCharType="begin"/>
      </w:r>
      <w:r w:rsidRPr="00F41B07">
        <w:rPr>
          <w:rFonts w:ascii="Arial" w:hAnsi="Arial" w:cs="Arial"/>
          <w:noProof/>
          <w:sz w:val="24"/>
          <w:szCs w:val="24"/>
        </w:rPr>
        <w:instrText xml:space="preserve"> PAGEREF _Toc494629430 \h </w:instrText>
      </w:r>
      <w:r w:rsidRPr="00F41B07">
        <w:rPr>
          <w:rFonts w:ascii="Arial" w:hAnsi="Arial" w:cs="Arial"/>
          <w:noProof/>
          <w:sz w:val="24"/>
          <w:szCs w:val="24"/>
        </w:rPr>
      </w:r>
      <w:r w:rsidRPr="00F41B07">
        <w:rPr>
          <w:rFonts w:ascii="Arial" w:hAnsi="Arial" w:cs="Arial"/>
          <w:noProof/>
          <w:sz w:val="24"/>
          <w:szCs w:val="24"/>
        </w:rPr>
        <w:fldChar w:fldCharType="separate"/>
      </w:r>
      <w:r w:rsidR="005E2BE9">
        <w:rPr>
          <w:rFonts w:ascii="Arial" w:hAnsi="Arial" w:cs="Arial"/>
          <w:noProof/>
          <w:sz w:val="24"/>
          <w:szCs w:val="24"/>
        </w:rPr>
        <w:t>20</w:t>
      </w:r>
      <w:r w:rsidRPr="00F41B07">
        <w:rPr>
          <w:rFonts w:ascii="Arial" w:hAnsi="Arial" w:cs="Arial"/>
          <w:noProof/>
          <w:sz w:val="24"/>
          <w:szCs w:val="24"/>
        </w:rPr>
        <w:fldChar w:fldCharType="end"/>
      </w:r>
    </w:p>
    <w:p w:rsidR="00F41B07" w:rsidRPr="00F41B07" w:rsidRDefault="00F41B07" w:rsidP="00F41B07">
      <w:pPr>
        <w:pStyle w:val="ndicedeilustraes"/>
        <w:tabs>
          <w:tab w:val="right" w:leader="dot" w:pos="9061"/>
        </w:tabs>
        <w:spacing w:line="360" w:lineRule="auto"/>
        <w:jc w:val="both"/>
        <w:rPr>
          <w:rFonts w:ascii="Arial" w:eastAsiaTheme="minorEastAsia" w:hAnsi="Arial" w:cs="Arial"/>
          <w:noProof/>
          <w:sz w:val="24"/>
          <w:szCs w:val="24"/>
          <w:lang w:eastAsia="pt-BR"/>
        </w:rPr>
      </w:pPr>
      <w:r w:rsidRPr="00F41B07">
        <w:rPr>
          <w:rFonts w:ascii="Arial" w:hAnsi="Arial" w:cs="Arial"/>
          <w:b/>
          <w:noProof/>
          <w:sz w:val="24"/>
          <w:szCs w:val="24"/>
        </w:rPr>
        <w:t>Quadro 2 –</w:t>
      </w:r>
      <w:r w:rsidRPr="00F41B07">
        <w:rPr>
          <w:rFonts w:ascii="Arial" w:hAnsi="Arial" w:cs="Arial"/>
          <w:noProof/>
          <w:sz w:val="24"/>
          <w:szCs w:val="24"/>
        </w:rPr>
        <w:t xml:space="preserve"> Artigos evidenciando a ocorrência de manifestações clínicas em indivíduos acometidos por MPS.</w:t>
      </w:r>
      <w:r w:rsidRPr="00F41B07">
        <w:rPr>
          <w:rFonts w:ascii="Arial" w:hAnsi="Arial" w:cs="Arial"/>
          <w:noProof/>
          <w:sz w:val="24"/>
          <w:szCs w:val="24"/>
        </w:rPr>
        <w:tab/>
      </w:r>
      <w:r w:rsidRPr="00F41B07">
        <w:rPr>
          <w:rFonts w:ascii="Arial" w:hAnsi="Arial" w:cs="Arial"/>
          <w:noProof/>
          <w:sz w:val="24"/>
          <w:szCs w:val="24"/>
        </w:rPr>
        <w:fldChar w:fldCharType="begin"/>
      </w:r>
      <w:r w:rsidRPr="00F41B07">
        <w:rPr>
          <w:rFonts w:ascii="Arial" w:hAnsi="Arial" w:cs="Arial"/>
          <w:noProof/>
          <w:sz w:val="24"/>
          <w:szCs w:val="24"/>
        </w:rPr>
        <w:instrText xml:space="preserve"> PAGEREF _Toc494629431 \h </w:instrText>
      </w:r>
      <w:r w:rsidRPr="00F41B07">
        <w:rPr>
          <w:rFonts w:ascii="Arial" w:hAnsi="Arial" w:cs="Arial"/>
          <w:noProof/>
          <w:sz w:val="24"/>
          <w:szCs w:val="24"/>
        </w:rPr>
      </w:r>
      <w:r w:rsidRPr="00F41B07">
        <w:rPr>
          <w:rFonts w:ascii="Arial" w:hAnsi="Arial" w:cs="Arial"/>
          <w:noProof/>
          <w:sz w:val="24"/>
          <w:szCs w:val="24"/>
        </w:rPr>
        <w:fldChar w:fldCharType="separate"/>
      </w:r>
      <w:r w:rsidR="005E2BE9">
        <w:rPr>
          <w:rFonts w:ascii="Arial" w:hAnsi="Arial" w:cs="Arial"/>
          <w:noProof/>
          <w:sz w:val="24"/>
          <w:szCs w:val="24"/>
        </w:rPr>
        <w:t>24</w:t>
      </w:r>
      <w:r w:rsidRPr="00F41B07">
        <w:rPr>
          <w:rFonts w:ascii="Arial" w:hAnsi="Arial" w:cs="Arial"/>
          <w:noProof/>
          <w:sz w:val="24"/>
          <w:szCs w:val="24"/>
        </w:rPr>
        <w:fldChar w:fldCharType="end"/>
      </w:r>
    </w:p>
    <w:p w:rsidR="00F41B07" w:rsidRPr="00F41B07" w:rsidRDefault="00F41B07" w:rsidP="00F41B07">
      <w:pPr>
        <w:pStyle w:val="ndicedeilustraes"/>
        <w:tabs>
          <w:tab w:val="right" w:leader="dot" w:pos="9061"/>
        </w:tabs>
        <w:spacing w:line="360" w:lineRule="auto"/>
        <w:jc w:val="both"/>
        <w:rPr>
          <w:rFonts w:ascii="Arial" w:eastAsiaTheme="minorEastAsia" w:hAnsi="Arial" w:cs="Arial"/>
          <w:noProof/>
          <w:sz w:val="24"/>
          <w:szCs w:val="24"/>
          <w:lang w:eastAsia="pt-BR"/>
        </w:rPr>
      </w:pPr>
      <w:r w:rsidRPr="00F41B07">
        <w:rPr>
          <w:rFonts w:ascii="Arial" w:hAnsi="Arial" w:cs="Arial"/>
          <w:b/>
          <w:noProof/>
          <w:sz w:val="24"/>
          <w:szCs w:val="24"/>
        </w:rPr>
        <w:t>Quadro 3 –</w:t>
      </w:r>
      <w:r w:rsidRPr="00F41B07">
        <w:rPr>
          <w:rFonts w:ascii="Arial" w:hAnsi="Arial" w:cs="Arial"/>
          <w:noProof/>
          <w:sz w:val="24"/>
          <w:szCs w:val="24"/>
        </w:rPr>
        <w:t xml:space="preserve"> Resumo de estudos sobre avaliação funcional de pacientes com mucopolissacaridoses.</w:t>
      </w:r>
      <w:r w:rsidRPr="00F41B07">
        <w:rPr>
          <w:rFonts w:ascii="Arial" w:hAnsi="Arial" w:cs="Arial"/>
          <w:noProof/>
          <w:sz w:val="24"/>
          <w:szCs w:val="24"/>
        </w:rPr>
        <w:tab/>
      </w:r>
      <w:r w:rsidRPr="00F41B07">
        <w:rPr>
          <w:rFonts w:ascii="Arial" w:hAnsi="Arial" w:cs="Arial"/>
          <w:noProof/>
          <w:sz w:val="24"/>
          <w:szCs w:val="24"/>
        </w:rPr>
        <w:fldChar w:fldCharType="begin"/>
      </w:r>
      <w:r w:rsidRPr="00F41B07">
        <w:rPr>
          <w:rFonts w:ascii="Arial" w:hAnsi="Arial" w:cs="Arial"/>
          <w:noProof/>
          <w:sz w:val="24"/>
          <w:szCs w:val="24"/>
        </w:rPr>
        <w:instrText xml:space="preserve"> PAGEREF _Toc494629432 \h </w:instrText>
      </w:r>
      <w:r w:rsidRPr="00F41B07">
        <w:rPr>
          <w:rFonts w:ascii="Arial" w:hAnsi="Arial" w:cs="Arial"/>
          <w:noProof/>
          <w:sz w:val="24"/>
          <w:szCs w:val="24"/>
        </w:rPr>
      </w:r>
      <w:r w:rsidRPr="00F41B07">
        <w:rPr>
          <w:rFonts w:ascii="Arial" w:hAnsi="Arial" w:cs="Arial"/>
          <w:noProof/>
          <w:sz w:val="24"/>
          <w:szCs w:val="24"/>
        </w:rPr>
        <w:fldChar w:fldCharType="separate"/>
      </w:r>
      <w:r w:rsidR="005E2BE9">
        <w:rPr>
          <w:rFonts w:ascii="Arial" w:hAnsi="Arial" w:cs="Arial"/>
          <w:noProof/>
          <w:sz w:val="24"/>
          <w:szCs w:val="24"/>
        </w:rPr>
        <w:t>30</w:t>
      </w:r>
      <w:r w:rsidRPr="00F41B07">
        <w:rPr>
          <w:rFonts w:ascii="Arial" w:hAnsi="Arial" w:cs="Arial"/>
          <w:noProof/>
          <w:sz w:val="24"/>
          <w:szCs w:val="24"/>
        </w:rPr>
        <w:fldChar w:fldCharType="end"/>
      </w:r>
    </w:p>
    <w:p w:rsidR="00D36FA9" w:rsidRDefault="00F41B07" w:rsidP="00F41B07">
      <w:pPr>
        <w:spacing w:after="0" w:line="360" w:lineRule="auto"/>
        <w:jc w:val="both"/>
        <w:rPr>
          <w:rFonts w:ascii="Arial" w:hAnsi="Arial" w:cs="Arial"/>
          <w:sz w:val="24"/>
        </w:rPr>
      </w:pPr>
      <w:r w:rsidRPr="00F41B07">
        <w:rPr>
          <w:rFonts w:ascii="Arial" w:hAnsi="Arial" w:cs="Arial"/>
          <w:sz w:val="24"/>
          <w:szCs w:val="24"/>
        </w:rPr>
        <w:fldChar w:fldCharType="end"/>
      </w: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Pr="002A5995" w:rsidRDefault="002A5995" w:rsidP="002A5995">
      <w:pPr>
        <w:spacing w:after="0" w:line="360" w:lineRule="auto"/>
        <w:jc w:val="center"/>
        <w:rPr>
          <w:rFonts w:ascii="Arial" w:hAnsi="Arial" w:cs="Arial"/>
          <w:b/>
          <w:sz w:val="24"/>
        </w:rPr>
      </w:pPr>
      <w:r w:rsidRPr="002A5995">
        <w:rPr>
          <w:rFonts w:ascii="Arial" w:hAnsi="Arial" w:cs="Arial"/>
          <w:b/>
          <w:sz w:val="24"/>
        </w:rPr>
        <w:lastRenderedPageBreak/>
        <w:t>LISTA DE GRÁFICOS</w:t>
      </w:r>
    </w:p>
    <w:p w:rsidR="002A5995" w:rsidRDefault="002A5995" w:rsidP="002A5995">
      <w:pPr>
        <w:spacing w:after="0" w:line="360" w:lineRule="auto"/>
        <w:jc w:val="both"/>
        <w:rPr>
          <w:rFonts w:ascii="Arial" w:hAnsi="Arial" w:cs="Arial"/>
          <w:sz w:val="24"/>
        </w:rPr>
      </w:pPr>
    </w:p>
    <w:p w:rsidR="002A5995" w:rsidRPr="002A5995" w:rsidRDefault="002A5995" w:rsidP="002A5995">
      <w:pPr>
        <w:pStyle w:val="ndicedeilustraes"/>
        <w:tabs>
          <w:tab w:val="right" w:leader="dot" w:pos="9061"/>
        </w:tabs>
        <w:spacing w:line="360" w:lineRule="auto"/>
        <w:jc w:val="both"/>
        <w:rPr>
          <w:rFonts w:ascii="Arial" w:eastAsiaTheme="minorEastAsia" w:hAnsi="Arial" w:cs="Arial"/>
          <w:noProof/>
          <w:sz w:val="24"/>
          <w:lang w:eastAsia="pt-BR"/>
        </w:rPr>
      </w:pPr>
      <w:r>
        <w:rPr>
          <w:rFonts w:ascii="Arial" w:hAnsi="Arial" w:cs="Arial"/>
          <w:sz w:val="24"/>
        </w:rPr>
        <w:fldChar w:fldCharType="begin"/>
      </w:r>
      <w:r>
        <w:rPr>
          <w:rFonts w:ascii="Arial" w:hAnsi="Arial" w:cs="Arial"/>
          <w:sz w:val="24"/>
        </w:rPr>
        <w:instrText xml:space="preserve"> TOC \h \z \c "Gráfico" </w:instrText>
      </w:r>
      <w:r>
        <w:rPr>
          <w:rFonts w:ascii="Arial" w:hAnsi="Arial" w:cs="Arial"/>
          <w:sz w:val="24"/>
        </w:rPr>
        <w:fldChar w:fldCharType="separate"/>
      </w:r>
      <w:hyperlink r:id="rId12" w:anchor="_Toc496910097" w:history="1">
        <w:r w:rsidRPr="002A5995">
          <w:rPr>
            <w:rStyle w:val="Hyperlink"/>
            <w:rFonts w:ascii="Arial" w:hAnsi="Arial" w:cs="Arial"/>
            <w:b/>
            <w:noProof/>
            <w:sz w:val="24"/>
          </w:rPr>
          <w:t>Gráfico 1 –</w:t>
        </w:r>
        <w:r w:rsidRPr="002A5995">
          <w:rPr>
            <w:rStyle w:val="Hyperlink"/>
            <w:rFonts w:ascii="Arial" w:hAnsi="Arial" w:cs="Arial"/>
            <w:noProof/>
            <w:sz w:val="24"/>
          </w:rPr>
          <w:t xml:space="preserve"> </w:t>
        </w:r>
        <w:r w:rsidRPr="002A5995">
          <w:rPr>
            <w:rStyle w:val="Hyperlink"/>
            <w:rFonts w:ascii="Arial" w:hAnsi="Arial" w:cs="Arial"/>
            <w:i/>
            <w:noProof/>
            <w:sz w:val="24"/>
          </w:rPr>
          <w:t>Box plot</w:t>
        </w:r>
        <w:r w:rsidRPr="002A5995">
          <w:rPr>
            <w:rStyle w:val="Hyperlink"/>
            <w:rFonts w:ascii="Arial" w:hAnsi="Arial" w:cs="Arial"/>
            <w:noProof/>
            <w:sz w:val="24"/>
          </w:rPr>
          <w:t xml:space="preserve"> da associação entre sexo e escore total da escala MIF.</w:t>
        </w:r>
        <w:r w:rsidRPr="002A5995">
          <w:rPr>
            <w:rFonts w:ascii="Arial" w:hAnsi="Arial" w:cs="Arial"/>
            <w:noProof/>
            <w:webHidden/>
            <w:sz w:val="24"/>
          </w:rPr>
          <w:tab/>
        </w:r>
        <w:r w:rsidRPr="002A5995">
          <w:rPr>
            <w:rFonts w:ascii="Arial" w:hAnsi="Arial" w:cs="Arial"/>
            <w:noProof/>
            <w:webHidden/>
            <w:sz w:val="24"/>
          </w:rPr>
          <w:fldChar w:fldCharType="begin"/>
        </w:r>
        <w:r w:rsidRPr="002A5995">
          <w:rPr>
            <w:rFonts w:ascii="Arial" w:hAnsi="Arial" w:cs="Arial"/>
            <w:noProof/>
            <w:webHidden/>
            <w:sz w:val="24"/>
          </w:rPr>
          <w:instrText xml:space="preserve"> PAGEREF _Toc496910097 \h </w:instrText>
        </w:r>
        <w:r w:rsidRPr="002A5995">
          <w:rPr>
            <w:rFonts w:ascii="Arial" w:hAnsi="Arial" w:cs="Arial"/>
            <w:noProof/>
            <w:webHidden/>
            <w:sz w:val="24"/>
          </w:rPr>
        </w:r>
        <w:r w:rsidRPr="002A5995">
          <w:rPr>
            <w:rFonts w:ascii="Arial" w:hAnsi="Arial" w:cs="Arial"/>
            <w:noProof/>
            <w:webHidden/>
            <w:sz w:val="24"/>
          </w:rPr>
          <w:fldChar w:fldCharType="separate"/>
        </w:r>
        <w:r w:rsidR="005E2BE9">
          <w:rPr>
            <w:rFonts w:ascii="Arial" w:hAnsi="Arial" w:cs="Arial"/>
            <w:noProof/>
            <w:webHidden/>
            <w:sz w:val="24"/>
          </w:rPr>
          <w:t>48</w:t>
        </w:r>
        <w:r w:rsidRPr="002A5995">
          <w:rPr>
            <w:rFonts w:ascii="Arial" w:hAnsi="Arial" w:cs="Arial"/>
            <w:noProof/>
            <w:webHidden/>
            <w:sz w:val="24"/>
          </w:rPr>
          <w:fldChar w:fldCharType="end"/>
        </w:r>
      </w:hyperlink>
    </w:p>
    <w:p w:rsidR="002A5995" w:rsidRPr="002A5995" w:rsidRDefault="00FA6328" w:rsidP="002A5995">
      <w:pPr>
        <w:pStyle w:val="ndicedeilustraes"/>
        <w:tabs>
          <w:tab w:val="right" w:leader="dot" w:pos="9061"/>
        </w:tabs>
        <w:spacing w:line="360" w:lineRule="auto"/>
        <w:jc w:val="both"/>
        <w:rPr>
          <w:rFonts w:ascii="Arial" w:eastAsiaTheme="minorEastAsia" w:hAnsi="Arial" w:cs="Arial"/>
          <w:noProof/>
          <w:sz w:val="24"/>
          <w:lang w:eastAsia="pt-BR"/>
        </w:rPr>
      </w:pPr>
      <w:hyperlink r:id="rId13" w:anchor="_Toc496910098" w:history="1">
        <w:r w:rsidR="002A5995" w:rsidRPr="002A5995">
          <w:rPr>
            <w:rStyle w:val="Hyperlink"/>
            <w:rFonts w:ascii="Arial" w:hAnsi="Arial" w:cs="Arial"/>
            <w:b/>
            <w:noProof/>
            <w:sz w:val="24"/>
          </w:rPr>
          <w:t>Gráfico 2 –</w:t>
        </w:r>
        <w:r w:rsidR="002A5995" w:rsidRPr="002A5995">
          <w:rPr>
            <w:rStyle w:val="Hyperlink"/>
            <w:rFonts w:ascii="Arial" w:hAnsi="Arial" w:cs="Arial"/>
            <w:noProof/>
            <w:sz w:val="24"/>
          </w:rPr>
          <w:t xml:space="preserve"> Correlação entre idade e escore total da escala MIF.</w:t>
        </w:r>
        <w:r w:rsidR="002A5995" w:rsidRPr="002A5995">
          <w:rPr>
            <w:rFonts w:ascii="Arial" w:hAnsi="Arial" w:cs="Arial"/>
            <w:noProof/>
            <w:webHidden/>
            <w:sz w:val="24"/>
          </w:rPr>
          <w:tab/>
        </w:r>
        <w:r w:rsidR="002A5995" w:rsidRPr="002A5995">
          <w:rPr>
            <w:rFonts w:ascii="Arial" w:hAnsi="Arial" w:cs="Arial"/>
            <w:noProof/>
            <w:webHidden/>
            <w:sz w:val="24"/>
          </w:rPr>
          <w:fldChar w:fldCharType="begin"/>
        </w:r>
        <w:r w:rsidR="002A5995" w:rsidRPr="002A5995">
          <w:rPr>
            <w:rFonts w:ascii="Arial" w:hAnsi="Arial" w:cs="Arial"/>
            <w:noProof/>
            <w:webHidden/>
            <w:sz w:val="24"/>
          </w:rPr>
          <w:instrText xml:space="preserve"> PAGEREF _Toc496910098 \h </w:instrText>
        </w:r>
        <w:r w:rsidR="002A5995" w:rsidRPr="002A5995">
          <w:rPr>
            <w:rFonts w:ascii="Arial" w:hAnsi="Arial" w:cs="Arial"/>
            <w:noProof/>
            <w:webHidden/>
            <w:sz w:val="24"/>
          </w:rPr>
        </w:r>
        <w:r w:rsidR="002A5995" w:rsidRPr="002A5995">
          <w:rPr>
            <w:rFonts w:ascii="Arial" w:hAnsi="Arial" w:cs="Arial"/>
            <w:noProof/>
            <w:webHidden/>
            <w:sz w:val="24"/>
          </w:rPr>
          <w:fldChar w:fldCharType="separate"/>
        </w:r>
        <w:r w:rsidR="005E2BE9">
          <w:rPr>
            <w:rFonts w:ascii="Arial" w:hAnsi="Arial" w:cs="Arial"/>
            <w:noProof/>
            <w:webHidden/>
            <w:sz w:val="24"/>
          </w:rPr>
          <w:t>49</w:t>
        </w:r>
        <w:r w:rsidR="002A5995" w:rsidRPr="002A5995">
          <w:rPr>
            <w:rFonts w:ascii="Arial" w:hAnsi="Arial" w:cs="Arial"/>
            <w:noProof/>
            <w:webHidden/>
            <w:sz w:val="24"/>
          </w:rPr>
          <w:fldChar w:fldCharType="end"/>
        </w:r>
      </w:hyperlink>
    </w:p>
    <w:p w:rsidR="002A5995" w:rsidRPr="002A5995" w:rsidRDefault="00FA6328" w:rsidP="002A5995">
      <w:pPr>
        <w:pStyle w:val="ndicedeilustraes"/>
        <w:tabs>
          <w:tab w:val="right" w:leader="dot" w:pos="9061"/>
        </w:tabs>
        <w:spacing w:line="360" w:lineRule="auto"/>
        <w:jc w:val="both"/>
        <w:rPr>
          <w:rFonts w:ascii="Arial" w:eastAsiaTheme="minorEastAsia" w:hAnsi="Arial" w:cs="Arial"/>
          <w:noProof/>
          <w:sz w:val="24"/>
          <w:lang w:eastAsia="pt-BR"/>
        </w:rPr>
      </w:pPr>
      <w:hyperlink r:id="rId14" w:anchor="_Toc496910099" w:history="1">
        <w:r w:rsidR="002A5995" w:rsidRPr="002A5995">
          <w:rPr>
            <w:rStyle w:val="Hyperlink"/>
            <w:rFonts w:ascii="Arial" w:hAnsi="Arial" w:cs="Arial"/>
            <w:b/>
            <w:noProof/>
            <w:sz w:val="24"/>
          </w:rPr>
          <w:t>Gráfico 3 –</w:t>
        </w:r>
        <w:r w:rsidR="002A5995" w:rsidRPr="002A5995">
          <w:rPr>
            <w:rStyle w:val="Hyperlink"/>
            <w:rFonts w:ascii="Arial" w:hAnsi="Arial" w:cs="Arial"/>
            <w:noProof/>
            <w:sz w:val="24"/>
          </w:rPr>
          <w:t xml:space="preserve"> Correlação entre idade e domínio motor da escala MIF.</w:t>
        </w:r>
        <w:r w:rsidR="002A5995" w:rsidRPr="002A5995">
          <w:rPr>
            <w:rFonts w:ascii="Arial" w:hAnsi="Arial" w:cs="Arial"/>
            <w:noProof/>
            <w:webHidden/>
            <w:sz w:val="24"/>
          </w:rPr>
          <w:tab/>
        </w:r>
        <w:r w:rsidR="002A5995" w:rsidRPr="002A5995">
          <w:rPr>
            <w:rFonts w:ascii="Arial" w:hAnsi="Arial" w:cs="Arial"/>
            <w:noProof/>
            <w:webHidden/>
            <w:sz w:val="24"/>
          </w:rPr>
          <w:fldChar w:fldCharType="begin"/>
        </w:r>
        <w:r w:rsidR="002A5995" w:rsidRPr="002A5995">
          <w:rPr>
            <w:rFonts w:ascii="Arial" w:hAnsi="Arial" w:cs="Arial"/>
            <w:noProof/>
            <w:webHidden/>
            <w:sz w:val="24"/>
          </w:rPr>
          <w:instrText xml:space="preserve"> PAGEREF _Toc496910099 \h </w:instrText>
        </w:r>
        <w:r w:rsidR="002A5995" w:rsidRPr="002A5995">
          <w:rPr>
            <w:rFonts w:ascii="Arial" w:hAnsi="Arial" w:cs="Arial"/>
            <w:noProof/>
            <w:webHidden/>
            <w:sz w:val="24"/>
          </w:rPr>
        </w:r>
        <w:r w:rsidR="002A5995" w:rsidRPr="002A5995">
          <w:rPr>
            <w:rFonts w:ascii="Arial" w:hAnsi="Arial" w:cs="Arial"/>
            <w:noProof/>
            <w:webHidden/>
            <w:sz w:val="24"/>
          </w:rPr>
          <w:fldChar w:fldCharType="separate"/>
        </w:r>
        <w:r w:rsidR="005E2BE9">
          <w:rPr>
            <w:rFonts w:ascii="Arial" w:hAnsi="Arial" w:cs="Arial"/>
            <w:noProof/>
            <w:webHidden/>
            <w:sz w:val="24"/>
          </w:rPr>
          <w:t>49</w:t>
        </w:r>
        <w:r w:rsidR="002A5995" w:rsidRPr="002A5995">
          <w:rPr>
            <w:rFonts w:ascii="Arial" w:hAnsi="Arial" w:cs="Arial"/>
            <w:noProof/>
            <w:webHidden/>
            <w:sz w:val="24"/>
          </w:rPr>
          <w:fldChar w:fldCharType="end"/>
        </w:r>
      </w:hyperlink>
    </w:p>
    <w:p w:rsidR="002A5995" w:rsidRPr="002A5995" w:rsidRDefault="00FA6328" w:rsidP="002A5995">
      <w:pPr>
        <w:pStyle w:val="ndicedeilustraes"/>
        <w:tabs>
          <w:tab w:val="right" w:leader="dot" w:pos="9061"/>
        </w:tabs>
        <w:spacing w:line="360" w:lineRule="auto"/>
        <w:jc w:val="both"/>
        <w:rPr>
          <w:rFonts w:ascii="Arial" w:eastAsiaTheme="minorEastAsia" w:hAnsi="Arial" w:cs="Arial"/>
          <w:noProof/>
          <w:sz w:val="24"/>
          <w:lang w:eastAsia="pt-BR"/>
        </w:rPr>
      </w:pPr>
      <w:hyperlink r:id="rId15" w:anchor="_Toc496910100" w:history="1">
        <w:r w:rsidR="002A5995" w:rsidRPr="002A5995">
          <w:rPr>
            <w:rStyle w:val="Hyperlink"/>
            <w:rFonts w:ascii="Arial" w:hAnsi="Arial" w:cs="Arial"/>
            <w:b/>
            <w:noProof/>
            <w:sz w:val="24"/>
          </w:rPr>
          <w:t>Gráfico 4 –</w:t>
        </w:r>
        <w:r w:rsidR="002A5995" w:rsidRPr="002A5995">
          <w:rPr>
            <w:rStyle w:val="Hyperlink"/>
            <w:rFonts w:ascii="Arial" w:hAnsi="Arial" w:cs="Arial"/>
            <w:noProof/>
            <w:sz w:val="24"/>
          </w:rPr>
          <w:t xml:space="preserve"> Correlação entre idade e domínio cognitivo da escala MIF.</w:t>
        </w:r>
        <w:r w:rsidR="002A5995" w:rsidRPr="002A5995">
          <w:rPr>
            <w:rFonts w:ascii="Arial" w:hAnsi="Arial" w:cs="Arial"/>
            <w:noProof/>
            <w:webHidden/>
            <w:sz w:val="24"/>
          </w:rPr>
          <w:tab/>
        </w:r>
        <w:r w:rsidR="002A5995" w:rsidRPr="002A5995">
          <w:rPr>
            <w:rFonts w:ascii="Arial" w:hAnsi="Arial" w:cs="Arial"/>
            <w:noProof/>
            <w:webHidden/>
            <w:sz w:val="24"/>
          </w:rPr>
          <w:fldChar w:fldCharType="begin"/>
        </w:r>
        <w:r w:rsidR="002A5995" w:rsidRPr="002A5995">
          <w:rPr>
            <w:rFonts w:ascii="Arial" w:hAnsi="Arial" w:cs="Arial"/>
            <w:noProof/>
            <w:webHidden/>
            <w:sz w:val="24"/>
          </w:rPr>
          <w:instrText xml:space="preserve"> PAGEREF _Toc496910100 \h </w:instrText>
        </w:r>
        <w:r w:rsidR="002A5995" w:rsidRPr="002A5995">
          <w:rPr>
            <w:rFonts w:ascii="Arial" w:hAnsi="Arial" w:cs="Arial"/>
            <w:noProof/>
            <w:webHidden/>
            <w:sz w:val="24"/>
          </w:rPr>
        </w:r>
        <w:r w:rsidR="002A5995" w:rsidRPr="002A5995">
          <w:rPr>
            <w:rFonts w:ascii="Arial" w:hAnsi="Arial" w:cs="Arial"/>
            <w:noProof/>
            <w:webHidden/>
            <w:sz w:val="24"/>
          </w:rPr>
          <w:fldChar w:fldCharType="separate"/>
        </w:r>
        <w:r w:rsidR="005E2BE9">
          <w:rPr>
            <w:rFonts w:ascii="Arial" w:hAnsi="Arial" w:cs="Arial"/>
            <w:noProof/>
            <w:webHidden/>
            <w:sz w:val="24"/>
          </w:rPr>
          <w:t>50</w:t>
        </w:r>
        <w:r w:rsidR="002A5995" w:rsidRPr="002A5995">
          <w:rPr>
            <w:rFonts w:ascii="Arial" w:hAnsi="Arial" w:cs="Arial"/>
            <w:noProof/>
            <w:webHidden/>
            <w:sz w:val="24"/>
          </w:rPr>
          <w:fldChar w:fldCharType="end"/>
        </w:r>
      </w:hyperlink>
    </w:p>
    <w:p w:rsidR="002A5995" w:rsidRPr="002A5995" w:rsidRDefault="00FA6328" w:rsidP="002A5995">
      <w:pPr>
        <w:pStyle w:val="ndicedeilustraes"/>
        <w:tabs>
          <w:tab w:val="right" w:leader="dot" w:pos="9061"/>
        </w:tabs>
        <w:spacing w:line="360" w:lineRule="auto"/>
        <w:jc w:val="both"/>
        <w:rPr>
          <w:rFonts w:ascii="Arial" w:eastAsiaTheme="minorEastAsia" w:hAnsi="Arial" w:cs="Arial"/>
          <w:noProof/>
          <w:sz w:val="24"/>
          <w:lang w:eastAsia="pt-BR"/>
        </w:rPr>
      </w:pPr>
      <w:hyperlink r:id="rId16" w:anchor="_Toc496910101" w:history="1">
        <w:r w:rsidR="002A5995" w:rsidRPr="002A5995">
          <w:rPr>
            <w:rStyle w:val="Hyperlink"/>
            <w:rFonts w:ascii="Arial" w:hAnsi="Arial" w:cs="Arial"/>
            <w:b/>
            <w:noProof/>
            <w:sz w:val="24"/>
          </w:rPr>
          <w:t>Gráfico 5 –</w:t>
        </w:r>
        <w:r w:rsidR="002A5995" w:rsidRPr="002A5995">
          <w:rPr>
            <w:rStyle w:val="Hyperlink"/>
            <w:rFonts w:ascii="Arial" w:hAnsi="Arial" w:cs="Arial"/>
            <w:noProof/>
            <w:sz w:val="24"/>
          </w:rPr>
          <w:t xml:space="preserve"> </w:t>
        </w:r>
        <w:r w:rsidR="002A5995" w:rsidRPr="002A5995">
          <w:rPr>
            <w:rStyle w:val="Hyperlink"/>
            <w:rFonts w:ascii="Arial" w:hAnsi="Arial" w:cs="Arial"/>
            <w:i/>
            <w:noProof/>
            <w:sz w:val="24"/>
          </w:rPr>
          <w:t>Box plot</w:t>
        </w:r>
        <w:r w:rsidR="002A5995" w:rsidRPr="002A5995">
          <w:rPr>
            <w:rStyle w:val="Hyperlink"/>
            <w:rFonts w:ascii="Arial" w:hAnsi="Arial" w:cs="Arial"/>
            <w:noProof/>
            <w:sz w:val="24"/>
          </w:rPr>
          <w:t xml:space="preserve"> da associação entre sexo e QVRS (escore total do instrumento PedsQL</w:t>
        </w:r>
        <w:r w:rsidR="002A5995" w:rsidRPr="002A5995">
          <w:rPr>
            <w:rStyle w:val="Hyperlink"/>
            <w:rFonts w:ascii="Arial" w:hAnsi="Arial" w:cs="Arial"/>
            <w:noProof/>
            <w:sz w:val="24"/>
            <w:vertAlign w:val="superscript"/>
          </w:rPr>
          <w:t>TM</w:t>
        </w:r>
        <w:r w:rsidR="002A5995" w:rsidRPr="002A5995">
          <w:rPr>
            <w:rStyle w:val="Hyperlink"/>
            <w:rFonts w:ascii="Arial" w:hAnsi="Arial" w:cs="Arial"/>
            <w:noProof/>
            <w:sz w:val="24"/>
          </w:rPr>
          <w:t xml:space="preserve"> 4.0).</w:t>
        </w:r>
        <w:r w:rsidR="002A5995" w:rsidRPr="002A5995">
          <w:rPr>
            <w:rFonts w:ascii="Arial" w:hAnsi="Arial" w:cs="Arial"/>
            <w:noProof/>
            <w:webHidden/>
            <w:sz w:val="24"/>
          </w:rPr>
          <w:tab/>
        </w:r>
        <w:r w:rsidR="002A5995" w:rsidRPr="002A5995">
          <w:rPr>
            <w:rFonts w:ascii="Arial" w:hAnsi="Arial" w:cs="Arial"/>
            <w:noProof/>
            <w:webHidden/>
            <w:sz w:val="24"/>
          </w:rPr>
          <w:fldChar w:fldCharType="begin"/>
        </w:r>
        <w:r w:rsidR="002A5995" w:rsidRPr="002A5995">
          <w:rPr>
            <w:rFonts w:ascii="Arial" w:hAnsi="Arial" w:cs="Arial"/>
            <w:noProof/>
            <w:webHidden/>
            <w:sz w:val="24"/>
          </w:rPr>
          <w:instrText xml:space="preserve"> PAGEREF _Toc496910101 \h </w:instrText>
        </w:r>
        <w:r w:rsidR="002A5995" w:rsidRPr="002A5995">
          <w:rPr>
            <w:rFonts w:ascii="Arial" w:hAnsi="Arial" w:cs="Arial"/>
            <w:noProof/>
            <w:webHidden/>
            <w:sz w:val="24"/>
          </w:rPr>
        </w:r>
        <w:r w:rsidR="002A5995" w:rsidRPr="002A5995">
          <w:rPr>
            <w:rFonts w:ascii="Arial" w:hAnsi="Arial" w:cs="Arial"/>
            <w:noProof/>
            <w:webHidden/>
            <w:sz w:val="24"/>
          </w:rPr>
          <w:fldChar w:fldCharType="separate"/>
        </w:r>
        <w:r w:rsidR="005E2BE9">
          <w:rPr>
            <w:rFonts w:ascii="Arial" w:hAnsi="Arial" w:cs="Arial"/>
            <w:noProof/>
            <w:webHidden/>
            <w:sz w:val="24"/>
          </w:rPr>
          <w:t>51</w:t>
        </w:r>
        <w:r w:rsidR="002A5995" w:rsidRPr="002A5995">
          <w:rPr>
            <w:rFonts w:ascii="Arial" w:hAnsi="Arial" w:cs="Arial"/>
            <w:noProof/>
            <w:webHidden/>
            <w:sz w:val="24"/>
          </w:rPr>
          <w:fldChar w:fldCharType="end"/>
        </w:r>
      </w:hyperlink>
    </w:p>
    <w:p w:rsidR="002A5995" w:rsidRDefault="00FA6328" w:rsidP="002A5995">
      <w:pPr>
        <w:pStyle w:val="ndicedeilustraes"/>
        <w:tabs>
          <w:tab w:val="right" w:leader="dot" w:pos="9061"/>
        </w:tabs>
        <w:spacing w:line="360" w:lineRule="auto"/>
        <w:jc w:val="both"/>
        <w:rPr>
          <w:rFonts w:eastAsiaTheme="minorEastAsia"/>
          <w:noProof/>
          <w:lang w:eastAsia="pt-BR"/>
        </w:rPr>
      </w:pPr>
      <w:hyperlink r:id="rId17" w:anchor="_Toc496910102" w:history="1">
        <w:r w:rsidR="002A5995" w:rsidRPr="002A5995">
          <w:rPr>
            <w:rStyle w:val="Hyperlink"/>
            <w:rFonts w:ascii="Arial" w:hAnsi="Arial" w:cs="Arial"/>
            <w:b/>
            <w:noProof/>
            <w:sz w:val="24"/>
          </w:rPr>
          <w:t>Gráfico 6 –</w:t>
        </w:r>
        <w:r w:rsidR="002A5995" w:rsidRPr="002A5995">
          <w:rPr>
            <w:rStyle w:val="Hyperlink"/>
            <w:rFonts w:ascii="Arial" w:hAnsi="Arial" w:cs="Arial"/>
            <w:noProof/>
            <w:sz w:val="24"/>
          </w:rPr>
          <w:t xml:space="preserve"> Correlação entre idade e QVRS (escore total do instrumento PedsQL</w:t>
        </w:r>
        <w:r w:rsidR="002A5995" w:rsidRPr="002A5995">
          <w:rPr>
            <w:rStyle w:val="Hyperlink"/>
            <w:rFonts w:ascii="Arial" w:hAnsi="Arial" w:cs="Arial"/>
            <w:noProof/>
            <w:sz w:val="24"/>
            <w:vertAlign w:val="superscript"/>
          </w:rPr>
          <w:t>TM</w:t>
        </w:r>
        <w:r w:rsidR="002A5995" w:rsidRPr="002A5995">
          <w:rPr>
            <w:rStyle w:val="Hyperlink"/>
            <w:rFonts w:ascii="Arial" w:hAnsi="Arial" w:cs="Arial"/>
            <w:noProof/>
            <w:sz w:val="24"/>
          </w:rPr>
          <w:t xml:space="preserve"> 4.0).</w:t>
        </w:r>
        <w:r w:rsidR="002A5995" w:rsidRPr="002A5995">
          <w:rPr>
            <w:rFonts w:ascii="Arial" w:hAnsi="Arial" w:cs="Arial"/>
            <w:noProof/>
            <w:webHidden/>
            <w:sz w:val="24"/>
          </w:rPr>
          <w:tab/>
        </w:r>
        <w:r w:rsidR="002A5995" w:rsidRPr="002A5995">
          <w:rPr>
            <w:rFonts w:ascii="Arial" w:hAnsi="Arial" w:cs="Arial"/>
            <w:noProof/>
            <w:webHidden/>
            <w:sz w:val="24"/>
          </w:rPr>
          <w:fldChar w:fldCharType="begin"/>
        </w:r>
        <w:r w:rsidR="002A5995" w:rsidRPr="002A5995">
          <w:rPr>
            <w:rFonts w:ascii="Arial" w:hAnsi="Arial" w:cs="Arial"/>
            <w:noProof/>
            <w:webHidden/>
            <w:sz w:val="24"/>
          </w:rPr>
          <w:instrText xml:space="preserve"> PAGEREF _Toc496910102 \h </w:instrText>
        </w:r>
        <w:r w:rsidR="002A5995" w:rsidRPr="002A5995">
          <w:rPr>
            <w:rFonts w:ascii="Arial" w:hAnsi="Arial" w:cs="Arial"/>
            <w:noProof/>
            <w:webHidden/>
            <w:sz w:val="24"/>
          </w:rPr>
        </w:r>
        <w:r w:rsidR="002A5995" w:rsidRPr="002A5995">
          <w:rPr>
            <w:rFonts w:ascii="Arial" w:hAnsi="Arial" w:cs="Arial"/>
            <w:noProof/>
            <w:webHidden/>
            <w:sz w:val="24"/>
          </w:rPr>
          <w:fldChar w:fldCharType="separate"/>
        </w:r>
        <w:r w:rsidR="005E2BE9">
          <w:rPr>
            <w:rFonts w:ascii="Arial" w:hAnsi="Arial" w:cs="Arial"/>
            <w:noProof/>
            <w:webHidden/>
            <w:sz w:val="24"/>
          </w:rPr>
          <w:t>51</w:t>
        </w:r>
        <w:r w:rsidR="002A5995" w:rsidRPr="002A5995">
          <w:rPr>
            <w:rFonts w:ascii="Arial" w:hAnsi="Arial" w:cs="Arial"/>
            <w:noProof/>
            <w:webHidden/>
            <w:sz w:val="24"/>
          </w:rPr>
          <w:fldChar w:fldCharType="end"/>
        </w:r>
      </w:hyperlink>
    </w:p>
    <w:p w:rsidR="002A5995" w:rsidRDefault="002A5995" w:rsidP="002A5995">
      <w:pPr>
        <w:spacing w:after="0" w:line="360" w:lineRule="auto"/>
        <w:jc w:val="both"/>
        <w:rPr>
          <w:rFonts w:ascii="Arial" w:hAnsi="Arial" w:cs="Arial"/>
          <w:sz w:val="24"/>
        </w:rPr>
      </w:pPr>
      <w:r>
        <w:rPr>
          <w:rFonts w:ascii="Arial" w:hAnsi="Arial" w:cs="Arial"/>
          <w:sz w:val="24"/>
        </w:rPr>
        <w:fldChar w:fldCharType="end"/>
      </w: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D36FA9" w:rsidRDefault="00D36FA9"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2A5995" w:rsidRDefault="002A5995" w:rsidP="003124E4">
      <w:pPr>
        <w:spacing w:after="0" w:line="240" w:lineRule="auto"/>
        <w:jc w:val="both"/>
        <w:rPr>
          <w:rFonts w:ascii="Arial" w:hAnsi="Arial" w:cs="Arial"/>
          <w:sz w:val="24"/>
        </w:rPr>
      </w:pPr>
    </w:p>
    <w:p w:rsidR="003124E4" w:rsidRPr="003124E4" w:rsidRDefault="003124E4" w:rsidP="005F778F">
      <w:pPr>
        <w:spacing w:after="0" w:line="360" w:lineRule="auto"/>
        <w:jc w:val="center"/>
        <w:rPr>
          <w:rFonts w:ascii="Arial" w:hAnsi="Arial" w:cs="Arial"/>
          <w:b/>
          <w:sz w:val="24"/>
        </w:rPr>
      </w:pPr>
      <w:r w:rsidRPr="003124E4">
        <w:rPr>
          <w:rFonts w:ascii="Arial" w:hAnsi="Arial" w:cs="Arial"/>
          <w:b/>
          <w:sz w:val="24"/>
        </w:rPr>
        <w:lastRenderedPageBreak/>
        <w:t>LISTA DE TABELAS</w:t>
      </w:r>
    </w:p>
    <w:p w:rsidR="003124E4" w:rsidRDefault="003124E4" w:rsidP="005F778F">
      <w:pPr>
        <w:spacing w:after="0" w:line="360" w:lineRule="auto"/>
        <w:jc w:val="both"/>
        <w:rPr>
          <w:rFonts w:ascii="Arial" w:hAnsi="Arial" w:cs="Arial"/>
          <w:sz w:val="24"/>
        </w:rPr>
      </w:pPr>
    </w:p>
    <w:p w:rsidR="00EE34DF" w:rsidRPr="00EE34DF" w:rsidRDefault="00EE34DF" w:rsidP="00EE34DF">
      <w:pPr>
        <w:pStyle w:val="ndicedeilustraes"/>
        <w:tabs>
          <w:tab w:val="right" w:leader="dot" w:pos="9061"/>
        </w:tabs>
        <w:spacing w:line="360" w:lineRule="auto"/>
        <w:jc w:val="both"/>
        <w:rPr>
          <w:rFonts w:ascii="Arial" w:eastAsiaTheme="minorEastAsia" w:hAnsi="Arial" w:cs="Arial"/>
          <w:noProof/>
          <w:sz w:val="24"/>
          <w:szCs w:val="24"/>
          <w:lang w:eastAsia="pt-BR"/>
        </w:rPr>
      </w:pPr>
      <w:r>
        <w:rPr>
          <w:rFonts w:ascii="Arial" w:hAnsi="Arial" w:cs="Arial"/>
          <w:sz w:val="24"/>
          <w:szCs w:val="24"/>
        </w:rPr>
        <w:fldChar w:fldCharType="begin"/>
      </w:r>
      <w:r>
        <w:rPr>
          <w:rFonts w:ascii="Arial" w:hAnsi="Arial" w:cs="Arial"/>
          <w:sz w:val="24"/>
          <w:szCs w:val="24"/>
        </w:rPr>
        <w:instrText xml:space="preserve"> TOC \c "Tabela" </w:instrText>
      </w:r>
      <w:r>
        <w:rPr>
          <w:rFonts w:ascii="Arial" w:hAnsi="Arial" w:cs="Arial"/>
          <w:sz w:val="24"/>
          <w:szCs w:val="24"/>
        </w:rPr>
        <w:fldChar w:fldCharType="separate"/>
      </w:r>
      <w:r w:rsidRPr="00EE34DF">
        <w:rPr>
          <w:rFonts w:ascii="Arial" w:hAnsi="Arial" w:cs="Arial"/>
          <w:b/>
          <w:noProof/>
          <w:sz w:val="24"/>
          <w:szCs w:val="24"/>
        </w:rPr>
        <w:t>Tabela 1 –</w:t>
      </w:r>
      <w:r w:rsidRPr="00EE34DF">
        <w:rPr>
          <w:rFonts w:ascii="Arial" w:hAnsi="Arial" w:cs="Arial"/>
          <w:noProof/>
          <w:sz w:val="24"/>
          <w:szCs w:val="24"/>
        </w:rPr>
        <w:t xml:space="preserve"> Características sociodemográficas e clínica das crianças e adolescentes com MPS acompanhados no ambulatório de ortopedia do HSI, no período de janeiro de 2012 a outubro de 2014.</w:t>
      </w:r>
      <w:r w:rsidRPr="00EE34DF">
        <w:rPr>
          <w:rFonts w:ascii="Arial" w:hAnsi="Arial" w:cs="Arial"/>
          <w:noProof/>
          <w:sz w:val="24"/>
          <w:szCs w:val="24"/>
        </w:rPr>
        <w:tab/>
      </w:r>
      <w:r w:rsidRPr="00EE34DF">
        <w:rPr>
          <w:rFonts w:ascii="Arial" w:hAnsi="Arial" w:cs="Arial"/>
          <w:noProof/>
          <w:sz w:val="24"/>
          <w:szCs w:val="24"/>
        </w:rPr>
        <w:fldChar w:fldCharType="begin"/>
      </w:r>
      <w:r w:rsidRPr="00EE34DF">
        <w:rPr>
          <w:rFonts w:ascii="Arial" w:hAnsi="Arial" w:cs="Arial"/>
          <w:noProof/>
          <w:sz w:val="24"/>
          <w:szCs w:val="24"/>
        </w:rPr>
        <w:instrText xml:space="preserve"> PAGEREF _Toc496553538 \h </w:instrText>
      </w:r>
      <w:r w:rsidRPr="00EE34DF">
        <w:rPr>
          <w:rFonts w:ascii="Arial" w:hAnsi="Arial" w:cs="Arial"/>
          <w:noProof/>
          <w:sz w:val="24"/>
          <w:szCs w:val="24"/>
        </w:rPr>
      </w:r>
      <w:r w:rsidRPr="00EE34DF">
        <w:rPr>
          <w:rFonts w:ascii="Arial" w:hAnsi="Arial" w:cs="Arial"/>
          <w:noProof/>
          <w:sz w:val="24"/>
          <w:szCs w:val="24"/>
        </w:rPr>
        <w:fldChar w:fldCharType="separate"/>
      </w:r>
      <w:r w:rsidR="005E2BE9">
        <w:rPr>
          <w:rFonts w:ascii="Arial" w:hAnsi="Arial" w:cs="Arial"/>
          <w:noProof/>
          <w:sz w:val="24"/>
          <w:szCs w:val="24"/>
        </w:rPr>
        <w:t>46</w:t>
      </w:r>
      <w:r w:rsidRPr="00EE34DF">
        <w:rPr>
          <w:rFonts w:ascii="Arial" w:hAnsi="Arial" w:cs="Arial"/>
          <w:noProof/>
          <w:sz w:val="24"/>
          <w:szCs w:val="24"/>
        </w:rPr>
        <w:fldChar w:fldCharType="end"/>
      </w:r>
    </w:p>
    <w:p w:rsidR="00EE34DF" w:rsidRPr="00EE34DF" w:rsidRDefault="00EE34DF" w:rsidP="00EE34DF">
      <w:pPr>
        <w:pStyle w:val="ndicedeilustraes"/>
        <w:tabs>
          <w:tab w:val="right" w:leader="dot" w:pos="9061"/>
        </w:tabs>
        <w:spacing w:line="360" w:lineRule="auto"/>
        <w:jc w:val="both"/>
        <w:rPr>
          <w:rFonts w:ascii="Arial" w:eastAsiaTheme="minorEastAsia" w:hAnsi="Arial" w:cs="Arial"/>
          <w:noProof/>
          <w:sz w:val="24"/>
          <w:szCs w:val="24"/>
          <w:lang w:eastAsia="pt-BR"/>
        </w:rPr>
      </w:pPr>
      <w:r w:rsidRPr="00EE34DF">
        <w:rPr>
          <w:rFonts w:ascii="Arial" w:hAnsi="Arial" w:cs="Arial"/>
          <w:b/>
          <w:noProof/>
          <w:sz w:val="24"/>
          <w:szCs w:val="24"/>
        </w:rPr>
        <w:t>Tabela 2 –</w:t>
      </w:r>
      <w:r w:rsidRPr="00EE34DF">
        <w:rPr>
          <w:rFonts w:ascii="Arial" w:hAnsi="Arial" w:cs="Arial"/>
          <w:noProof/>
          <w:sz w:val="24"/>
          <w:szCs w:val="24"/>
        </w:rPr>
        <w:t xml:space="preserve"> Escores das dimensões/domínios e total da escala MIF aplicada aos pais das crianças e adolescentes acompanhados no ambulatório de ortopedia do HSI, no período de janeiro de 2012 a outubro de 2014.</w:t>
      </w:r>
      <w:r w:rsidRPr="00EE34DF">
        <w:rPr>
          <w:rFonts w:ascii="Arial" w:hAnsi="Arial" w:cs="Arial"/>
          <w:noProof/>
          <w:sz w:val="24"/>
          <w:szCs w:val="24"/>
        </w:rPr>
        <w:tab/>
      </w:r>
      <w:r w:rsidRPr="00EE34DF">
        <w:rPr>
          <w:rFonts w:ascii="Arial" w:hAnsi="Arial" w:cs="Arial"/>
          <w:noProof/>
          <w:sz w:val="24"/>
          <w:szCs w:val="24"/>
        </w:rPr>
        <w:fldChar w:fldCharType="begin"/>
      </w:r>
      <w:r w:rsidRPr="00EE34DF">
        <w:rPr>
          <w:rFonts w:ascii="Arial" w:hAnsi="Arial" w:cs="Arial"/>
          <w:noProof/>
          <w:sz w:val="24"/>
          <w:szCs w:val="24"/>
        </w:rPr>
        <w:instrText xml:space="preserve"> PAGEREF _Toc496553539 \h </w:instrText>
      </w:r>
      <w:r w:rsidRPr="00EE34DF">
        <w:rPr>
          <w:rFonts w:ascii="Arial" w:hAnsi="Arial" w:cs="Arial"/>
          <w:noProof/>
          <w:sz w:val="24"/>
          <w:szCs w:val="24"/>
        </w:rPr>
      </w:r>
      <w:r w:rsidRPr="00EE34DF">
        <w:rPr>
          <w:rFonts w:ascii="Arial" w:hAnsi="Arial" w:cs="Arial"/>
          <w:noProof/>
          <w:sz w:val="24"/>
          <w:szCs w:val="24"/>
        </w:rPr>
        <w:fldChar w:fldCharType="separate"/>
      </w:r>
      <w:r w:rsidR="005E2BE9">
        <w:rPr>
          <w:rFonts w:ascii="Arial" w:hAnsi="Arial" w:cs="Arial"/>
          <w:noProof/>
          <w:sz w:val="24"/>
          <w:szCs w:val="24"/>
        </w:rPr>
        <w:t>47</w:t>
      </w:r>
      <w:r w:rsidRPr="00EE34DF">
        <w:rPr>
          <w:rFonts w:ascii="Arial" w:hAnsi="Arial" w:cs="Arial"/>
          <w:noProof/>
          <w:sz w:val="24"/>
          <w:szCs w:val="24"/>
        </w:rPr>
        <w:fldChar w:fldCharType="end"/>
      </w:r>
    </w:p>
    <w:p w:rsidR="00EE34DF" w:rsidRPr="00EE34DF" w:rsidRDefault="00EE34DF" w:rsidP="00EE34DF">
      <w:pPr>
        <w:pStyle w:val="ndicedeilustraes"/>
        <w:tabs>
          <w:tab w:val="right" w:leader="dot" w:pos="9061"/>
        </w:tabs>
        <w:spacing w:line="360" w:lineRule="auto"/>
        <w:jc w:val="both"/>
        <w:rPr>
          <w:rFonts w:ascii="Arial" w:eastAsiaTheme="minorEastAsia" w:hAnsi="Arial" w:cs="Arial"/>
          <w:noProof/>
          <w:sz w:val="24"/>
          <w:szCs w:val="24"/>
          <w:lang w:eastAsia="pt-BR"/>
        </w:rPr>
      </w:pPr>
      <w:r w:rsidRPr="00EE34DF">
        <w:rPr>
          <w:rFonts w:ascii="Arial" w:hAnsi="Arial" w:cs="Arial"/>
          <w:b/>
          <w:noProof/>
          <w:sz w:val="24"/>
          <w:szCs w:val="24"/>
        </w:rPr>
        <w:t xml:space="preserve">Tabela 3 – </w:t>
      </w:r>
      <w:r w:rsidRPr="00EE34DF">
        <w:rPr>
          <w:rFonts w:ascii="Arial" w:hAnsi="Arial" w:cs="Arial"/>
          <w:noProof/>
          <w:sz w:val="24"/>
          <w:szCs w:val="24"/>
        </w:rPr>
        <w:t>Escores dos domínios e total do instrumento PedsQL</w:t>
      </w:r>
      <w:r w:rsidRPr="00EE34DF">
        <w:rPr>
          <w:rFonts w:ascii="Arial" w:hAnsi="Arial" w:cs="Arial"/>
          <w:noProof/>
          <w:sz w:val="24"/>
          <w:szCs w:val="24"/>
          <w:vertAlign w:val="superscript"/>
        </w:rPr>
        <w:t>TM</w:t>
      </w:r>
      <w:r w:rsidRPr="00EE34DF">
        <w:rPr>
          <w:rFonts w:ascii="Arial" w:hAnsi="Arial" w:cs="Arial"/>
          <w:noProof/>
          <w:sz w:val="24"/>
          <w:szCs w:val="24"/>
        </w:rPr>
        <w:t xml:space="preserve"> 4.0 aplicado aos pais das crianças e adolescentes acompanhados no ambulatório de ortopedia do HSI, no período de janeiro de 2012 a outubro de 2014.</w:t>
      </w:r>
      <w:r w:rsidRPr="00EE34DF">
        <w:rPr>
          <w:rFonts w:ascii="Arial" w:hAnsi="Arial" w:cs="Arial"/>
          <w:noProof/>
          <w:sz w:val="24"/>
          <w:szCs w:val="24"/>
        </w:rPr>
        <w:tab/>
      </w:r>
      <w:r w:rsidRPr="00EE34DF">
        <w:rPr>
          <w:rFonts w:ascii="Arial" w:hAnsi="Arial" w:cs="Arial"/>
          <w:noProof/>
          <w:sz w:val="24"/>
          <w:szCs w:val="24"/>
        </w:rPr>
        <w:fldChar w:fldCharType="begin"/>
      </w:r>
      <w:r w:rsidRPr="00EE34DF">
        <w:rPr>
          <w:rFonts w:ascii="Arial" w:hAnsi="Arial" w:cs="Arial"/>
          <w:noProof/>
          <w:sz w:val="24"/>
          <w:szCs w:val="24"/>
        </w:rPr>
        <w:instrText xml:space="preserve"> PAGEREF _Toc496553540 \h </w:instrText>
      </w:r>
      <w:r w:rsidRPr="00EE34DF">
        <w:rPr>
          <w:rFonts w:ascii="Arial" w:hAnsi="Arial" w:cs="Arial"/>
          <w:noProof/>
          <w:sz w:val="24"/>
          <w:szCs w:val="24"/>
        </w:rPr>
      </w:r>
      <w:r w:rsidRPr="00EE34DF">
        <w:rPr>
          <w:rFonts w:ascii="Arial" w:hAnsi="Arial" w:cs="Arial"/>
          <w:noProof/>
          <w:sz w:val="24"/>
          <w:szCs w:val="24"/>
        </w:rPr>
        <w:fldChar w:fldCharType="separate"/>
      </w:r>
      <w:r w:rsidR="005E2BE9">
        <w:rPr>
          <w:rFonts w:ascii="Arial" w:hAnsi="Arial" w:cs="Arial"/>
          <w:noProof/>
          <w:sz w:val="24"/>
          <w:szCs w:val="24"/>
        </w:rPr>
        <w:t>48</w:t>
      </w:r>
      <w:r w:rsidRPr="00EE34DF">
        <w:rPr>
          <w:rFonts w:ascii="Arial" w:hAnsi="Arial" w:cs="Arial"/>
          <w:noProof/>
          <w:sz w:val="24"/>
          <w:szCs w:val="24"/>
        </w:rPr>
        <w:fldChar w:fldCharType="end"/>
      </w:r>
    </w:p>
    <w:p w:rsidR="00EE34DF" w:rsidRPr="00EE34DF" w:rsidRDefault="00EE34DF" w:rsidP="00EE34DF">
      <w:pPr>
        <w:pStyle w:val="ndicedeilustraes"/>
        <w:tabs>
          <w:tab w:val="right" w:leader="dot" w:pos="9061"/>
        </w:tabs>
        <w:spacing w:line="360" w:lineRule="auto"/>
        <w:jc w:val="both"/>
        <w:rPr>
          <w:rFonts w:ascii="Arial" w:eastAsiaTheme="minorEastAsia" w:hAnsi="Arial" w:cs="Arial"/>
          <w:noProof/>
          <w:sz w:val="24"/>
          <w:szCs w:val="24"/>
          <w:lang w:eastAsia="pt-BR"/>
        </w:rPr>
      </w:pPr>
      <w:r w:rsidRPr="00EE34DF">
        <w:rPr>
          <w:rFonts w:ascii="Arial" w:hAnsi="Arial" w:cs="Arial"/>
          <w:b/>
          <w:noProof/>
          <w:sz w:val="24"/>
          <w:szCs w:val="24"/>
        </w:rPr>
        <w:t>Tabela 4</w:t>
      </w:r>
      <w:r w:rsidRPr="00EE34DF">
        <w:rPr>
          <w:rFonts w:ascii="Arial" w:hAnsi="Arial" w:cs="Arial"/>
          <w:noProof/>
          <w:sz w:val="24"/>
          <w:szCs w:val="24"/>
        </w:rPr>
        <w:t xml:space="preserve"> </w:t>
      </w:r>
      <w:r w:rsidRPr="00EE34DF">
        <w:rPr>
          <w:rFonts w:ascii="Arial" w:hAnsi="Arial" w:cs="Arial"/>
          <w:b/>
          <w:noProof/>
          <w:sz w:val="24"/>
          <w:szCs w:val="24"/>
        </w:rPr>
        <w:t xml:space="preserve">– </w:t>
      </w:r>
      <w:r w:rsidRPr="00EE34DF">
        <w:rPr>
          <w:rFonts w:ascii="Arial" w:hAnsi="Arial" w:cs="Arial"/>
          <w:noProof/>
          <w:sz w:val="24"/>
          <w:szCs w:val="24"/>
        </w:rPr>
        <w:t>Escores dos domínios e o total da escala MIF aplicada aos pais das crianças e adolescentes com MPS VI acompanhados no ambulatório de ortopedia do HSI, no período de janeiro de 2012 a outubro de 2014.</w:t>
      </w:r>
      <w:r w:rsidRPr="00EE34DF">
        <w:rPr>
          <w:rFonts w:ascii="Arial" w:hAnsi="Arial" w:cs="Arial"/>
          <w:noProof/>
          <w:sz w:val="24"/>
          <w:szCs w:val="24"/>
        </w:rPr>
        <w:tab/>
      </w:r>
      <w:r w:rsidRPr="00EE34DF">
        <w:rPr>
          <w:rFonts w:ascii="Arial" w:hAnsi="Arial" w:cs="Arial"/>
          <w:noProof/>
          <w:sz w:val="24"/>
          <w:szCs w:val="24"/>
        </w:rPr>
        <w:fldChar w:fldCharType="begin"/>
      </w:r>
      <w:r w:rsidRPr="00EE34DF">
        <w:rPr>
          <w:rFonts w:ascii="Arial" w:hAnsi="Arial" w:cs="Arial"/>
          <w:noProof/>
          <w:sz w:val="24"/>
          <w:szCs w:val="24"/>
        </w:rPr>
        <w:instrText xml:space="preserve"> PAGEREF _Toc496553541 \h </w:instrText>
      </w:r>
      <w:r w:rsidRPr="00EE34DF">
        <w:rPr>
          <w:rFonts w:ascii="Arial" w:hAnsi="Arial" w:cs="Arial"/>
          <w:noProof/>
          <w:sz w:val="24"/>
          <w:szCs w:val="24"/>
        </w:rPr>
      </w:r>
      <w:r w:rsidRPr="00EE34DF">
        <w:rPr>
          <w:rFonts w:ascii="Arial" w:hAnsi="Arial" w:cs="Arial"/>
          <w:noProof/>
          <w:sz w:val="24"/>
          <w:szCs w:val="24"/>
        </w:rPr>
        <w:fldChar w:fldCharType="separate"/>
      </w:r>
      <w:r w:rsidR="005E2BE9">
        <w:rPr>
          <w:rFonts w:ascii="Arial" w:hAnsi="Arial" w:cs="Arial"/>
          <w:noProof/>
          <w:sz w:val="24"/>
          <w:szCs w:val="24"/>
        </w:rPr>
        <w:t>50</w:t>
      </w:r>
      <w:r w:rsidRPr="00EE34DF">
        <w:rPr>
          <w:rFonts w:ascii="Arial" w:hAnsi="Arial" w:cs="Arial"/>
          <w:noProof/>
          <w:sz w:val="24"/>
          <w:szCs w:val="24"/>
        </w:rPr>
        <w:fldChar w:fldCharType="end"/>
      </w:r>
    </w:p>
    <w:p w:rsidR="00EE34DF" w:rsidRPr="00EE34DF" w:rsidRDefault="00EE34DF" w:rsidP="00EE34DF">
      <w:pPr>
        <w:pStyle w:val="ndicedeilustraes"/>
        <w:tabs>
          <w:tab w:val="right" w:leader="dot" w:pos="9061"/>
        </w:tabs>
        <w:spacing w:line="360" w:lineRule="auto"/>
        <w:jc w:val="both"/>
        <w:rPr>
          <w:rFonts w:ascii="Arial" w:eastAsiaTheme="minorEastAsia" w:hAnsi="Arial" w:cs="Arial"/>
          <w:noProof/>
          <w:sz w:val="24"/>
          <w:szCs w:val="24"/>
          <w:lang w:eastAsia="pt-BR"/>
        </w:rPr>
      </w:pPr>
      <w:r w:rsidRPr="00EE34DF">
        <w:rPr>
          <w:rFonts w:ascii="Arial" w:hAnsi="Arial" w:cs="Arial"/>
          <w:b/>
          <w:noProof/>
          <w:sz w:val="24"/>
          <w:szCs w:val="24"/>
        </w:rPr>
        <w:t>Tabela 5 –</w:t>
      </w:r>
      <w:r w:rsidRPr="00EE34DF">
        <w:rPr>
          <w:rFonts w:ascii="Arial" w:hAnsi="Arial" w:cs="Arial"/>
          <w:noProof/>
          <w:sz w:val="24"/>
          <w:szCs w:val="24"/>
        </w:rPr>
        <w:t xml:space="preserve"> Escores dos domínios e total do instrumento PedsQL</w:t>
      </w:r>
      <w:r w:rsidRPr="00583D5D">
        <w:rPr>
          <w:rFonts w:ascii="Arial" w:hAnsi="Arial" w:cs="Arial"/>
          <w:noProof/>
          <w:sz w:val="24"/>
          <w:szCs w:val="24"/>
          <w:vertAlign w:val="superscript"/>
        </w:rPr>
        <w:t>TM</w:t>
      </w:r>
      <w:r w:rsidRPr="00EE34DF">
        <w:rPr>
          <w:rFonts w:ascii="Arial" w:hAnsi="Arial" w:cs="Arial"/>
          <w:noProof/>
          <w:sz w:val="24"/>
          <w:szCs w:val="24"/>
        </w:rPr>
        <w:t xml:space="preserve"> 4.0 aplicado aos pais das crianças e adolescentes com MPS tipo VI acompanhados no ambulatório de ortopedia do HSI, no período de janeiro de 2012 a outubro de 2014.</w:t>
      </w:r>
      <w:r w:rsidRPr="00EE34DF">
        <w:rPr>
          <w:rFonts w:ascii="Arial" w:hAnsi="Arial" w:cs="Arial"/>
          <w:noProof/>
          <w:sz w:val="24"/>
          <w:szCs w:val="24"/>
        </w:rPr>
        <w:tab/>
      </w:r>
      <w:r w:rsidRPr="00EE34DF">
        <w:rPr>
          <w:rFonts w:ascii="Arial" w:hAnsi="Arial" w:cs="Arial"/>
          <w:noProof/>
          <w:sz w:val="24"/>
          <w:szCs w:val="24"/>
        </w:rPr>
        <w:fldChar w:fldCharType="begin"/>
      </w:r>
      <w:r w:rsidRPr="00EE34DF">
        <w:rPr>
          <w:rFonts w:ascii="Arial" w:hAnsi="Arial" w:cs="Arial"/>
          <w:noProof/>
          <w:sz w:val="24"/>
          <w:szCs w:val="24"/>
        </w:rPr>
        <w:instrText xml:space="preserve"> PAGEREF _Toc496553542 \h </w:instrText>
      </w:r>
      <w:r w:rsidRPr="00EE34DF">
        <w:rPr>
          <w:rFonts w:ascii="Arial" w:hAnsi="Arial" w:cs="Arial"/>
          <w:noProof/>
          <w:sz w:val="24"/>
          <w:szCs w:val="24"/>
        </w:rPr>
      </w:r>
      <w:r w:rsidRPr="00EE34DF">
        <w:rPr>
          <w:rFonts w:ascii="Arial" w:hAnsi="Arial" w:cs="Arial"/>
          <w:noProof/>
          <w:sz w:val="24"/>
          <w:szCs w:val="24"/>
        </w:rPr>
        <w:fldChar w:fldCharType="separate"/>
      </w:r>
      <w:r w:rsidR="005E2BE9">
        <w:rPr>
          <w:rFonts w:ascii="Arial" w:hAnsi="Arial" w:cs="Arial"/>
          <w:noProof/>
          <w:sz w:val="24"/>
          <w:szCs w:val="24"/>
        </w:rPr>
        <w:t>52</w:t>
      </w:r>
      <w:r w:rsidRPr="00EE34DF">
        <w:rPr>
          <w:rFonts w:ascii="Arial" w:hAnsi="Arial" w:cs="Arial"/>
          <w:noProof/>
          <w:sz w:val="24"/>
          <w:szCs w:val="24"/>
        </w:rPr>
        <w:fldChar w:fldCharType="end"/>
      </w:r>
    </w:p>
    <w:p w:rsidR="00EE34DF" w:rsidRPr="00EE34DF" w:rsidRDefault="00EE34DF" w:rsidP="00EE34DF">
      <w:pPr>
        <w:pStyle w:val="ndicedeilustraes"/>
        <w:tabs>
          <w:tab w:val="right" w:leader="dot" w:pos="9061"/>
        </w:tabs>
        <w:spacing w:line="360" w:lineRule="auto"/>
        <w:jc w:val="both"/>
        <w:rPr>
          <w:rFonts w:ascii="Arial" w:eastAsiaTheme="minorEastAsia" w:hAnsi="Arial" w:cs="Arial"/>
          <w:noProof/>
          <w:sz w:val="24"/>
          <w:szCs w:val="24"/>
          <w:lang w:eastAsia="pt-BR"/>
        </w:rPr>
      </w:pPr>
      <w:r w:rsidRPr="00EE34DF">
        <w:rPr>
          <w:rFonts w:ascii="Arial" w:hAnsi="Arial" w:cs="Arial"/>
          <w:b/>
          <w:noProof/>
          <w:sz w:val="24"/>
          <w:szCs w:val="24"/>
        </w:rPr>
        <w:t>Tabela 6 –</w:t>
      </w:r>
      <w:r w:rsidRPr="00EE34DF">
        <w:rPr>
          <w:rFonts w:ascii="Arial" w:hAnsi="Arial" w:cs="Arial"/>
          <w:noProof/>
          <w:sz w:val="24"/>
          <w:szCs w:val="24"/>
        </w:rPr>
        <w:t xml:space="preserve"> Correlação entre a medida de independência funcional (dimensões da escala MIF) e a QVRS (domínios do instrumento PedsQL</w:t>
      </w:r>
      <w:r w:rsidRPr="00EE34DF">
        <w:rPr>
          <w:rFonts w:ascii="Arial" w:hAnsi="Arial" w:cs="Arial"/>
          <w:noProof/>
          <w:sz w:val="24"/>
          <w:szCs w:val="24"/>
          <w:vertAlign w:val="superscript"/>
        </w:rPr>
        <w:t>TM</w:t>
      </w:r>
      <w:r w:rsidRPr="00EE34DF">
        <w:rPr>
          <w:rFonts w:ascii="Arial" w:hAnsi="Arial" w:cs="Arial"/>
          <w:noProof/>
          <w:sz w:val="24"/>
          <w:szCs w:val="24"/>
        </w:rPr>
        <w:t xml:space="preserve"> 4.0) das crianças e adolescentes acompanhados no ambulatório de ortopedia do HSI, no período de janeiro de 2012 a outubro de 2014.</w:t>
      </w:r>
      <w:r w:rsidRPr="00EE34DF">
        <w:rPr>
          <w:rFonts w:ascii="Arial" w:hAnsi="Arial" w:cs="Arial"/>
          <w:noProof/>
          <w:sz w:val="24"/>
          <w:szCs w:val="24"/>
        </w:rPr>
        <w:tab/>
      </w:r>
      <w:r w:rsidRPr="00EE34DF">
        <w:rPr>
          <w:rFonts w:ascii="Arial" w:hAnsi="Arial" w:cs="Arial"/>
          <w:noProof/>
          <w:sz w:val="24"/>
          <w:szCs w:val="24"/>
        </w:rPr>
        <w:fldChar w:fldCharType="begin"/>
      </w:r>
      <w:r w:rsidRPr="00EE34DF">
        <w:rPr>
          <w:rFonts w:ascii="Arial" w:hAnsi="Arial" w:cs="Arial"/>
          <w:noProof/>
          <w:sz w:val="24"/>
          <w:szCs w:val="24"/>
        </w:rPr>
        <w:instrText xml:space="preserve"> PAGEREF _Toc496553543 \h </w:instrText>
      </w:r>
      <w:r w:rsidRPr="00EE34DF">
        <w:rPr>
          <w:rFonts w:ascii="Arial" w:hAnsi="Arial" w:cs="Arial"/>
          <w:noProof/>
          <w:sz w:val="24"/>
          <w:szCs w:val="24"/>
        </w:rPr>
      </w:r>
      <w:r w:rsidRPr="00EE34DF">
        <w:rPr>
          <w:rFonts w:ascii="Arial" w:hAnsi="Arial" w:cs="Arial"/>
          <w:noProof/>
          <w:sz w:val="24"/>
          <w:szCs w:val="24"/>
        </w:rPr>
        <w:fldChar w:fldCharType="separate"/>
      </w:r>
      <w:r w:rsidR="005E2BE9">
        <w:rPr>
          <w:rFonts w:ascii="Arial" w:hAnsi="Arial" w:cs="Arial"/>
          <w:noProof/>
          <w:sz w:val="24"/>
          <w:szCs w:val="24"/>
        </w:rPr>
        <w:t>54</w:t>
      </w:r>
      <w:r w:rsidRPr="00EE34DF">
        <w:rPr>
          <w:rFonts w:ascii="Arial" w:hAnsi="Arial" w:cs="Arial"/>
          <w:noProof/>
          <w:sz w:val="24"/>
          <w:szCs w:val="24"/>
        </w:rPr>
        <w:fldChar w:fldCharType="end"/>
      </w:r>
    </w:p>
    <w:p w:rsidR="005F778F" w:rsidRDefault="00EE34DF" w:rsidP="0053797C">
      <w:pPr>
        <w:spacing w:after="0" w:line="360" w:lineRule="auto"/>
        <w:jc w:val="both"/>
        <w:rPr>
          <w:rFonts w:ascii="Arial" w:hAnsi="Arial" w:cs="Arial"/>
          <w:sz w:val="24"/>
        </w:rPr>
      </w:pPr>
      <w:r>
        <w:rPr>
          <w:rFonts w:ascii="Arial" w:hAnsi="Arial" w:cs="Arial"/>
          <w:sz w:val="24"/>
          <w:szCs w:val="24"/>
        </w:rPr>
        <w:fldChar w:fldCharType="end"/>
      </w:r>
    </w:p>
    <w:p w:rsidR="003124E4" w:rsidRDefault="003124E4" w:rsidP="003124E4">
      <w:pPr>
        <w:spacing w:after="0" w:line="240" w:lineRule="auto"/>
        <w:jc w:val="both"/>
        <w:rPr>
          <w:rFonts w:ascii="Arial" w:hAnsi="Arial" w:cs="Arial"/>
          <w:sz w:val="24"/>
        </w:rPr>
      </w:pPr>
    </w:p>
    <w:p w:rsidR="003124E4" w:rsidRDefault="003124E4" w:rsidP="003124E4">
      <w:pPr>
        <w:spacing w:after="0" w:line="240" w:lineRule="auto"/>
        <w:jc w:val="both"/>
        <w:rPr>
          <w:rFonts w:ascii="Arial" w:hAnsi="Arial" w:cs="Arial"/>
          <w:sz w:val="24"/>
        </w:rPr>
      </w:pPr>
    </w:p>
    <w:p w:rsidR="003124E4" w:rsidRDefault="003124E4" w:rsidP="003124E4">
      <w:pPr>
        <w:spacing w:after="0" w:line="240" w:lineRule="auto"/>
        <w:jc w:val="both"/>
        <w:rPr>
          <w:rFonts w:ascii="Arial" w:hAnsi="Arial" w:cs="Arial"/>
          <w:sz w:val="24"/>
        </w:rPr>
      </w:pPr>
    </w:p>
    <w:p w:rsidR="003124E4" w:rsidRDefault="003124E4" w:rsidP="003124E4">
      <w:pPr>
        <w:spacing w:after="0" w:line="240" w:lineRule="auto"/>
        <w:jc w:val="both"/>
        <w:rPr>
          <w:rFonts w:ascii="Arial" w:hAnsi="Arial" w:cs="Arial"/>
          <w:sz w:val="24"/>
        </w:rPr>
      </w:pPr>
    </w:p>
    <w:p w:rsidR="003124E4" w:rsidRDefault="003124E4" w:rsidP="003124E4">
      <w:pPr>
        <w:spacing w:after="0" w:line="240" w:lineRule="auto"/>
        <w:jc w:val="both"/>
        <w:rPr>
          <w:rFonts w:ascii="Arial" w:hAnsi="Arial" w:cs="Arial"/>
          <w:sz w:val="24"/>
        </w:rPr>
      </w:pPr>
    </w:p>
    <w:p w:rsidR="003124E4" w:rsidRDefault="003124E4" w:rsidP="003124E4">
      <w:pPr>
        <w:spacing w:after="0" w:line="240" w:lineRule="auto"/>
        <w:jc w:val="both"/>
        <w:rPr>
          <w:rFonts w:ascii="Arial" w:hAnsi="Arial" w:cs="Arial"/>
          <w:sz w:val="24"/>
        </w:rPr>
      </w:pPr>
    </w:p>
    <w:p w:rsidR="003124E4" w:rsidRDefault="003124E4" w:rsidP="003124E4">
      <w:pPr>
        <w:spacing w:after="0" w:line="240" w:lineRule="auto"/>
        <w:jc w:val="both"/>
        <w:rPr>
          <w:rFonts w:ascii="Arial" w:hAnsi="Arial" w:cs="Arial"/>
          <w:sz w:val="24"/>
        </w:rPr>
      </w:pPr>
    </w:p>
    <w:p w:rsidR="003124E4" w:rsidRDefault="003124E4" w:rsidP="003124E4">
      <w:pPr>
        <w:spacing w:after="0" w:line="240" w:lineRule="auto"/>
        <w:jc w:val="both"/>
        <w:rPr>
          <w:rFonts w:ascii="Arial" w:hAnsi="Arial" w:cs="Arial"/>
          <w:sz w:val="24"/>
        </w:rPr>
      </w:pPr>
    </w:p>
    <w:p w:rsidR="003124E4" w:rsidRDefault="003124E4" w:rsidP="003124E4">
      <w:pPr>
        <w:spacing w:after="0" w:line="240" w:lineRule="auto"/>
        <w:jc w:val="both"/>
        <w:rPr>
          <w:rFonts w:ascii="Arial" w:hAnsi="Arial" w:cs="Arial"/>
          <w:sz w:val="24"/>
        </w:rPr>
      </w:pPr>
    </w:p>
    <w:p w:rsidR="003124E4" w:rsidRDefault="003124E4" w:rsidP="003124E4">
      <w:pPr>
        <w:spacing w:after="0" w:line="240" w:lineRule="auto"/>
        <w:jc w:val="both"/>
        <w:rPr>
          <w:rFonts w:ascii="Arial" w:hAnsi="Arial" w:cs="Arial"/>
          <w:sz w:val="24"/>
        </w:rPr>
      </w:pPr>
    </w:p>
    <w:p w:rsidR="003124E4" w:rsidRDefault="003124E4" w:rsidP="003124E4">
      <w:pPr>
        <w:spacing w:after="0" w:line="240" w:lineRule="auto"/>
        <w:jc w:val="both"/>
        <w:rPr>
          <w:rFonts w:ascii="Arial" w:hAnsi="Arial" w:cs="Arial"/>
          <w:sz w:val="24"/>
        </w:rPr>
      </w:pPr>
    </w:p>
    <w:p w:rsidR="003124E4" w:rsidRDefault="003124E4" w:rsidP="003124E4">
      <w:pPr>
        <w:spacing w:after="0" w:line="240" w:lineRule="auto"/>
        <w:jc w:val="both"/>
        <w:rPr>
          <w:rFonts w:ascii="Arial" w:hAnsi="Arial" w:cs="Arial"/>
          <w:sz w:val="24"/>
        </w:rPr>
      </w:pPr>
    </w:p>
    <w:p w:rsidR="003124E4" w:rsidRDefault="003124E4" w:rsidP="003124E4">
      <w:pPr>
        <w:spacing w:after="0" w:line="240" w:lineRule="auto"/>
        <w:jc w:val="both"/>
        <w:rPr>
          <w:rFonts w:ascii="Arial" w:hAnsi="Arial" w:cs="Arial"/>
          <w:sz w:val="24"/>
        </w:rPr>
      </w:pPr>
    </w:p>
    <w:p w:rsidR="003124E4" w:rsidRDefault="003124E4" w:rsidP="003124E4">
      <w:pPr>
        <w:spacing w:after="0" w:line="240" w:lineRule="auto"/>
        <w:jc w:val="both"/>
        <w:rPr>
          <w:rFonts w:ascii="Arial" w:hAnsi="Arial" w:cs="Arial"/>
          <w:sz w:val="24"/>
        </w:rPr>
      </w:pPr>
    </w:p>
    <w:p w:rsidR="003124E4" w:rsidRDefault="003124E4" w:rsidP="003124E4">
      <w:pPr>
        <w:spacing w:after="0" w:line="240" w:lineRule="auto"/>
        <w:jc w:val="both"/>
        <w:rPr>
          <w:rFonts w:ascii="Arial" w:hAnsi="Arial" w:cs="Arial"/>
          <w:sz w:val="24"/>
        </w:rPr>
      </w:pPr>
    </w:p>
    <w:p w:rsidR="003124E4" w:rsidRDefault="003124E4" w:rsidP="003124E4">
      <w:pPr>
        <w:spacing w:after="0" w:line="240" w:lineRule="auto"/>
        <w:jc w:val="both"/>
        <w:rPr>
          <w:rFonts w:ascii="Arial" w:hAnsi="Arial" w:cs="Arial"/>
          <w:sz w:val="24"/>
        </w:rPr>
      </w:pPr>
    </w:p>
    <w:p w:rsidR="003124E4" w:rsidRDefault="003124E4" w:rsidP="003124E4">
      <w:pPr>
        <w:spacing w:after="0" w:line="240" w:lineRule="auto"/>
        <w:jc w:val="both"/>
        <w:rPr>
          <w:rFonts w:ascii="Arial" w:hAnsi="Arial" w:cs="Arial"/>
          <w:sz w:val="24"/>
        </w:rPr>
      </w:pPr>
    </w:p>
    <w:p w:rsidR="003124E4" w:rsidRPr="003124E4" w:rsidRDefault="003124E4" w:rsidP="004E0EED">
      <w:pPr>
        <w:spacing w:after="0" w:line="360" w:lineRule="auto"/>
        <w:jc w:val="center"/>
        <w:rPr>
          <w:rFonts w:ascii="Arial" w:hAnsi="Arial" w:cs="Arial"/>
          <w:b/>
          <w:sz w:val="24"/>
        </w:rPr>
      </w:pPr>
      <w:r w:rsidRPr="003124E4">
        <w:rPr>
          <w:rFonts w:ascii="Arial" w:hAnsi="Arial" w:cs="Arial"/>
          <w:b/>
          <w:sz w:val="24"/>
        </w:rPr>
        <w:lastRenderedPageBreak/>
        <w:t>LISTA DE ABREVIATURAS E SIGLAS</w:t>
      </w:r>
    </w:p>
    <w:p w:rsidR="00EE6023" w:rsidRDefault="00EE6023" w:rsidP="004E0EED">
      <w:pPr>
        <w:spacing w:after="0" w:line="360" w:lineRule="auto"/>
        <w:jc w:val="both"/>
        <w:rPr>
          <w:rFonts w:ascii="Arial" w:hAnsi="Arial" w:cs="Arial"/>
          <w:sz w:val="24"/>
        </w:rPr>
      </w:pPr>
    </w:p>
    <w:tbl>
      <w:tblPr>
        <w:tblStyle w:val="Tabelacomgrade"/>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8"/>
      </w:tblGrid>
      <w:tr w:rsidR="00897802" w:rsidTr="00F755BE">
        <w:tc>
          <w:tcPr>
            <w:tcW w:w="1526" w:type="dxa"/>
          </w:tcPr>
          <w:p w:rsidR="00897802" w:rsidRDefault="00897802" w:rsidP="004E0EED">
            <w:pPr>
              <w:spacing w:line="360" w:lineRule="auto"/>
              <w:jc w:val="both"/>
              <w:rPr>
                <w:rFonts w:ascii="Arial" w:hAnsi="Arial" w:cs="Arial"/>
                <w:sz w:val="24"/>
              </w:rPr>
            </w:pPr>
            <w:r>
              <w:rPr>
                <w:rFonts w:ascii="Arial" w:hAnsi="Arial" w:cs="Arial"/>
                <w:sz w:val="24"/>
              </w:rPr>
              <w:t>ADL</w:t>
            </w:r>
          </w:p>
        </w:tc>
        <w:tc>
          <w:tcPr>
            <w:tcW w:w="7688" w:type="dxa"/>
          </w:tcPr>
          <w:p w:rsidR="00897802" w:rsidRPr="00897802" w:rsidRDefault="00897802" w:rsidP="004E0EED">
            <w:pPr>
              <w:spacing w:line="360" w:lineRule="auto"/>
              <w:jc w:val="both"/>
              <w:rPr>
                <w:rFonts w:ascii="Arial" w:hAnsi="Arial" w:cs="Arial"/>
                <w:i/>
                <w:sz w:val="24"/>
              </w:rPr>
            </w:pPr>
            <w:r w:rsidRPr="00897802">
              <w:rPr>
                <w:rFonts w:ascii="Arial" w:hAnsi="Arial" w:cs="Arial"/>
                <w:i/>
                <w:sz w:val="24"/>
              </w:rPr>
              <w:t>Activities of Daily Living</w:t>
            </w:r>
          </w:p>
        </w:tc>
      </w:tr>
      <w:tr w:rsidR="00897802" w:rsidTr="00F755BE">
        <w:tc>
          <w:tcPr>
            <w:tcW w:w="1526" w:type="dxa"/>
          </w:tcPr>
          <w:p w:rsidR="00897802" w:rsidRDefault="00897802" w:rsidP="004E0EED">
            <w:pPr>
              <w:spacing w:line="360" w:lineRule="auto"/>
              <w:jc w:val="both"/>
              <w:rPr>
                <w:rFonts w:ascii="Arial" w:hAnsi="Arial" w:cs="Arial"/>
                <w:sz w:val="24"/>
              </w:rPr>
            </w:pPr>
            <w:r>
              <w:rPr>
                <w:rFonts w:ascii="Arial" w:hAnsi="Arial" w:cs="Arial"/>
                <w:sz w:val="24"/>
              </w:rPr>
              <w:t>ADM</w:t>
            </w:r>
          </w:p>
        </w:tc>
        <w:tc>
          <w:tcPr>
            <w:tcW w:w="7688" w:type="dxa"/>
          </w:tcPr>
          <w:p w:rsidR="00897802" w:rsidRDefault="00897802" w:rsidP="004E0EED">
            <w:pPr>
              <w:spacing w:line="360" w:lineRule="auto"/>
              <w:jc w:val="both"/>
              <w:rPr>
                <w:rFonts w:ascii="Arial" w:hAnsi="Arial" w:cs="Arial"/>
                <w:sz w:val="24"/>
              </w:rPr>
            </w:pPr>
            <w:r>
              <w:rPr>
                <w:rFonts w:ascii="Arial" w:hAnsi="Arial" w:cs="Arial"/>
                <w:sz w:val="24"/>
              </w:rPr>
              <w:t>Amplitude de Movimento</w:t>
            </w:r>
          </w:p>
        </w:tc>
      </w:tr>
      <w:tr w:rsidR="00897802" w:rsidTr="00F755BE">
        <w:tc>
          <w:tcPr>
            <w:tcW w:w="1526" w:type="dxa"/>
          </w:tcPr>
          <w:p w:rsidR="00897802" w:rsidRDefault="00897802" w:rsidP="004E0EED">
            <w:pPr>
              <w:spacing w:line="360" w:lineRule="auto"/>
              <w:jc w:val="both"/>
              <w:rPr>
                <w:rFonts w:ascii="Arial" w:hAnsi="Arial" w:cs="Arial"/>
                <w:sz w:val="24"/>
              </w:rPr>
            </w:pPr>
            <w:r>
              <w:rPr>
                <w:rFonts w:ascii="Arial" w:hAnsi="Arial" w:cs="Arial"/>
                <w:sz w:val="24"/>
              </w:rPr>
              <w:t>AVD</w:t>
            </w:r>
          </w:p>
        </w:tc>
        <w:tc>
          <w:tcPr>
            <w:tcW w:w="7688" w:type="dxa"/>
          </w:tcPr>
          <w:p w:rsidR="00897802" w:rsidRDefault="00897802" w:rsidP="004E0EED">
            <w:pPr>
              <w:spacing w:line="360" w:lineRule="auto"/>
              <w:jc w:val="both"/>
              <w:rPr>
                <w:rFonts w:ascii="Arial" w:hAnsi="Arial" w:cs="Arial"/>
                <w:sz w:val="24"/>
              </w:rPr>
            </w:pPr>
            <w:r>
              <w:rPr>
                <w:rFonts w:ascii="Arial" w:hAnsi="Arial" w:cs="Arial"/>
                <w:sz w:val="24"/>
              </w:rPr>
              <w:t>Atividades de Vida Diária</w:t>
            </w:r>
          </w:p>
        </w:tc>
      </w:tr>
      <w:tr w:rsidR="00897802" w:rsidTr="00F755BE">
        <w:tc>
          <w:tcPr>
            <w:tcW w:w="1526" w:type="dxa"/>
          </w:tcPr>
          <w:p w:rsidR="00897802" w:rsidRDefault="00897802" w:rsidP="004E0EED">
            <w:pPr>
              <w:spacing w:line="360" w:lineRule="auto"/>
              <w:jc w:val="both"/>
              <w:rPr>
                <w:rFonts w:ascii="Arial" w:hAnsi="Arial" w:cs="Arial"/>
                <w:sz w:val="24"/>
              </w:rPr>
            </w:pPr>
            <w:r>
              <w:rPr>
                <w:rFonts w:ascii="Arial" w:hAnsi="Arial" w:cs="Arial"/>
                <w:sz w:val="24"/>
              </w:rPr>
              <w:t>CAAE</w:t>
            </w:r>
          </w:p>
        </w:tc>
        <w:tc>
          <w:tcPr>
            <w:tcW w:w="7688" w:type="dxa"/>
          </w:tcPr>
          <w:p w:rsidR="00897802" w:rsidRDefault="00897802" w:rsidP="004E0EED">
            <w:pPr>
              <w:spacing w:line="360" w:lineRule="auto"/>
              <w:jc w:val="both"/>
              <w:rPr>
                <w:rFonts w:ascii="Arial" w:hAnsi="Arial" w:cs="Arial"/>
                <w:sz w:val="24"/>
              </w:rPr>
            </w:pPr>
            <w:r>
              <w:rPr>
                <w:rFonts w:ascii="Arial" w:hAnsi="Arial" w:cs="Arial"/>
                <w:sz w:val="24"/>
              </w:rPr>
              <w:t>Certificado de Apresentação para Apreciação Ética</w:t>
            </w:r>
          </w:p>
        </w:tc>
      </w:tr>
      <w:tr w:rsidR="00897802" w:rsidTr="00F755BE">
        <w:tc>
          <w:tcPr>
            <w:tcW w:w="1526" w:type="dxa"/>
          </w:tcPr>
          <w:p w:rsidR="00897802" w:rsidRDefault="00897802" w:rsidP="004E0EED">
            <w:pPr>
              <w:spacing w:line="360" w:lineRule="auto"/>
              <w:jc w:val="both"/>
              <w:rPr>
                <w:rFonts w:ascii="Arial" w:hAnsi="Arial" w:cs="Arial"/>
                <w:sz w:val="24"/>
              </w:rPr>
            </w:pPr>
            <w:r>
              <w:rPr>
                <w:rFonts w:ascii="Arial" w:hAnsi="Arial" w:cs="Arial"/>
                <w:sz w:val="24"/>
              </w:rPr>
              <w:t>CEP</w:t>
            </w:r>
          </w:p>
        </w:tc>
        <w:tc>
          <w:tcPr>
            <w:tcW w:w="7688" w:type="dxa"/>
          </w:tcPr>
          <w:p w:rsidR="00897802" w:rsidRDefault="00897802" w:rsidP="004E0EED">
            <w:pPr>
              <w:spacing w:line="360" w:lineRule="auto"/>
              <w:jc w:val="both"/>
              <w:rPr>
                <w:rFonts w:ascii="Arial" w:hAnsi="Arial" w:cs="Arial"/>
                <w:sz w:val="24"/>
              </w:rPr>
            </w:pPr>
            <w:r>
              <w:rPr>
                <w:rFonts w:ascii="Arial" w:hAnsi="Arial" w:cs="Arial"/>
                <w:sz w:val="24"/>
              </w:rPr>
              <w:t>Comitê de Ética em Pesquisa</w:t>
            </w:r>
          </w:p>
        </w:tc>
      </w:tr>
      <w:tr w:rsidR="00897802" w:rsidRPr="004B60D5" w:rsidTr="00F755BE">
        <w:tc>
          <w:tcPr>
            <w:tcW w:w="1526" w:type="dxa"/>
          </w:tcPr>
          <w:p w:rsidR="00897802" w:rsidRDefault="00897802" w:rsidP="004E0EED">
            <w:pPr>
              <w:spacing w:line="360" w:lineRule="auto"/>
              <w:jc w:val="both"/>
              <w:rPr>
                <w:rFonts w:ascii="Arial" w:hAnsi="Arial" w:cs="Arial"/>
                <w:sz w:val="24"/>
              </w:rPr>
            </w:pPr>
            <w:r>
              <w:rPr>
                <w:rFonts w:ascii="Arial" w:hAnsi="Arial" w:cs="Arial"/>
                <w:sz w:val="24"/>
              </w:rPr>
              <w:t>CHQ-PF50</w:t>
            </w:r>
          </w:p>
        </w:tc>
        <w:tc>
          <w:tcPr>
            <w:tcW w:w="7688" w:type="dxa"/>
          </w:tcPr>
          <w:p w:rsidR="00897802" w:rsidRPr="00FF1F37" w:rsidRDefault="00897802" w:rsidP="004E0EED">
            <w:pPr>
              <w:spacing w:line="360" w:lineRule="auto"/>
              <w:jc w:val="both"/>
              <w:rPr>
                <w:rFonts w:ascii="Arial" w:hAnsi="Arial" w:cs="Arial"/>
                <w:i/>
                <w:sz w:val="24"/>
                <w:lang w:val="en-US"/>
              </w:rPr>
            </w:pPr>
            <w:r w:rsidRPr="00FF1F37">
              <w:rPr>
                <w:rFonts w:ascii="Arial" w:hAnsi="Arial" w:cs="Arial"/>
                <w:i/>
                <w:sz w:val="24"/>
                <w:lang w:val="en-US"/>
              </w:rPr>
              <w:t>Child Health Questionnaire – Parent Form 50</w:t>
            </w:r>
          </w:p>
        </w:tc>
      </w:tr>
      <w:tr w:rsidR="00897802" w:rsidTr="00F755BE">
        <w:tc>
          <w:tcPr>
            <w:tcW w:w="1526" w:type="dxa"/>
          </w:tcPr>
          <w:p w:rsidR="00897802" w:rsidRDefault="00897802" w:rsidP="004E0EED">
            <w:pPr>
              <w:spacing w:line="360" w:lineRule="auto"/>
              <w:jc w:val="both"/>
              <w:rPr>
                <w:rFonts w:ascii="Arial" w:hAnsi="Arial" w:cs="Arial"/>
                <w:sz w:val="24"/>
              </w:rPr>
            </w:pPr>
            <w:r>
              <w:rPr>
                <w:rFonts w:ascii="Arial" w:hAnsi="Arial" w:cs="Arial"/>
                <w:sz w:val="24"/>
              </w:rPr>
              <w:t>CIF</w:t>
            </w:r>
          </w:p>
        </w:tc>
        <w:tc>
          <w:tcPr>
            <w:tcW w:w="7688" w:type="dxa"/>
          </w:tcPr>
          <w:p w:rsidR="00897802" w:rsidRDefault="00897802" w:rsidP="004E0EED">
            <w:pPr>
              <w:spacing w:line="360" w:lineRule="auto"/>
              <w:jc w:val="both"/>
              <w:rPr>
                <w:rFonts w:ascii="Arial" w:hAnsi="Arial" w:cs="Arial"/>
                <w:sz w:val="24"/>
              </w:rPr>
            </w:pPr>
            <w:r>
              <w:rPr>
                <w:rFonts w:ascii="Arial" w:hAnsi="Arial" w:cs="Arial"/>
                <w:sz w:val="24"/>
              </w:rPr>
              <w:t>Classificação Internacional de Funcionalidade, Incapacidade e Saúde</w:t>
            </w:r>
          </w:p>
        </w:tc>
      </w:tr>
      <w:tr w:rsidR="00EC2A98" w:rsidTr="00F755BE">
        <w:tc>
          <w:tcPr>
            <w:tcW w:w="1526" w:type="dxa"/>
          </w:tcPr>
          <w:p w:rsidR="00EC2A98" w:rsidRDefault="00EC2A98" w:rsidP="004E0EED">
            <w:pPr>
              <w:spacing w:line="360" w:lineRule="auto"/>
              <w:jc w:val="both"/>
              <w:rPr>
                <w:rFonts w:ascii="Arial" w:hAnsi="Arial" w:cs="Arial"/>
                <w:sz w:val="24"/>
              </w:rPr>
            </w:pPr>
            <w:r>
              <w:rPr>
                <w:rFonts w:ascii="Arial" w:hAnsi="Arial" w:cs="Arial"/>
                <w:sz w:val="24"/>
              </w:rPr>
              <w:t>DP</w:t>
            </w:r>
          </w:p>
        </w:tc>
        <w:tc>
          <w:tcPr>
            <w:tcW w:w="7688" w:type="dxa"/>
          </w:tcPr>
          <w:p w:rsidR="00EC2A98" w:rsidRDefault="00EC2A98" w:rsidP="004E0EED">
            <w:pPr>
              <w:spacing w:line="360" w:lineRule="auto"/>
              <w:jc w:val="both"/>
              <w:rPr>
                <w:rFonts w:ascii="Arial" w:hAnsi="Arial" w:cs="Arial"/>
                <w:sz w:val="24"/>
              </w:rPr>
            </w:pPr>
            <w:r>
              <w:rPr>
                <w:rFonts w:ascii="Arial" w:hAnsi="Arial" w:cs="Arial"/>
                <w:sz w:val="24"/>
              </w:rPr>
              <w:t>Desvio-padrão</w:t>
            </w:r>
          </w:p>
        </w:tc>
      </w:tr>
      <w:tr w:rsidR="0057625D" w:rsidTr="00F755BE">
        <w:tc>
          <w:tcPr>
            <w:tcW w:w="1526" w:type="dxa"/>
          </w:tcPr>
          <w:p w:rsidR="0057625D" w:rsidRDefault="0057625D" w:rsidP="004E0EED">
            <w:pPr>
              <w:spacing w:line="360" w:lineRule="auto"/>
              <w:jc w:val="both"/>
              <w:rPr>
                <w:rFonts w:ascii="Arial" w:hAnsi="Arial" w:cs="Arial"/>
                <w:sz w:val="24"/>
              </w:rPr>
            </w:pPr>
            <w:r>
              <w:rPr>
                <w:rFonts w:ascii="Arial" w:hAnsi="Arial" w:cs="Arial"/>
                <w:sz w:val="24"/>
              </w:rPr>
              <w:t>DS</w:t>
            </w:r>
          </w:p>
        </w:tc>
        <w:tc>
          <w:tcPr>
            <w:tcW w:w="7688" w:type="dxa"/>
          </w:tcPr>
          <w:p w:rsidR="0057625D" w:rsidRDefault="0057625D" w:rsidP="004E0EED">
            <w:pPr>
              <w:spacing w:line="360" w:lineRule="auto"/>
              <w:jc w:val="both"/>
              <w:rPr>
                <w:rFonts w:ascii="Arial" w:hAnsi="Arial" w:cs="Arial"/>
                <w:sz w:val="24"/>
              </w:rPr>
            </w:pPr>
            <w:r>
              <w:rPr>
                <w:rFonts w:ascii="Arial" w:hAnsi="Arial" w:cs="Arial"/>
                <w:sz w:val="24"/>
              </w:rPr>
              <w:t>Dermatan Sulfato</w:t>
            </w:r>
          </w:p>
        </w:tc>
      </w:tr>
      <w:tr w:rsidR="00897802" w:rsidTr="00F755BE">
        <w:tc>
          <w:tcPr>
            <w:tcW w:w="1526" w:type="dxa"/>
          </w:tcPr>
          <w:p w:rsidR="00897802" w:rsidRDefault="00897802" w:rsidP="004E0EED">
            <w:pPr>
              <w:spacing w:line="360" w:lineRule="auto"/>
              <w:jc w:val="both"/>
              <w:rPr>
                <w:rFonts w:ascii="Arial" w:hAnsi="Arial" w:cs="Arial"/>
                <w:sz w:val="24"/>
              </w:rPr>
            </w:pPr>
            <w:r>
              <w:rPr>
                <w:rFonts w:ascii="Arial" w:hAnsi="Arial" w:cs="Arial"/>
                <w:sz w:val="24"/>
              </w:rPr>
              <w:t>ECA</w:t>
            </w:r>
          </w:p>
        </w:tc>
        <w:tc>
          <w:tcPr>
            <w:tcW w:w="7688" w:type="dxa"/>
          </w:tcPr>
          <w:p w:rsidR="00897802" w:rsidRDefault="00897802" w:rsidP="004E0EED">
            <w:pPr>
              <w:spacing w:line="360" w:lineRule="auto"/>
              <w:jc w:val="both"/>
              <w:rPr>
                <w:rFonts w:ascii="Arial" w:hAnsi="Arial" w:cs="Arial"/>
                <w:sz w:val="24"/>
              </w:rPr>
            </w:pPr>
            <w:r>
              <w:rPr>
                <w:rFonts w:ascii="Arial" w:hAnsi="Arial" w:cs="Arial"/>
                <w:sz w:val="24"/>
              </w:rPr>
              <w:t>Estatuto da Criança e do Adolescente</w:t>
            </w:r>
          </w:p>
        </w:tc>
      </w:tr>
      <w:tr w:rsidR="00897802" w:rsidTr="00F755BE">
        <w:tc>
          <w:tcPr>
            <w:tcW w:w="1526" w:type="dxa"/>
          </w:tcPr>
          <w:p w:rsidR="00897802" w:rsidRDefault="00897802" w:rsidP="004E0EED">
            <w:pPr>
              <w:spacing w:line="360" w:lineRule="auto"/>
              <w:jc w:val="both"/>
              <w:rPr>
                <w:rFonts w:ascii="Arial" w:hAnsi="Arial" w:cs="Arial"/>
                <w:sz w:val="24"/>
              </w:rPr>
            </w:pPr>
            <w:r>
              <w:rPr>
                <w:rFonts w:ascii="Arial" w:hAnsi="Arial" w:cs="Arial"/>
                <w:sz w:val="24"/>
              </w:rPr>
              <w:t>EUA</w:t>
            </w:r>
          </w:p>
        </w:tc>
        <w:tc>
          <w:tcPr>
            <w:tcW w:w="7688" w:type="dxa"/>
          </w:tcPr>
          <w:p w:rsidR="00897802" w:rsidRDefault="00897802" w:rsidP="004E0EED">
            <w:pPr>
              <w:spacing w:line="360" w:lineRule="auto"/>
              <w:jc w:val="both"/>
              <w:rPr>
                <w:rFonts w:ascii="Arial" w:hAnsi="Arial" w:cs="Arial"/>
                <w:sz w:val="24"/>
              </w:rPr>
            </w:pPr>
            <w:r>
              <w:rPr>
                <w:rFonts w:ascii="Arial" w:hAnsi="Arial" w:cs="Arial"/>
                <w:sz w:val="24"/>
              </w:rPr>
              <w:t>Estados Unidos da América</w:t>
            </w:r>
          </w:p>
        </w:tc>
      </w:tr>
      <w:tr w:rsidR="00897802" w:rsidTr="00F755BE">
        <w:tc>
          <w:tcPr>
            <w:tcW w:w="1526" w:type="dxa"/>
          </w:tcPr>
          <w:p w:rsidR="00897802" w:rsidRDefault="004E0EED" w:rsidP="004E0EED">
            <w:pPr>
              <w:spacing w:line="360" w:lineRule="auto"/>
              <w:jc w:val="both"/>
              <w:rPr>
                <w:rFonts w:ascii="Arial" w:hAnsi="Arial" w:cs="Arial"/>
                <w:sz w:val="24"/>
              </w:rPr>
            </w:pPr>
            <w:r>
              <w:rPr>
                <w:rFonts w:ascii="Arial" w:hAnsi="Arial" w:cs="Arial"/>
                <w:sz w:val="24"/>
              </w:rPr>
              <w:t>FIM</w:t>
            </w:r>
          </w:p>
        </w:tc>
        <w:tc>
          <w:tcPr>
            <w:tcW w:w="7688" w:type="dxa"/>
          </w:tcPr>
          <w:p w:rsidR="00897802" w:rsidRPr="004E0EED" w:rsidRDefault="004E0EED" w:rsidP="004E0EED">
            <w:pPr>
              <w:spacing w:line="360" w:lineRule="auto"/>
              <w:jc w:val="both"/>
              <w:rPr>
                <w:rFonts w:ascii="Arial" w:hAnsi="Arial" w:cs="Arial"/>
                <w:i/>
                <w:sz w:val="24"/>
              </w:rPr>
            </w:pPr>
            <w:r w:rsidRPr="004E0EED">
              <w:rPr>
                <w:rFonts w:ascii="Arial" w:hAnsi="Arial" w:cs="Arial"/>
                <w:i/>
                <w:sz w:val="24"/>
              </w:rPr>
              <w:t>Functional Independence Measure</w:t>
            </w:r>
          </w:p>
        </w:tc>
      </w:tr>
      <w:tr w:rsidR="004E0EED" w:rsidTr="00F755BE">
        <w:tc>
          <w:tcPr>
            <w:tcW w:w="1526" w:type="dxa"/>
          </w:tcPr>
          <w:p w:rsidR="004E0EED" w:rsidRDefault="004E0EED" w:rsidP="004E0EED">
            <w:pPr>
              <w:spacing w:line="360" w:lineRule="auto"/>
              <w:jc w:val="both"/>
              <w:rPr>
                <w:rFonts w:ascii="Arial" w:hAnsi="Arial" w:cs="Arial"/>
                <w:sz w:val="24"/>
              </w:rPr>
            </w:pPr>
            <w:r>
              <w:rPr>
                <w:rFonts w:ascii="Arial" w:hAnsi="Arial" w:cs="Arial"/>
                <w:sz w:val="24"/>
              </w:rPr>
              <w:t>GAGs</w:t>
            </w:r>
          </w:p>
        </w:tc>
        <w:tc>
          <w:tcPr>
            <w:tcW w:w="7688" w:type="dxa"/>
          </w:tcPr>
          <w:p w:rsidR="004E0EED" w:rsidRDefault="004E0EED" w:rsidP="004E0EED">
            <w:pPr>
              <w:spacing w:line="360" w:lineRule="auto"/>
              <w:jc w:val="both"/>
              <w:rPr>
                <w:rFonts w:ascii="Arial" w:hAnsi="Arial" w:cs="Arial"/>
                <w:sz w:val="24"/>
              </w:rPr>
            </w:pPr>
            <w:r>
              <w:rPr>
                <w:rFonts w:ascii="Arial" w:hAnsi="Arial" w:cs="Arial"/>
                <w:sz w:val="24"/>
              </w:rPr>
              <w:t>Glicosaminoglicanos</w:t>
            </w:r>
          </w:p>
        </w:tc>
      </w:tr>
      <w:tr w:rsidR="0057625D" w:rsidTr="00F755BE">
        <w:tc>
          <w:tcPr>
            <w:tcW w:w="1526" w:type="dxa"/>
          </w:tcPr>
          <w:p w:rsidR="0057625D" w:rsidRDefault="0057625D" w:rsidP="004E0EED">
            <w:pPr>
              <w:spacing w:line="360" w:lineRule="auto"/>
              <w:jc w:val="both"/>
              <w:rPr>
                <w:rFonts w:ascii="Arial" w:hAnsi="Arial" w:cs="Arial"/>
                <w:sz w:val="24"/>
              </w:rPr>
            </w:pPr>
            <w:r>
              <w:rPr>
                <w:rFonts w:ascii="Arial" w:hAnsi="Arial" w:cs="Arial"/>
                <w:sz w:val="24"/>
              </w:rPr>
              <w:t>HS</w:t>
            </w:r>
          </w:p>
        </w:tc>
        <w:tc>
          <w:tcPr>
            <w:tcW w:w="7688" w:type="dxa"/>
          </w:tcPr>
          <w:p w:rsidR="0057625D" w:rsidRDefault="0057625D" w:rsidP="004E0EED">
            <w:pPr>
              <w:spacing w:line="360" w:lineRule="auto"/>
              <w:jc w:val="both"/>
              <w:rPr>
                <w:rFonts w:ascii="Arial" w:hAnsi="Arial" w:cs="Arial"/>
                <w:sz w:val="24"/>
              </w:rPr>
            </w:pPr>
            <w:r>
              <w:rPr>
                <w:rFonts w:ascii="Arial" w:hAnsi="Arial" w:cs="Arial"/>
                <w:sz w:val="24"/>
              </w:rPr>
              <w:t>Heparan Sulfato</w:t>
            </w:r>
          </w:p>
        </w:tc>
      </w:tr>
      <w:tr w:rsidR="004E0EED" w:rsidTr="00F755BE">
        <w:tc>
          <w:tcPr>
            <w:tcW w:w="1526" w:type="dxa"/>
          </w:tcPr>
          <w:p w:rsidR="004E0EED" w:rsidRDefault="004E0EED" w:rsidP="004E0EED">
            <w:pPr>
              <w:spacing w:line="360" w:lineRule="auto"/>
              <w:jc w:val="both"/>
              <w:rPr>
                <w:rFonts w:ascii="Arial" w:hAnsi="Arial" w:cs="Arial"/>
                <w:sz w:val="24"/>
              </w:rPr>
            </w:pPr>
            <w:r>
              <w:rPr>
                <w:rFonts w:ascii="Arial" w:hAnsi="Arial" w:cs="Arial"/>
                <w:sz w:val="24"/>
              </w:rPr>
              <w:t>HSI</w:t>
            </w:r>
          </w:p>
        </w:tc>
        <w:tc>
          <w:tcPr>
            <w:tcW w:w="7688" w:type="dxa"/>
          </w:tcPr>
          <w:p w:rsidR="004E0EED" w:rsidRDefault="004E0EED" w:rsidP="004E0EED">
            <w:pPr>
              <w:spacing w:line="360" w:lineRule="auto"/>
              <w:jc w:val="both"/>
              <w:rPr>
                <w:rFonts w:ascii="Arial" w:hAnsi="Arial" w:cs="Arial"/>
                <w:sz w:val="24"/>
              </w:rPr>
            </w:pPr>
            <w:r>
              <w:rPr>
                <w:rFonts w:ascii="Arial" w:hAnsi="Arial" w:cs="Arial"/>
                <w:sz w:val="24"/>
              </w:rPr>
              <w:t>Hospital Santa Izabel</w:t>
            </w:r>
          </w:p>
        </w:tc>
      </w:tr>
      <w:tr w:rsidR="004E0EED" w:rsidTr="00F755BE">
        <w:tc>
          <w:tcPr>
            <w:tcW w:w="1526" w:type="dxa"/>
          </w:tcPr>
          <w:p w:rsidR="004E0EED" w:rsidRDefault="004E0EED" w:rsidP="004E0EED">
            <w:pPr>
              <w:spacing w:line="360" w:lineRule="auto"/>
              <w:jc w:val="both"/>
              <w:rPr>
                <w:rFonts w:ascii="Arial" w:hAnsi="Arial" w:cs="Arial"/>
                <w:sz w:val="24"/>
              </w:rPr>
            </w:pPr>
            <w:r>
              <w:rPr>
                <w:rFonts w:ascii="Arial" w:hAnsi="Arial" w:cs="Arial"/>
                <w:sz w:val="24"/>
              </w:rPr>
              <w:t>IBM</w:t>
            </w:r>
          </w:p>
        </w:tc>
        <w:tc>
          <w:tcPr>
            <w:tcW w:w="7688" w:type="dxa"/>
          </w:tcPr>
          <w:p w:rsidR="004E0EED" w:rsidRPr="00675278" w:rsidRDefault="00675278" w:rsidP="00E56D8A">
            <w:pPr>
              <w:spacing w:line="360" w:lineRule="auto"/>
              <w:jc w:val="both"/>
              <w:rPr>
                <w:rFonts w:ascii="Arial" w:hAnsi="Arial" w:cs="Arial"/>
                <w:i/>
                <w:sz w:val="24"/>
              </w:rPr>
            </w:pPr>
            <w:proofErr w:type="spellStart"/>
            <w:r w:rsidRPr="00675278">
              <w:rPr>
                <w:rFonts w:ascii="Arial" w:hAnsi="Arial" w:cs="Arial"/>
                <w:i/>
                <w:sz w:val="24"/>
              </w:rPr>
              <w:t>International</w:t>
            </w:r>
            <w:proofErr w:type="spellEnd"/>
            <w:r w:rsidRPr="00675278">
              <w:rPr>
                <w:rFonts w:ascii="Arial" w:hAnsi="Arial" w:cs="Arial"/>
                <w:i/>
                <w:sz w:val="24"/>
              </w:rPr>
              <w:t xml:space="preserve"> Business </w:t>
            </w:r>
            <w:proofErr w:type="spellStart"/>
            <w:r w:rsidRPr="00675278">
              <w:rPr>
                <w:rFonts w:ascii="Arial" w:hAnsi="Arial" w:cs="Arial"/>
                <w:i/>
                <w:sz w:val="24"/>
              </w:rPr>
              <w:t>Machines</w:t>
            </w:r>
            <w:proofErr w:type="spellEnd"/>
          </w:p>
        </w:tc>
      </w:tr>
      <w:tr w:rsidR="004E0EED" w:rsidTr="00F755BE">
        <w:tc>
          <w:tcPr>
            <w:tcW w:w="1526" w:type="dxa"/>
          </w:tcPr>
          <w:p w:rsidR="004E0EED" w:rsidRDefault="004E0EED" w:rsidP="004E0EED">
            <w:pPr>
              <w:spacing w:line="360" w:lineRule="auto"/>
              <w:jc w:val="both"/>
              <w:rPr>
                <w:rFonts w:ascii="Arial" w:hAnsi="Arial" w:cs="Arial"/>
                <w:sz w:val="24"/>
              </w:rPr>
            </w:pPr>
            <w:r>
              <w:rPr>
                <w:rFonts w:ascii="Arial" w:hAnsi="Arial" w:cs="Arial"/>
                <w:sz w:val="24"/>
              </w:rPr>
              <w:t>IDH</w:t>
            </w:r>
          </w:p>
        </w:tc>
        <w:tc>
          <w:tcPr>
            <w:tcW w:w="7688" w:type="dxa"/>
          </w:tcPr>
          <w:p w:rsidR="004E0EED" w:rsidRDefault="004E0EED" w:rsidP="004E0EED">
            <w:pPr>
              <w:spacing w:line="360" w:lineRule="auto"/>
              <w:jc w:val="both"/>
              <w:rPr>
                <w:rFonts w:ascii="Arial" w:hAnsi="Arial" w:cs="Arial"/>
                <w:sz w:val="24"/>
              </w:rPr>
            </w:pPr>
            <w:r>
              <w:rPr>
                <w:rFonts w:ascii="Arial" w:hAnsi="Arial" w:cs="Arial"/>
                <w:sz w:val="24"/>
              </w:rPr>
              <w:t>Índice de Desenvolvimento Humano</w:t>
            </w:r>
          </w:p>
        </w:tc>
      </w:tr>
      <w:tr w:rsidR="00D77C7B" w:rsidTr="00F755BE">
        <w:tc>
          <w:tcPr>
            <w:tcW w:w="1526" w:type="dxa"/>
          </w:tcPr>
          <w:p w:rsidR="00D77C7B" w:rsidRDefault="00D77C7B" w:rsidP="004E0EED">
            <w:pPr>
              <w:spacing w:line="360" w:lineRule="auto"/>
              <w:jc w:val="both"/>
              <w:rPr>
                <w:rFonts w:ascii="Arial" w:hAnsi="Arial" w:cs="Arial"/>
                <w:sz w:val="24"/>
              </w:rPr>
            </w:pPr>
            <w:r>
              <w:rPr>
                <w:rFonts w:ascii="Arial" w:hAnsi="Arial" w:cs="Arial"/>
                <w:sz w:val="24"/>
              </w:rPr>
              <w:t>IIQ</w:t>
            </w:r>
          </w:p>
        </w:tc>
        <w:tc>
          <w:tcPr>
            <w:tcW w:w="7688" w:type="dxa"/>
          </w:tcPr>
          <w:p w:rsidR="00D77C7B" w:rsidRDefault="00D77C7B" w:rsidP="004E0EED">
            <w:pPr>
              <w:spacing w:line="360" w:lineRule="auto"/>
              <w:jc w:val="both"/>
              <w:rPr>
                <w:rFonts w:ascii="Arial" w:hAnsi="Arial" w:cs="Arial"/>
                <w:sz w:val="24"/>
              </w:rPr>
            </w:pPr>
            <w:r>
              <w:rPr>
                <w:rFonts w:ascii="Arial" w:hAnsi="Arial" w:cs="Arial"/>
                <w:sz w:val="24"/>
              </w:rPr>
              <w:t>Intervalo Interquartil</w:t>
            </w:r>
          </w:p>
        </w:tc>
      </w:tr>
      <w:tr w:rsidR="00432EA1" w:rsidTr="00F755BE">
        <w:tc>
          <w:tcPr>
            <w:tcW w:w="1526" w:type="dxa"/>
          </w:tcPr>
          <w:p w:rsidR="00432EA1" w:rsidRDefault="00432EA1" w:rsidP="004E0EED">
            <w:pPr>
              <w:spacing w:line="360" w:lineRule="auto"/>
              <w:jc w:val="both"/>
              <w:rPr>
                <w:rFonts w:ascii="Arial" w:hAnsi="Arial" w:cs="Arial"/>
                <w:sz w:val="24"/>
              </w:rPr>
            </w:pPr>
            <w:r>
              <w:rPr>
                <w:rFonts w:ascii="Arial" w:hAnsi="Arial" w:cs="Arial"/>
                <w:sz w:val="24"/>
              </w:rPr>
              <w:t>Md</w:t>
            </w:r>
          </w:p>
        </w:tc>
        <w:tc>
          <w:tcPr>
            <w:tcW w:w="7688" w:type="dxa"/>
          </w:tcPr>
          <w:p w:rsidR="00432EA1" w:rsidRDefault="00432EA1" w:rsidP="004E0EED">
            <w:pPr>
              <w:spacing w:line="360" w:lineRule="auto"/>
              <w:jc w:val="both"/>
              <w:rPr>
                <w:rFonts w:ascii="Arial" w:hAnsi="Arial" w:cs="Arial"/>
                <w:sz w:val="24"/>
              </w:rPr>
            </w:pPr>
            <w:r>
              <w:rPr>
                <w:rFonts w:ascii="Arial" w:hAnsi="Arial" w:cs="Arial"/>
                <w:sz w:val="24"/>
              </w:rPr>
              <w:t>Mediana</w:t>
            </w:r>
          </w:p>
        </w:tc>
      </w:tr>
      <w:tr w:rsidR="004E0EED" w:rsidTr="00F755BE">
        <w:tc>
          <w:tcPr>
            <w:tcW w:w="1526" w:type="dxa"/>
          </w:tcPr>
          <w:p w:rsidR="004E0EED" w:rsidRDefault="004E0EED" w:rsidP="004E0EED">
            <w:pPr>
              <w:spacing w:line="360" w:lineRule="auto"/>
              <w:jc w:val="both"/>
              <w:rPr>
                <w:rFonts w:ascii="Arial" w:hAnsi="Arial" w:cs="Arial"/>
                <w:sz w:val="24"/>
              </w:rPr>
            </w:pPr>
            <w:r>
              <w:rPr>
                <w:rFonts w:ascii="Arial" w:hAnsi="Arial" w:cs="Arial"/>
                <w:sz w:val="24"/>
              </w:rPr>
              <w:t>MIF</w:t>
            </w:r>
          </w:p>
        </w:tc>
        <w:tc>
          <w:tcPr>
            <w:tcW w:w="7688" w:type="dxa"/>
          </w:tcPr>
          <w:p w:rsidR="004E0EED" w:rsidRDefault="004E0EED" w:rsidP="004E0EED">
            <w:pPr>
              <w:spacing w:line="360" w:lineRule="auto"/>
              <w:jc w:val="both"/>
              <w:rPr>
                <w:rFonts w:ascii="Arial" w:hAnsi="Arial" w:cs="Arial"/>
                <w:sz w:val="24"/>
              </w:rPr>
            </w:pPr>
            <w:r>
              <w:rPr>
                <w:rFonts w:ascii="Arial" w:hAnsi="Arial" w:cs="Arial"/>
                <w:sz w:val="24"/>
              </w:rPr>
              <w:t>Medida de Independência Funcional</w:t>
            </w:r>
          </w:p>
        </w:tc>
      </w:tr>
      <w:tr w:rsidR="004E0EED" w:rsidTr="00F755BE">
        <w:tc>
          <w:tcPr>
            <w:tcW w:w="1526" w:type="dxa"/>
          </w:tcPr>
          <w:p w:rsidR="004E0EED" w:rsidRDefault="004E0EED" w:rsidP="004E0EED">
            <w:pPr>
              <w:spacing w:line="360" w:lineRule="auto"/>
              <w:jc w:val="both"/>
              <w:rPr>
                <w:rFonts w:ascii="Arial" w:hAnsi="Arial" w:cs="Arial"/>
                <w:sz w:val="24"/>
              </w:rPr>
            </w:pPr>
            <w:r>
              <w:rPr>
                <w:rFonts w:ascii="Arial" w:hAnsi="Arial" w:cs="Arial"/>
                <w:sz w:val="24"/>
              </w:rPr>
              <w:t>MPS</w:t>
            </w:r>
          </w:p>
        </w:tc>
        <w:tc>
          <w:tcPr>
            <w:tcW w:w="7688" w:type="dxa"/>
          </w:tcPr>
          <w:p w:rsidR="004E0EED" w:rsidRDefault="004E0EED" w:rsidP="004E0EED">
            <w:pPr>
              <w:spacing w:line="360" w:lineRule="auto"/>
              <w:jc w:val="both"/>
              <w:rPr>
                <w:rFonts w:ascii="Arial" w:hAnsi="Arial" w:cs="Arial"/>
                <w:sz w:val="24"/>
              </w:rPr>
            </w:pPr>
            <w:r>
              <w:rPr>
                <w:rFonts w:ascii="Arial" w:hAnsi="Arial" w:cs="Arial"/>
                <w:sz w:val="24"/>
              </w:rPr>
              <w:t>Mucopolissacaridose</w:t>
            </w:r>
          </w:p>
        </w:tc>
      </w:tr>
      <w:tr w:rsidR="004E0EED" w:rsidTr="00F755BE">
        <w:tc>
          <w:tcPr>
            <w:tcW w:w="1526" w:type="dxa"/>
          </w:tcPr>
          <w:p w:rsidR="004E0EED" w:rsidRDefault="004E0EED" w:rsidP="004E0EED">
            <w:pPr>
              <w:spacing w:line="360" w:lineRule="auto"/>
              <w:jc w:val="both"/>
              <w:rPr>
                <w:rFonts w:ascii="Arial" w:hAnsi="Arial" w:cs="Arial"/>
                <w:sz w:val="24"/>
              </w:rPr>
            </w:pPr>
            <w:r>
              <w:rPr>
                <w:rFonts w:ascii="Arial" w:hAnsi="Arial" w:cs="Arial"/>
                <w:sz w:val="24"/>
              </w:rPr>
              <w:t>MPS-HAQ</w:t>
            </w:r>
          </w:p>
        </w:tc>
        <w:tc>
          <w:tcPr>
            <w:tcW w:w="7688" w:type="dxa"/>
          </w:tcPr>
          <w:p w:rsidR="004E0EED" w:rsidRDefault="004E0EED" w:rsidP="001315F2">
            <w:pPr>
              <w:spacing w:line="360" w:lineRule="auto"/>
              <w:jc w:val="both"/>
              <w:rPr>
                <w:rFonts w:ascii="Arial" w:hAnsi="Arial" w:cs="Arial"/>
                <w:sz w:val="24"/>
              </w:rPr>
            </w:pPr>
            <w:r w:rsidRPr="003A61AA">
              <w:rPr>
                <w:rFonts w:ascii="Arial" w:hAnsi="Arial" w:cs="Arial"/>
                <w:i/>
                <w:sz w:val="24"/>
              </w:rPr>
              <w:t>M</w:t>
            </w:r>
            <w:r w:rsidR="001315F2" w:rsidRPr="003A61AA">
              <w:rPr>
                <w:rFonts w:ascii="Arial" w:hAnsi="Arial" w:cs="Arial"/>
                <w:i/>
                <w:sz w:val="24"/>
              </w:rPr>
              <w:t>ucopolysaccharidosis</w:t>
            </w:r>
            <w:r>
              <w:rPr>
                <w:rFonts w:ascii="Arial" w:hAnsi="Arial" w:cs="Arial"/>
                <w:sz w:val="24"/>
              </w:rPr>
              <w:t xml:space="preserve"> </w:t>
            </w:r>
            <w:r w:rsidRPr="004E0EED">
              <w:rPr>
                <w:rFonts w:ascii="Arial" w:hAnsi="Arial" w:cs="Arial"/>
                <w:i/>
                <w:sz w:val="24"/>
              </w:rPr>
              <w:t xml:space="preserve">Health </w:t>
            </w:r>
            <w:proofErr w:type="spellStart"/>
            <w:r w:rsidRPr="004E0EED">
              <w:rPr>
                <w:rFonts w:ascii="Arial" w:hAnsi="Arial" w:cs="Arial"/>
                <w:i/>
                <w:sz w:val="24"/>
              </w:rPr>
              <w:t>Assessment</w:t>
            </w:r>
            <w:proofErr w:type="spellEnd"/>
            <w:r w:rsidRPr="004E0EED">
              <w:rPr>
                <w:rFonts w:ascii="Arial" w:hAnsi="Arial" w:cs="Arial"/>
                <w:i/>
                <w:sz w:val="24"/>
              </w:rPr>
              <w:t xml:space="preserve"> </w:t>
            </w:r>
            <w:proofErr w:type="spellStart"/>
            <w:r w:rsidRPr="004E0EED">
              <w:rPr>
                <w:rFonts w:ascii="Arial" w:hAnsi="Arial" w:cs="Arial"/>
                <w:i/>
                <w:sz w:val="24"/>
              </w:rPr>
              <w:t>Questionnaire</w:t>
            </w:r>
            <w:proofErr w:type="spellEnd"/>
          </w:p>
        </w:tc>
      </w:tr>
      <w:tr w:rsidR="004E0EED" w:rsidTr="00F755BE">
        <w:tc>
          <w:tcPr>
            <w:tcW w:w="1526" w:type="dxa"/>
          </w:tcPr>
          <w:p w:rsidR="004E0EED" w:rsidRDefault="004E0EED" w:rsidP="004E0EED">
            <w:pPr>
              <w:spacing w:line="360" w:lineRule="auto"/>
              <w:jc w:val="both"/>
              <w:rPr>
                <w:rFonts w:ascii="Arial" w:hAnsi="Arial" w:cs="Arial"/>
                <w:sz w:val="24"/>
              </w:rPr>
            </w:pPr>
            <w:r>
              <w:rPr>
                <w:rFonts w:ascii="Arial" w:hAnsi="Arial" w:cs="Arial"/>
                <w:sz w:val="24"/>
              </w:rPr>
              <w:t>OMS</w:t>
            </w:r>
          </w:p>
        </w:tc>
        <w:tc>
          <w:tcPr>
            <w:tcW w:w="7688" w:type="dxa"/>
          </w:tcPr>
          <w:p w:rsidR="004E0EED" w:rsidRDefault="004E0EED" w:rsidP="004E0EED">
            <w:pPr>
              <w:spacing w:line="360" w:lineRule="auto"/>
              <w:jc w:val="both"/>
              <w:rPr>
                <w:rFonts w:ascii="Arial" w:hAnsi="Arial" w:cs="Arial"/>
                <w:sz w:val="24"/>
              </w:rPr>
            </w:pPr>
            <w:r>
              <w:rPr>
                <w:rFonts w:ascii="Arial" w:hAnsi="Arial" w:cs="Arial"/>
                <w:sz w:val="24"/>
              </w:rPr>
              <w:t>Organização Mundial de Saúde</w:t>
            </w:r>
          </w:p>
        </w:tc>
      </w:tr>
      <w:tr w:rsidR="004E0EED" w:rsidRPr="004B60D5" w:rsidTr="00F755BE">
        <w:tc>
          <w:tcPr>
            <w:tcW w:w="1526" w:type="dxa"/>
          </w:tcPr>
          <w:p w:rsidR="004E0EED" w:rsidRDefault="004E0EED" w:rsidP="004E0EED">
            <w:pPr>
              <w:spacing w:line="360" w:lineRule="auto"/>
              <w:jc w:val="both"/>
              <w:rPr>
                <w:rFonts w:ascii="Arial" w:hAnsi="Arial" w:cs="Arial"/>
                <w:sz w:val="24"/>
              </w:rPr>
            </w:pPr>
            <w:r>
              <w:rPr>
                <w:rFonts w:ascii="Arial" w:hAnsi="Arial" w:cs="Arial"/>
                <w:sz w:val="24"/>
              </w:rPr>
              <w:t>PEDI</w:t>
            </w:r>
          </w:p>
        </w:tc>
        <w:tc>
          <w:tcPr>
            <w:tcW w:w="7688" w:type="dxa"/>
          </w:tcPr>
          <w:p w:rsidR="004E0EED" w:rsidRPr="00FF1F37" w:rsidRDefault="004E0EED" w:rsidP="004E0EED">
            <w:pPr>
              <w:spacing w:line="360" w:lineRule="auto"/>
              <w:jc w:val="both"/>
              <w:rPr>
                <w:rFonts w:ascii="Arial" w:hAnsi="Arial" w:cs="Arial"/>
                <w:i/>
                <w:sz w:val="24"/>
                <w:lang w:val="en-US"/>
              </w:rPr>
            </w:pPr>
            <w:r w:rsidRPr="00FF1F37">
              <w:rPr>
                <w:rFonts w:ascii="Arial" w:hAnsi="Arial" w:cs="Arial"/>
                <w:i/>
                <w:sz w:val="24"/>
                <w:lang w:val="en-US"/>
              </w:rPr>
              <w:t>Pediatric Evaluation of Disability Inventory</w:t>
            </w:r>
          </w:p>
        </w:tc>
      </w:tr>
      <w:tr w:rsidR="004E0EED" w:rsidRPr="004B60D5" w:rsidTr="00F755BE">
        <w:tc>
          <w:tcPr>
            <w:tcW w:w="1526" w:type="dxa"/>
          </w:tcPr>
          <w:p w:rsidR="004E0EED" w:rsidRDefault="004E0EED" w:rsidP="004E0EED">
            <w:pPr>
              <w:spacing w:line="360" w:lineRule="auto"/>
              <w:jc w:val="both"/>
              <w:rPr>
                <w:rFonts w:ascii="Arial" w:hAnsi="Arial" w:cs="Arial"/>
                <w:sz w:val="24"/>
              </w:rPr>
            </w:pPr>
            <w:r>
              <w:rPr>
                <w:rFonts w:ascii="Arial" w:hAnsi="Arial" w:cs="Arial"/>
                <w:sz w:val="24"/>
              </w:rPr>
              <w:t>PedsQL</w:t>
            </w:r>
            <w:r w:rsidRPr="004E0EED">
              <w:rPr>
                <w:rFonts w:ascii="Arial" w:hAnsi="Arial" w:cs="Arial"/>
                <w:sz w:val="24"/>
                <w:vertAlign w:val="superscript"/>
              </w:rPr>
              <w:t>TM</w:t>
            </w:r>
          </w:p>
        </w:tc>
        <w:tc>
          <w:tcPr>
            <w:tcW w:w="7688" w:type="dxa"/>
          </w:tcPr>
          <w:p w:rsidR="004E0EED" w:rsidRPr="00FF1F37" w:rsidRDefault="004E0EED" w:rsidP="004E0EED">
            <w:pPr>
              <w:spacing w:line="360" w:lineRule="auto"/>
              <w:jc w:val="both"/>
              <w:rPr>
                <w:rFonts w:ascii="Arial" w:hAnsi="Arial" w:cs="Arial"/>
                <w:i/>
                <w:sz w:val="24"/>
                <w:lang w:val="en-US"/>
              </w:rPr>
            </w:pPr>
            <w:r w:rsidRPr="00FF1F37">
              <w:rPr>
                <w:rFonts w:ascii="Arial" w:hAnsi="Arial" w:cs="Arial"/>
                <w:i/>
                <w:sz w:val="24"/>
                <w:lang w:val="en-US"/>
              </w:rPr>
              <w:t>Pediatric Quality of Life Inventory</w:t>
            </w:r>
          </w:p>
        </w:tc>
      </w:tr>
      <w:tr w:rsidR="0084468F" w:rsidRPr="004B60D5" w:rsidTr="00F755BE">
        <w:tc>
          <w:tcPr>
            <w:tcW w:w="1526" w:type="dxa"/>
          </w:tcPr>
          <w:p w:rsidR="0084468F" w:rsidRDefault="0084468F" w:rsidP="004E0EED">
            <w:pPr>
              <w:spacing w:line="360" w:lineRule="auto"/>
              <w:jc w:val="both"/>
              <w:rPr>
                <w:rFonts w:ascii="Arial" w:hAnsi="Arial" w:cs="Arial"/>
                <w:sz w:val="24"/>
              </w:rPr>
            </w:pPr>
            <w:r>
              <w:rPr>
                <w:rFonts w:ascii="Arial" w:hAnsi="Arial" w:cs="Arial"/>
                <w:sz w:val="24"/>
              </w:rPr>
              <w:t>PODCI</w:t>
            </w:r>
          </w:p>
        </w:tc>
        <w:tc>
          <w:tcPr>
            <w:tcW w:w="7688" w:type="dxa"/>
          </w:tcPr>
          <w:p w:rsidR="0084468F" w:rsidRPr="00FF1F37" w:rsidRDefault="0084468F" w:rsidP="004E0EED">
            <w:pPr>
              <w:spacing w:line="360" w:lineRule="auto"/>
              <w:jc w:val="both"/>
              <w:rPr>
                <w:rFonts w:ascii="Arial" w:hAnsi="Arial" w:cs="Arial"/>
                <w:i/>
                <w:sz w:val="24"/>
                <w:lang w:val="en-US"/>
              </w:rPr>
            </w:pPr>
            <w:r w:rsidRPr="00FF1F37">
              <w:rPr>
                <w:rFonts w:ascii="Arial" w:hAnsi="Arial" w:cs="Arial"/>
                <w:i/>
                <w:sz w:val="24"/>
                <w:lang w:val="en-US"/>
              </w:rPr>
              <w:t>Pediatric Outcomes Data Collection Instrument</w:t>
            </w:r>
          </w:p>
        </w:tc>
      </w:tr>
      <w:tr w:rsidR="0057625D" w:rsidTr="00F755BE">
        <w:tc>
          <w:tcPr>
            <w:tcW w:w="1526" w:type="dxa"/>
          </w:tcPr>
          <w:p w:rsidR="0057625D" w:rsidRDefault="0057625D" w:rsidP="004E0EED">
            <w:pPr>
              <w:spacing w:line="360" w:lineRule="auto"/>
              <w:jc w:val="both"/>
              <w:rPr>
                <w:rFonts w:ascii="Arial" w:hAnsi="Arial" w:cs="Arial"/>
                <w:sz w:val="24"/>
              </w:rPr>
            </w:pPr>
            <w:r>
              <w:rPr>
                <w:rFonts w:ascii="Arial" w:hAnsi="Arial" w:cs="Arial"/>
                <w:sz w:val="24"/>
              </w:rPr>
              <w:t>QS</w:t>
            </w:r>
          </w:p>
        </w:tc>
        <w:tc>
          <w:tcPr>
            <w:tcW w:w="7688" w:type="dxa"/>
          </w:tcPr>
          <w:p w:rsidR="0057625D" w:rsidRPr="0057625D" w:rsidRDefault="0057625D" w:rsidP="004E0EED">
            <w:pPr>
              <w:spacing w:line="360" w:lineRule="auto"/>
              <w:jc w:val="both"/>
              <w:rPr>
                <w:rFonts w:ascii="Arial" w:hAnsi="Arial" w:cs="Arial"/>
                <w:sz w:val="24"/>
              </w:rPr>
            </w:pPr>
            <w:r>
              <w:rPr>
                <w:rFonts w:ascii="Arial" w:hAnsi="Arial" w:cs="Arial"/>
                <w:sz w:val="24"/>
              </w:rPr>
              <w:t>Queratan Sulfato</w:t>
            </w:r>
          </w:p>
        </w:tc>
      </w:tr>
      <w:tr w:rsidR="004E0EED" w:rsidTr="00F755BE">
        <w:tc>
          <w:tcPr>
            <w:tcW w:w="1526" w:type="dxa"/>
          </w:tcPr>
          <w:p w:rsidR="004E0EED" w:rsidRDefault="004E0EED" w:rsidP="004E0EED">
            <w:pPr>
              <w:spacing w:line="360" w:lineRule="auto"/>
              <w:jc w:val="both"/>
              <w:rPr>
                <w:rFonts w:ascii="Arial" w:hAnsi="Arial" w:cs="Arial"/>
                <w:sz w:val="24"/>
              </w:rPr>
            </w:pPr>
            <w:r>
              <w:rPr>
                <w:rFonts w:ascii="Arial" w:hAnsi="Arial" w:cs="Arial"/>
                <w:sz w:val="24"/>
              </w:rPr>
              <w:t>QV</w:t>
            </w:r>
          </w:p>
        </w:tc>
        <w:tc>
          <w:tcPr>
            <w:tcW w:w="7688" w:type="dxa"/>
          </w:tcPr>
          <w:p w:rsidR="004E0EED" w:rsidRDefault="004E0EED" w:rsidP="004E0EED">
            <w:pPr>
              <w:spacing w:line="360" w:lineRule="auto"/>
              <w:jc w:val="both"/>
              <w:rPr>
                <w:rFonts w:ascii="Arial" w:hAnsi="Arial" w:cs="Arial"/>
                <w:sz w:val="24"/>
              </w:rPr>
            </w:pPr>
            <w:r>
              <w:rPr>
                <w:rFonts w:ascii="Arial" w:hAnsi="Arial" w:cs="Arial"/>
                <w:sz w:val="24"/>
              </w:rPr>
              <w:t>Qualidade de Vida</w:t>
            </w:r>
          </w:p>
        </w:tc>
      </w:tr>
      <w:tr w:rsidR="004E0EED" w:rsidTr="00F755BE">
        <w:tc>
          <w:tcPr>
            <w:tcW w:w="1526" w:type="dxa"/>
          </w:tcPr>
          <w:p w:rsidR="004E0EED" w:rsidRDefault="004E0EED" w:rsidP="004E0EED">
            <w:pPr>
              <w:spacing w:line="360" w:lineRule="auto"/>
              <w:jc w:val="both"/>
              <w:rPr>
                <w:rFonts w:ascii="Arial" w:hAnsi="Arial" w:cs="Arial"/>
                <w:sz w:val="24"/>
              </w:rPr>
            </w:pPr>
            <w:r>
              <w:rPr>
                <w:rFonts w:ascii="Arial" w:hAnsi="Arial" w:cs="Arial"/>
                <w:sz w:val="24"/>
              </w:rPr>
              <w:t>QVRS</w:t>
            </w:r>
          </w:p>
        </w:tc>
        <w:tc>
          <w:tcPr>
            <w:tcW w:w="7688" w:type="dxa"/>
          </w:tcPr>
          <w:p w:rsidR="004E0EED" w:rsidRDefault="004E0EED" w:rsidP="004E0EED">
            <w:pPr>
              <w:spacing w:line="360" w:lineRule="auto"/>
              <w:jc w:val="both"/>
              <w:rPr>
                <w:rFonts w:ascii="Arial" w:hAnsi="Arial" w:cs="Arial"/>
                <w:sz w:val="24"/>
              </w:rPr>
            </w:pPr>
            <w:r>
              <w:rPr>
                <w:rFonts w:ascii="Arial" w:hAnsi="Arial" w:cs="Arial"/>
                <w:sz w:val="24"/>
              </w:rPr>
              <w:t>Qualidade de Vida Relacionada à Saúde</w:t>
            </w:r>
          </w:p>
        </w:tc>
      </w:tr>
      <w:tr w:rsidR="004E0EED" w:rsidTr="00F755BE">
        <w:tc>
          <w:tcPr>
            <w:tcW w:w="1526" w:type="dxa"/>
          </w:tcPr>
          <w:p w:rsidR="004E0EED" w:rsidRDefault="004E0EED" w:rsidP="004E0EED">
            <w:pPr>
              <w:spacing w:line="360" w:lineRule="auto"/>
              <w:jc w:val="both"/>
              <w:rPr>
                <w:rFonts w:ascii="Arial" w:hAnsi="Arial" w:cs="Arial"/>
                <w:sz w:val="24"/>
              </w:rPr>
            </w:pPr>
            <w:r>
              <w:rPr>
                <w:rFonts w:ascii="Arial" w:hAnsi="Arial" w:cs="Arial"/>
                <w:sz w:val="24"/>
              </w:rPr>
              <w:t>SNC</w:t>
            </w:r>
          </w:p>
        </w:tc>
        <w:tc>
          <w:tcPr>
            <w:tcW w:w="7688" w:type="dxa"/>
          </w:tcPr>
          <w:p w:rsidR="004E0EED" w:rsidRDefault="004E0EED" w:rsidP="004E0EED">
            <w:pPr>
              <w:spacing w:line="360" w:lineRule="auto"/>
              <w:jc w:val="both"/>
              <w:rPr>
                <w:rFonts w:ascii="Arial" w:hAnsi="Arial" w:cs="Arial"/>
                <w:sz w:val="24"/>
              </w:rPr>
            </w:pPr>
            <w:r>
              <w:rPr>
                <w:rFonts w:ascii="Arial" w:hAnsi="Arial" w:cs="Arial"/>
                <w:sz w:val="24"/>
              </w:rPr>
              <w:t>Sistema Nervoso Central</w:t>
            </w:r>
          </w:p>
        </w:tc>
      </w:tr>
      <w:tr w:rsidR="004E0EED" w:rsidTr="00F755BE">
        <w:tc>
          <w:tcPr>
            <w:tcW w:w="1526" w:type="dxa"/>
          </w:tcPr>
          <w:p w:rsidR="004E0EED" w:rsidRDefault="004E0EED" w:rsidP="004E0EED">
            <w:pPr>
              <w:spacing w:line="360" w:lineRule="auto"/>
              <w:jc w:val="both"/>
              <w:rPr>
                <w:rFonts w:ascii="Arial" w:hAnsi="Arial" w:cs="Arial"/>
                <w:sz w:val="24"/>
              </w:rPr>
            </w:pPr>
            <w:r>
              <w:rPr>
                <w:rFonts w:ascii="Arial" w:hAnsi="Arial" w:cs="Arial"/>
                <w:sz w:val="24"/>
              </w:rPr>
              <w:t>STC</w:t>
            </w:r>
          </w:p>
        </w:tc>
        <w:tc>
          <w:tcPr>
            <w:tcW w:w="7688" w:type="dxa"/>
          </w:tcPr>
          <w:p w:rsidR="004E0EED" w:rsidRDefault="004E0EED" w:rsidP="004E0EED">
            <w:pPr>
              <w:spacing w:line="360" w:lineRule="auto"/>
              <w:jc w:val="both"/>
              <w:rPr>
                <w:rFonts w:ascii="Arial" w:hAnsi="Arial" w:cs="Arial"/>
                <w:sz w:val="24"/>
              </w:rPr>
            </w:pPr>
            <w:r>
              <w:rPr>
                <w:rFonts w:ascii="Arial" w:hAnsi="Arial" w:cs="Arial"/>
                <w:sz w:val="24"/>
              </w:rPr>
              <w:t>Síndrome do Túnel do Carpo</w:t>
            </w:r>
          </w:p>
        </w:tc>
      </w:tr>
      <w:tr w:rsidR="004E0EED" w:rsidTr="00F755BE">
        <w:tc>
          <w:tcPr>
            <w:tcW w:w="1526" w:type="dxa"/>
          </w:tcPr>
          <w:p w:rsidR="004E0EED" w:rsidRDefault="004E0EED" w:rsidP="004E0EED">
            <w:pPr>
              <w:spacing w:line="360" w:lineRule="auto"/>
              <w:jc w:val="both"/>
              <w:rPr>
                <w:rFonts w:ascii="Arial" w:hAnsi="Arial" w:cs="Arial"/>
                <w:sz w:val="24"/>
              </w:rPr>
            </w:pPr>
            <w:r>
              <w:rPr>
                <w:rFonts w:ascii="Arial" w:hAnsi="Arial" w:cs="Arial"/>
                <w:sz w:val="24"/>
              </w:rPr>
              <w:lastRenderedPageBreak/>
              <w:t>TCTH</w:t>
            </w:r>
          </w:p>
        </w:tc>
        <w:tc>
          <w:tcPr>
            <w:tcW w:w="7688" w:type="dxa"/>
          </w:tcPr>
          <w:p w:rsidR="004E0EED" w:rsidRDefault="004E0EED" w:rsidP="004E0EED">
            <w:pPr>
              <w:spacing w:line="360" w:lineRule="auto"/>
              <w:jc w:val="both"/>
              <w:rPr>
                <w:rFonts w:ascii="Arial" w:hAnsi="Arial" w:cs="Arial"/>
                <w:sz w:val="24"/>
              </w:rPr>
            </w:pPr>
            <w:r>
              <w:rPr>
                <w:rFonts w:ascii="Arial" w:hAnsi="Arial" w:cs="Arial"/>
                <w:sz w:val="24"/>
              </w:rPr>
              <w:t>Transplante de Células-Tronco Hematopoéticas</w:t>
            </w:r>
          </w:p>
        </w:tc>
      </w:tr>
      <w:tr w:rsidR="004E0EED" w:rsidTr="00F755BE">
        <w:tc>
          <w:tcPr>
            <w:tcW w:w="1526" w:type="dxa"/>
          </w:tcPr>
          <w:p w:rsidR="004E0EED" w:rsidRDefault="004E0EED" w:rsidP="004E0EED">
            <w:pPr>
              <w:spacing w:line="360" w:lineRule="auto"/>
              <w:jc w:val="both"/>
              <w:rPr>
                <w:rFonts w:ascii="Arial" w:hAnsi="Arial" w:cs="Arial"/>
                <w:sz w:val="24"/>
              </w:rPr>
            </w:pPr>
            <w:r>
              <w:rPr>
                <w:rFonts w:ascii="Arial" w:hAnsi="Arial" w:cs="Arial"/>
                <w:sz w:val="24"/>
              </w:rPr>
              <w:t>TRE</w:t>
            </w:r>
          </w:p>
        </w:tc>
        <w:tc>
          <w:tcPr>
            <w:tcW w:w="7688" w:type="dxa"/>
          </w:tcPr>
          <w:p w:rsidR="004E0EED" w:rsidRDefault="004E0EED" w:rsidP="004E0EED">
            <w:pPr>
              <w:spacing w:line="360" w:lineRule="auto"/>
              <w:jc w:val="both"/>
              <w:rPr>
                <w:rFonts w:ascii="Arial" w:hAnsi="Arial" w:cs="Arial"/>
                <w:sz w:val="24"/>
              </w:rPr>
            </w:pPr>
            <w:r>
              <w:rPr>
                <w:rFonts w:ascii="Arial" w:hAnsi="Arial" w:cs="Arial"/>
                <w:sz w:val="24"/>
              </w:rPr>
              <w:t>Terapia de Reposição Enzimática</w:t>
            </w:r>
          </w:p>
        </w:tc>
      </w:tr>
    </w:tbl>
    <w:p w:rsidR="00897802" w:rsidRDefault="00897802"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C2188C" w:rsidRDefault="00C2188C"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5B6916" w:rsidRDefault="005B6916" w:rsidP="003124E4">
      <w:pPr>
        <w:spacing w:after="0" w:line="240" w:lineRule="auto"/>
        <w:jc w:val="both"/>
        <w:rPr>
          <w:rFonts w:ascii="Arial" w:hAnsi="Arial" w:cs="Arial"/>
          <w:sz w:val="24"/>
        </w:rPr>
      </w:pPr>
    </w:p>
    <w:p w:rsidR="00B11304" w:rsidRDefault="00B11304" w:rsidP="00B11304">
      <w:pPr>
        <w:spacing w:after="0" w:line="360" w:lineRule="auto"/>
        <w:jc w:val="center"/>
        <w:rPr>
          <w:rFonts w:ascii="Arial" w:hAnsi="Arial" w:cs="Arial"/>
          <w:sz w:val="24"/>
        </w:rPr>
      </w:pPr>
      <w:r w:rsidRPr="003124E4">
        <w:rPr>
          <w:rFonts w:ascii="Arial" w:hAnsi="Arial" w:cs="Arial"/>
          <w:b/>
          <w:sz w:val="24"/>
        </w:rPr>
        <w:lastRenderedPageBreak/>
        <w:t xml:space="preserve">LISTA DE </w:t>
      </w:r>
      <w:r w:rsidR="004C6C2C">
        <w:rPr>
          <w:rFonts w:ascii="Arial" w:hAnsi="Arial" w:cs="Arial"/>
          <w:b/>
          <w:sz w:val="24"/>
        </w:rPr>
        <w:t>SÍMBOLOS</w:t>
      </w:r>
    </w:p>
    <w:p w:rsidR="00B11304" w:rsidRDefault="00B11304" w:rsidP="00B11304">
      <w:pPr>
        <w:spacing w:after="0" w:line="360" w:lineRule="auto"/>
        <w:jc w:val="both"/>
        <w:rPr>
          <w:rFonts w:ascii="Arial" w:hAnsi="Arial" w:cs="Arial"/>
          <w:sz w:val="24"/>
        </w:rPr>
      </w:pPr>
    </w:p>
    <w:p w:rsidR="00D62D2F" w:rsidRDefault="00D62D2F" w:rsidP="00B11304">
      <w:pPr>
        <w:spacing w:after="0" w:line="360" w:lineRule="auto"/>
        <w:jc w:val="both"/>
        <w:rPr>
          <w:rFonts w:ascii="Arial" w:hAnsi="Arial" w:cs="Arial"/>
          <w:sz w:val="24"/>
          <w:szCs w:val="24"/>
        </w:rPr>
      </w:pPr>
      <w:r>
        <w:rPr>
          <w:rFonts w:ascii="Arial" w:hAnsi="Arial" w:cs="Arial"/>
          <w:sz w:val="24"/>
          <w:szCs w:val="24"/>
        </w:rPr>
        <w:t>CoA Coenzima A</w:t>
      </w:r>
    </w:p>
    <w:p w:rsidR="00B11304" w:rsidRDefault="00B11304" w:rsidP="00B11304">
      <w:pPr>
        <w:spacing w:after="0" w:line="360" w:lineRule="auto"/>
        <w:jc w:val="both"/>
        <w:rPr>
          <w:rFonts w:ascii="Arial" w:hAnsi="Arial" w:cs="Arial"/>
          <w:sz w:val="24"/>
          <w:szCs w:val="24"/>
        </w:rPr>
      </w:pPr>
      <w:r w:rsidRPr="00B11304">
        <w:rPr>
          <w:rFonts w:ascii="Arial" w:hAnsi="Arial" w:cs="Arial"/>
          <w:sz w:val="24"/>
          <w:szCs w:val="24"/>
        </w:rPr>
        <w:t>α</w:t>
      </w:r>
      <w:r>
        <w:rPr>
          <w:rFonts w:ascii="Arial" w:hAnsi="Arial" w:cs="Arial"/>
          <w:sz w:val="24"/>
          <w:szCs w:val="24"/>
        </w:rPr>
        <w:t xml:space="preserve"> Alfa</w:t>
      </w:r>
    </w:p>
    <w:p w:rsidR="00B11304" w:rsidRDefault="00B11304" w:rsidP="00B11304">
      <w:pPr>
        <w:spacing w:after="0" w:line="360" w:lineRule="auto"/>
        <w:jc w:val="both"/>
        <w:rPr>
          <w:rFonts w:ascii="Arial" w:hAnsi="Arial" w:cs="Arial"/>
          <w:sz w:val="24"/>
          <w:szCs w:val="24"/>
        </w:rPr>
      </w:pPr>
      <w:r w:rsidRPr="00B11304">
        <w:rPr>
          <w:rFonts w:ascii="Arial" w:hAnsi="Arial" w:cs="Arial"/>
          <w:sz w:val="24"/>
          <w:szCs w:val="24"/>
        </w:rPr>
        <w:t>β</w:t>
      </w:r>
      <w:r>
        <w:rPr>
          <w:rFonts w:ascii="Arial" w:hAnsi="Arial" w:cs="Arial"/>
          <w:sz w:val="24"/>
          <w:szCs w:val="24"/>
        </w:rPr>
        <w:t xml:space="preserve"> Beta</w:t>
      </w:r>
    </w:p>
    <w:p w:rsidR="00786EA8" w:rsidRDefault="00786EA8" w:rsidP="00B11304">
      <w:pPr>
        <w:spacing w:after="0" w:line="360" w:lineRule="auto"/>
        <w:jc w:val="both"/>
        <w:rPr>
          <w:rFonts w:ascii="Arial" w:hAnsi="Arial" w:cs="Arial"/>
          <w:sz w:val="24"/>
        </w:rPr>
      </w:pPr>
      <w:r w:rsidRPr="00786EA8">
        <w:rPr>
          <w:rFonts w:ascii="Arial" w:hAnsi="Arial" w:cs="Arial"/>
          <w:sz w:val="24"/>
        </w:rPr>
        <w:t>µ</w:t>
      </w:r>
      <w:r>
        <w:rPr>
          <w:rFonts w:ascii="Arial" w:hAnsi="Arial" w:cs="Arial"/>
          <w:sz w:val="24"/>
        </w:rPr>
        <w:t xml:space="preserve"> Média</w:t>
      </w:r>
    </w:p>
    <w:p w:rsidR="00766D64" w:rsidRPr="00786EA8" w:rsidRDefault="00766D64" w:rsidP="00B11304">
      <w:pPr>
        <w:spacing w:after="0" w:line="360" w:lineRule="auto"/>
        <w:jc w:val="both"/>
        <w:rPr>
          <w:rFonts w:ascii="Arial" w:hAnsi="Arial" w:cs="Arial"/>
          <w:sz w:val="24"/>
        </w:rPr>
      </w:pPr>
      <w:r>
        <w:rPr>
          <w:rFonts w:ascii="Arial" w:hAnsi="Arial" w:cs="Arial"/>
          <w:sz w:val="24"/>
        </w:rPr>
        <w:t>® Marca registrada</w:t>
      </w:r>
    </w:p>
    <w:p w:rsidR="00B11304" w:rsidRDefault="00B11304" w:rsidP="00B11304">
      <w:pPr>
        <w:spacing w:after="0" w:line="360" w:lineRule="auto"/>
        <w:jc w:val="both"/>
        <w:rPr>
          <w:rFonts w:ascii="Arial" w:hAnsi="Arial" w:cs="Arial"/>
          <w:sz w:val="24"/>
        </w:rPr>
      </w:pPr>
      <w:r w:rsidRPr="00B11304">
        <w:rPr>
          <w:rFonts w:ascii="Arial" w:hAnsi="Arial" w:cs="Arial"/>
          <w:sz w:val="24"/>
          <w:vertAlign w:val="superscript"/>
        </w:rPr>
        <w:t>TM</w:t>
      </w:r>
      <w:r>
        <w:rPr>
          <w:rFonts w:ascii="Arial" w:hAnsi="Arial" w:cs="Arial"/>
          <w:sz w:val="24"/>
        </w:rPr>
        <w:t xml:space="preserve"> Marca comercial (Trade Mark)</w:t>
      </w: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D434B6" w:rsidRDefault="00D434B6"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p w:rsidR="00B11304" w:rsidRDefault="00B11304" w:rsidP="003124E4">
      <w:pPr>
        <w:spacing w:after="0" w:line="240" w:lineRule="auto"/>
        <w:jc w:val="both"/>
        <w:rPr>
          <w:rFonts w:ascii="Arial" w:hAnsi="Arial" w:cs="Arial"/>
          <w:sz w:val="24"/>
        </w:rPr>
      </w:pPr>
    </w:p>
    <w:sdt>
      <w:sdtPr>
        <w:rPr>
          <w:rFonts w:asciiTheme="minorHAnsi" w:eastAsiaTheme="minorHAnsi" w:hAnsiTheme="minorHAnsi" w:cstheme="minorBidi"/>
          <w:b w:val="0"/>
          <w:bCs w:val="0"/>
          <w:color w:val="auto"/>
          <w:sz w:val="22"/>
          <w:szCs w:val="22"/>
          <w:lang w:eastAsia="en-US"/>
        </w:rPr>
        <w:id w:val="1032393429"/>
        <w:docPartObj>
          <w:docPartGallery w:val="Table of Contents"/>
          <w:docPartUnique/>
        </w:docPartObj>
      </w:sdtPr>
      <w:sdtEndPr/>
      <w:sdtContent>
        <w:p w:rsidR="00C97F2B" w:rsidRDefault="00C97F2B" w:rsidP="00C97F2B">
          <w:pPr>
            <w:pStyle w:val="CabealhodoSumrio"/>
            <w:spacing w:before="0" w:line="360" w:lineRule="auto"/>
            <w:jc w:val="center"/>
            <w:rPr>
              <w:rFonts w:ascii="Arial" w:hAnsi="Arial" w:cs="Arial"/>
              <w:color w:val="auto"/>
              <w:sz w:val="24"/>
              <w:szCs w:val="24"/>
            </w:rPr>
          </w:pPr>
          <w:r w:rsidRPr="00C97F2B">
            <w:rPr>
              <w:rFonts w:ascii="Arial" w:hAnsi="Arial" w:cs="Arial"/>
              <w:color w:val="auto"/>
              <w:sz w:val="24"/>
              <w:szCs w:val="24"/>
            </w:rPr>
            <w:t>SUMÁRIO</w:t>
          </w:r>
        </w:p>
        <w:p w:rsidR="00C97F2B" w:rsidRPr="00C97F2B" w:rsidRDefault="00C97F2B" w:rsidP="00C97F2B">
          <w:pPr>
            <w:rPr>
              <w:lang w:eastAsia="pt-BR"/>
            </w:rPr>
          </w:pPr>
        </w:p>
        <w:p w:rsidR="00C97F2B" w:rsidRPr="00C97F2B" w:rsidRDefault="00C97F2B" w:rsidP="00C97F2B">
          <w:pPr>
            <w:pStyle w:val="Sumrio1"/>
            <w:jc w:val="both"/>
            <w:rPr>
              <w:rFonts w:eastAsiaTheme="minorEastAsia"/>
              <w:b w:val="0"/>
              <w:lang w:eastAsia="pt-BR"/>
            </w:rPr>
          </w:pPr>
          <w:r w:rsidRPr="00C97F2B">
            <w:fldChar w:fldCharType="begin"/>
          </w:r>
          <w:r w:rsidRPr="00C97F2B">
            <w:instrText xml:space="preserve"> TOC \o "1-3" \h \z \u </w:instrText>
          </w:r>
          <w:r w:rsidRPr="00C97F2B">
            <w:fldChar w:fldCharType="separate"/>
          </w:r>
          <w:hyperlink w:anchor="_Toc496749596" w:history="1">
            <w:r w:rsidRPr="00C97F2B">
              <w:rPr>
                <w:rStyle w:val="Hyperlink"/>
                <w:u w:val="none"/>
              </w:rPr>
              <w:t xml:space="preserve">1 </w:t>
            </w:r>
            <w:r>
              <w:rPr>
                <w:rStyle w:val="Hyperlink"/>
                <w:u w:val="none"/>
              </w:rPr>
              <w:t xml:space="preserve">      </w:t>
            </w:r>
            <w:r w:rsidRPr="00C97F2B">
              <w:rPr>
                <w:rStyle w:val="Hyperlink"/>
                <w:u w:val="none"/>
              </w:rPr>
              <w:t>INTRODUÇÃO</w:t>
            </w:r>
            <w:r w:rsidRPr="00C97F2B">
              <w:rPr>
                <w:b w:val="0"/>
                <w:webHidden/>
              </w:rPr>
              <w:tab/>
            </w:r>
            <w:r w:rsidRPr="00C97F2B">
              <w:rPr>
                <w:b w:val="0"/>
                <w:webHidden/>
              </w:rPr>
              <w:fldChar w:fldCharType="begin"/>
            </w:r>
            <w:r w:rsidRPr="00C97F2B">
              <w:rPr>
                <w:b w:val="0"/>
                <w:webHidden/>
              </w:rPr>
              <w:instrText xml:space="preserve"> PAGEREF _Toc496749596 \h </w:instrText>
            </w:r>
            <w:r w:rsidRPr="00C97F2B">
              <w:rPr>
                <w:b w:val="0"/>
                <w:webHidden/>
              </w:rPr>
            </w:r>
            <w:r w:rsidRPr="00C97F2B">
              <w:rPr>
                <w:b w:val="0"/>
                <w:webHidden/>
              </w:rPr>
              <w:fldChar w:fldCharType="separate"/>
            </w:r>
            <w:r w:rsidR="005E2BE9">
              <w:rPr>
                <w:b w:val="0"/>
                <w:webHidden/>
              </w:rPr>
              <w:t>15</w:t>
            </w:r>
            <w:r w:rsidRPr="00C97F2B">
              <w:rPr>
                <w:b w:val="0"/>
                <w:webHidden/>
              </w:rPr>
              <w:fldChar w:fldCharType="end"/>
            </w:r>
          </w:hyperlink>
        </w:p>
        <w:p w:rsidR="00C97F2B" w:rsidRPr="00C97F2B" w:rsidRDefault="00FA6328" w:rsidP="00C97F2B">
          <w:pPr>
            <w:pStyle w:val="Sumrio1"/>
            <w:jc w:val="both"/>
            <w:rPr>
              <w:rFonts w:eastAsiaTheme="minorEastAsia"/>
              <w:b w:val="0"/>
              <w:lang w:eastAsia="pt-BR"/>
            </w:rPr>
          </w:pPr>
          <w:hyperlink w:anchor="_Toc496749597" w:history="1">
            <w:r w:rsidR="00C97F2B" w:rsidRPr="00C97F2B">
              <w:rPr>
                <w:rStyle w:val="Hyperlink"/>
                <w:u w:val="none"/>
              </w:rPr>
              <w:t xml:space="preserve">2 </w:t>
            </w:r>
            <w:r w:rsidR="00C97F2B">
              <w:rPr>
                <w:rStyle w:val="Hyperlink"/>
                <w:u w:val="none"/>
              </w:rPr>
              <w:t xml:space="preserve">      </w:t>
            </w:r>
            <w:r w:rsidR="00C97F2B" w:rsidRPr="00C97F2B">
              <w:rPr>
                <w:rStyle w:val="Hyperlink"/>
                <w:u w:val="none"/>
              </w:rPr>
              <w:t>OBJETIVO</w:t>
            </w:r>
            <w:r w:rsidR="00C97F2B" w:rsidRPr="00C97F2B">
              <w:rPr>
                <w:b w:val="0"/>
                <w:webHidden/>
              </w:rPr>
              <w:tab/>
            </w:r>
            <w:r w:rsidR="00C97F2B" w:rsidRPr="00C97F2B">
              <w:rPr>
                <w:b w:val="0"/>
                <w:webHidden/>
              </w:rPr>
              <w:fldChar w:fldCharType="begin"/>
            </w:r>
            <w:r w:rsidR="00C97F2B" w:rsidRPr="00C97F2B">
              <w:rPr>
                <w:b w:val="0"/>
                <w:webHidden/>
              </w:rPr>
              <w:instrText xml:space="preserve"> PAGEREF _Toc496749597 \h </w:instrText>
            </w:r>
            <w:r w:rsidR="00C97F2B" w:rsidRPr="00C97F2B">
              <w:rPr>
                <w:b w:val="0"/>
                <w:webHidden/>
              </w:rPr>
            </w:r>
            <w:r w:rsidR="00C97F2B" w:rsidRPr="00C97F2B">
              <w:rPr>
                <w:b w:val="0"/>
                <w:webHidden/>
              </w:rPr>
              <w:fldChar w:fldCharType="separate"/>
            </w:r>
            <w:r w:rsidR="005E2BE9">
              <w:rPr>
                <w:b w:val="0"/>
                <w:webHidden/>
              </w:rPr>
              <w:t>18</w:t>
            </w:r>
            <w:r w:rsidR="00C97F2B" w:rsidRPr="00C97F2B">
              <w:rPr>
                <w:b w:val="0"/>
                <w:webHidden/>
              </w:rPr>
              <w:fldChar w:fldCharType="end"/>
            </w:r>
          </w:hyperlink>
        </w:p>
        <w:p w:rsidR="00C97F2B" w:rsidRPr="00C97F2B" w:rsidRDefault="00FA6328" w:rsidP="00C97F2B">
          <w:pPr>
            <w:pStyle w:val="Sumrio1"/>
            <w:jc w:val="both"/>
            <w:rPr>
              <w:rFonts w:eastAsiaTheme="minorEastAsia"/>
              <w:b w:val="0"/>
              <w:lang w:eastAsia="pt-BR"/>
            </w:rPr>
          </w:pPr>
          <w:hyperlink w:anchor="_Toc496749598" w:history="1">
            <w:r w:rsidR="00C97F2B" w:rsidRPr="00C97F2B">
              <w:rPr>
                <w:rStyle w:val="Hyperlink"/>
                <w:u w:val="none"/>
              </w:rPr>
              <w:t xml:space="preserve">3 </w:t>
            </w:r>
            <w:r w:rsidR="00C97F2B">
              <w:rPr>
                <w:rStyle w:val="Hyperlink"/>
                <w:u w:val="none"/>
              </w:rPr>
              <w:t xml:space="preserve">      </w:t>
            </w:r>
            <w:r w:rsidR="00C97F2B" w:rsidRPr="00C97F2B">
              <w:rPr>
                <w:rStyle w:val="Hyperlink"/>
                <w:u w:val="none"/>
              </w:rPr>
              <w:t>REVISÃO DA LITERATURA</w:t>
            </w:r>
            <w:r w:rsidR="00C97F2B" w:rsidRPr="00C97F2B">
              <w:rPr>
                <w:b w:val="0"/>
                <w:webHidden/>
              </w:rPr>
              <w:tab/>
            </w:r>
            <w:r w:rsidR="00C97F2B" w:rsidRPr="00C97F2B">
              <w:rPr>
                <w:b w:val="0"/>
                <w:webHidden/>
              </w:rPr>
              <w:fldChar w:fldCharType="begin"/>
            </w:r>
            <w:r w:rsidR="00C97F2B" w:rsidRPr="00C97F2B">
              <w:rPr>
                <w:b w:val="0"/>
                <w:webHidden/>
              </w:rPr>
              <w:instrText xml:space="preserve"> PAGEREF _Toc496749598 \h </w:instrText>
            </w:r>
            <w:r w:rsidR="00C97F2B" w:rsidRPr="00C97F2B">
              <w:rPr>
                <w:b w:val="0"/>
                <w:webHidden/>
              </w:rPr>
            </w:r>
            <w:r w:rsidR="00C97F2B" w:rsidRPr="00C97F2B">
              <w:rPr>
                <w:b w:val="0"/>
                <w:webHidden/>
              </w:rPr>
              <w:fldChar w:fldCharType="separate"/>
            </w:r>
            <w:r w:rsidR="005E2BE9">
              <w:rPr>
                <w:b w:val="0"/>
                <w:webHidden/>
              </w:rPr>
              <w:t>19</w:t>
            </w:r>
            <w:r w:rsidR="00C97F2B" w:rsidRPr="00C97F2B">
              <w:rPr>
                <w:b w:val="0"/>
                <w:webHidden/>
              </w:rPr>
              <w:fldChar w:fldCharType="end"/>
            </w:r>
          </w:hyperlink>
        </w:p>
        <w:p w:rsidR="00C97F2B" w:rsidRPr="00C97F2B" w:rsidRDefault="00FA6328" w:rsidP="00C97F2B">
          <w:pPr>
            <w:pStyle w:val="Sumrio1"/>
            <w:jc w:val="both"/>
            <w:rPr>
              <w:rFonts w:eastAsiaTheme="minorEastAsia"/>
              <w:b w:val="0"/>
              <w:lang w:eastAsia="pt-BR"/>
            </w:rPr>
          </w:pPr>
          <w:hyperlink w:anchor="_Toc496749599" w:history="1">
            <w:r w:rsidR="00C97F2B" w:rsidRPr="00C97F2B">
              <w:rPr>
                <w:rStyle w:val="Hyperlink"/>
                <w:u w:val="none"/>
              </w:rPr>
              <w:t xml:space="preserve">3.1 </w:t>
            </w:r>
            <w:r w:rsidR="00C97F2B">
              <w:rPr>
                <w:rStyle w:val="Hyperlink"/>
                <w:u w:val="none"/>
              </w:rPr>
              <w:t xml:space="preserve">   </w:t>
            </w:r>
            <w:r w:rsidR="00C97F2B" w:rsidRPr="00C97F2B">
              <w:rPr>
                <w:rStyle w:val="Hyperlink"/>
                <w:u w:val="none"/>
              </w:rPr>
              <w:t>Mucopolissacaridoses</w:t>
            </w:r>
            <w:r w:rsidR="00C97F2B" w:rsidRPr="00C97F2B">
              <w:rPr>
                <w:b w:val="0"/>
                <w:webHidden/>
              </w:rPr>
              <w:tab/>
            </w:r>
            <w:r w:rsidR="00C97F2B" w:rsidRPr="00C97F2B">
              <w:rPr>
                <w:b w:val="0"/>
                <w:webHidden/>
              </w:rPr>
              <w:fldChar w:fldCharType="begin"/>
            </w:r>
            <w:r w:rsidR="00C97F2B" w:rsidRPr="00C97F2B">
              <w:rPr>
                <w:b w:val="0"/>
                <w:webHidden/>
              </w:rPr>
              <w:instrText xml:space="preserve"> PAGEREF _Toc496749599 \h </w:instrText>
            </w:r>
            <w:r w:rsidR="00C97F2B" w:rsidRPr="00C97F2B">
              <w:rPr>
                <w:b w:val="0"/>
                <w:webHidden/>
              </w:rPr>
            </w:r>
            <w:r w:rsidR="00C97F2B" w:rsidRPr="00C97F2B">
              <w:rPr>
                <w:b w:val="0"/>
                <w:webHidden/>
              </w:rPr>
              <w:fldChar w:fldCharType="separate"/>
            </w:r>
            <w:r w:rsidR="005E2BE9">
              <w:rPr>
                <w:b w:val="0"/>
                <w:webHidden/>
              </w:rPr>
              <w:t>19</w:t>
            </w:r>
            <w:r w:rsidR="00C97F2B" w:rsidRPr="00C97F2B">
              <w:rPr>
                <w:b w:val="0"/>
                <w:webHidden/>
              </w:rPr>
              <w:fldChar w:fldCharType="end"/>
            </w:r>
          </w:hyperlink>
        </w:p>
        <w:p w:rsidR="00C97F2B" w:rsidRPr="00C97F2B" w:rsidRDefault="00FA6328" w:rsidP="00C97F2B">
          <w:pPr>
            <w:pStyle w:val="Sumrio2"/>
            <w:jc w:val="both"/>
            <w:rPr>
              <w:rFonts w:eastAsiaTheme="minorEastAsia"/>
              <w:lang w:eastAsia="pt-BR"/>
            </w:rPr>
          </w:pPr>
          <w:hyperlink w:anchor="_Toc496749600" w:history="1">
            <w:r w:rsidR="00C97F2B" w:rsidRPr="00C97F2B">
              <w:rPr>
                <w:rStyle w:val="Hyperlink"/>
                <w:u w:val="none"/>
              </w:rPr>
              <w:t>3.1.1 Classificação das mucopolissacaridoses</w:t>
            </w:r>
            <w:r w:rsidR="00C97F2B" w:rsidRPr="00C97F2B">
              <w:rPr>
                <w:webHidden/>
              </w:rPr>
              <w:tab/>
            </w:r>
            <w:r w:rsidR="00C97F2B" w:rsidRPr="00C97F2B">
              <w:rPr>
                <w:webHidden/>
              </w:rPr>
              <w:fldChar w:fldCharType="begin"/>
            </w:r>
            <w:r w:rsidR="00C97F2B" w:rsidRPr="00C97F2B">
              <w:rPr>
                <w:webHidden/>
              </w:rPr>
              <w:instrText xml:space="preserve"> PAGEREF _Toc496749600 \h </w:instrText>
            </w:r>
            <w:r w:rsidR="00C97F2B" w:rsidRPr="00C97F2B">
              <w:rPr>
                <w:webHidden/>
              </w:rPr>
            </w:r>
            <w:r w:rsidR="00C97F2B" w:rsidRPr="00C97F2B">
              <w:rPr>
                <w:webHidden/>
              </w:rPr>
              <w:fldChar w:fldCharType="separate"/>
            </w:r>
            <w:r w:rsidR="005E2BE9">
              <w:rPr>
                <w:webHidden/>
              </w:rPr>
              <w:t>20</w:t>
            </w:r>
            <w:r w:rsidR="00C97F2B" w:rsidRPr="00C97F2B">
              <w:rPr>
                <w:webHidden/>
              </w:rPr>
              <w:fldChar w:fldCharType="end"/>
            </w:r>
          </w:hyperlink>
        </w:p>
        <w:p w:rsidR="00C97F2B" w:rsidRPr="00C97F2B" w:rsidRDefault="00FA6328" w:rsidP="00C97F2B">
          <w:pPr>
            <w:pStyle w:val="Sumrio2"/>
            <w:jc w:val="both"/>
            <w:rPr>
              <w:rFonts w:eastAsiaTheme="minorEastAsia"/>
              <w:lang w:eastAsia="pt-BR"/>
            </w:rPr>
          </w:pPr>
          <w:hyperlink w:anchor="_Toc496749601" w:history="1">
            <w:r w:rsidR="00C97F2B" w:rsidRPr="00C97F2B">
              <w:rPr>
                <w:rStyle w:val="Hyperlink"/>
                <w:u w:val="none"/>
              </w:rPr>
              <w:t>3.1.2 Manifestações físicas</w:t>
            </w:r>
            <w:r w:rsidR="00C97F2B" w:rsidRPr="00C97F2B">
              <w:rPr>
                <w:webHidden/>
              </w:rPr>
              <w:tab/>
            </w:r>
            <w:r w:rsidR="00C97F2B" w:rsidRPr="00C97F2B">
              <w:rPr>
                <w:webHidden/>
              </w:rPr>
              <w:fldChar w:fldCharType="begin"/>
            </w:r>
            <w:r w:rsidR="00C97F2B" w:rsidRPr="00C97F2B">
              <w:rPr>
                <w:webHidden/>
              </w:rPr>
              <w:instrText xml:space="preserve"> PAGEREF _Toc496749601 \h </w:instrText>
            </w:r>
            <w:r w:rsidR="00C97F2B" w:rsidRPr="00C97F2B">
              <w:rPr>
                <w:webHidden/>
              </w:rPr>
            </w:r>
            <w:r w:rsidR="00C97F2B" w:rsidRPr="00C97F2B">
              <w:rPr>
                <w:webHidden/>
              </w:rPr>
              <w:fldChar w:fldCharType="separate"/>
            </w:r>
            <w:r w:rsidR="005E2BE9">
              <w:rPr>
                <w:webHidden/>
              </w:rPr>
              <w:t>21</w:t>
            </w:r>
            <w:r w:rsidR="00C97F2B" w:rsidRPr="00C97F2B">
              <w:rPr>
                <w:webHidden/>
              </w:rPr>
              <w:fldChar w:fldCharType="end"/>
            </w:r>
          </w:hyperlink>
        </w:p>
        <w:p w:rsidR="00C97F2B" w:rsidRPr="00C97F2B" w:rsidRDefault="00FA6328" w:rsidP="00C97F2B">
          <w:pPr>
            <w:pStyle w:val="Sumrio2"/>
            <w:jc w:val="both"/>
            <w:rPr>
              <w:rFonts w:eastAsiaTheme="minorEastAsia"/>
              <w:lang w:eastAsia="pt-BR"/>
            </w:rPr>
          </w:pPr>
          <w:hyperlink w:anchor="_Toc496749602" w:history="1">
            <w:r w:rsidR="00C97F2B" w:rsidRPr="00C97F2B">
              <w:rPr>
                <w:rStyle w:val="Hyperlink"/>
                <w:u w:val="none"/>
              </w:rPr>
              <w:t>3.1.3 Manifestações neurológicas</w:t>
            </w:r>
            <w:r w:rsidR="00C97F2B" w:rsidRPr="00C97F2B">
              <w:rPr>
                <w:webHidden/>
              </w:rPr>
              <w:tab/>
            </w:r>
            <w:r w:rsidR="00C97F2B" w:rsidRPr="00C97F2B">
              <w:rPr>
                <w:webHidden/>
              </w:rPr>
              <w:fldChar w:fldCharType="begin"/>
            </w:r>
            <w:r w:rsidR="00C97F2B" w:rsidRPr="00C97F2B">
              <w:rPr>
                <w:webHidden/>
              </w:rPr>
              <w:instrText xml:space="preserve"> PAGEREF _Toc496749602 \h </w:instrText>
            </w:r>
            <w:r w:rsidR="00C97F2B" w:rsidRPr="00C97F2B">
              <w:rPr>
                <w:webHidden/>
              </w:rPr>
            </w:r>
            <w:r w:rsidR="00C97F2B" w:rsidRPr="00C97F2B">
              <w:rPr>
                <w:webHidden/>
              </w:rPr>
              <w:fldChar w:fldCharType="separate"/>
            </w:r>
            <w:r w:rsidR="005E2BE9">
              <w:rPr>
                <w:webHidden/>
              </w:rPr>
              <w:t>23</w:t>
            </w:r>
            <w:r w:rsidR="00C97F2B" w:rsidRPr="00C97F2B">
              <w:rPr>
                <w:webHidden/>
              </w:rPr>
              <w:fldChar w:fldCharType="end"/>
            </w:r>
          </w:hyperlink>
        </w:p>
        <w:p w:rsidR="00C97F2B" w:rsidRPr="00C97F2B" w:rsidRDefault="00FA6328" w:rsidP="00C97F2B">
          <w:pPr>
            <w:pStyle w:val="Sumrio1"/>
            <w:jc w:val="both"/>
            <w:rPr>
              <w:rFonts w:eastAsiaTheme="minorEastAsia"/>
              <w:b w:val="0"/>
              <w:lang w:eastAsia="pt-BR"/>
            </w:rPr>
          </w:pPr>
          <w:hyperlink w:anchor="_Toc496749603" w:history="1">
            <w:r w:rsidR="00C97F2B" w:rsidRPr="00C97F2B">
              <w:rPr>
                <w:rStyle w:val="Hyperlink"/>
                <w:u w:val="none"/>
              </w:rPr>
              <w:t xml:space="preserve">3.2 </w:t>
            </w:r>
            <w:r w:rsidR="00C97F2B">
              <w:rPr>
                <w:rStyle w:val="Hyperlink"/>
                <w:u w:val="none"/>
              </w:rPr>
              <w:t xml:space="preserve">   </w:t>
            </w:r>
            <w:r w:rsidR="00C97F2B" w:rsidRPr="00C97F2B">
              <w:rPr>
                <w:rStyle w:val="Hyperlink"/>
                <w:u w:val="none"/>
              </w:rPr>
              <w:t>Independência funcional</w:t>
            </w:r>
            <w:r w:rsidR="00C97F2B" w:rsidRPr="00C97F2B">
              <w:rPr>
                <w:b w:val="0"/>
                <w:webHidden/>
              </w:rPr>
              <w:tab/>
            </w:r>
            <w:r w:rsidR="00C97F2B" w:rsidRPr="00C97F2B">
              <w:rPr>
                <w:b w:val="0"/>
                <w:webHidden/>
              </w:rPr>
              <w:fldChar w:fldCharType="begin"/>
            </w:r>
            <w:r w:rsidR="00C97F2B" w:rsidRPr="00C97F2B">
              <w:rPr>
                <w:b w:val="0"/>
                <w:webHidden/>
              </w:rPr>
              <w:instrText xml:space="preserve"> PAGEREF _Toc496749603 \h </w:instrText>
            </w:r>
            <w:r w:rsidR="00C97F2B" w:rsidRPr="00C97F2B">
              <w:rPr>
                <w:b w:val="0"/>
                <w:webHidden/>
              </w:rPr>
            </w:r>
            <w:r w:rsidR="00C97F2B" w:rsidRPr="00C97F2B">
              <w:rPr>
                <w:b w:val="0"/>
                <w:webHidden/>
              </w:rPr>
              <w:fldChar w:fldCharType="separate"/>
            </w:r>
            <w:r w:rsidR="005E2BE9">
              <w:rPr>
                <w:b w:val="0"/>
                <w:webHidden/>
              </w:rPr>
              <w:t>26</w:t>
            </w:r>
            <w:r w:rsidR="00C97F2B" w:rsidRPr="00C97F2B">
              <w:rPr>
                <w:b w:val="0"/>
                <w:webHidden/>
              </w:rPr>
              <w:fldChar w:fldCharType="end"/>
            </w:r>
          </w:hyperlink>
        </w:p>
        <w:p w:rsidR="00C97F2B" w:rsidRPr="00C97F2B" w:rsidRDefault="00FA6328" w:rsidP="00C97F2B">
          <w:pPr>
            <w:pStyle w:val="Sumrio2"/>
            <w:jc w:val="both"/>
            <w:rPr>
              <w:rFonts w:eastAsiaTheme="minorEastAsia"/>
              <w:lang w:eastAsia="pt-BR"/>
            </w:rPr>
          </w:pPr>
          <w:hyperlink w:anchor="_Toc496749604" w:history="1">
            <w:r w:rsidR="00C97F2B" w:rsidRPr="00C97F2B">
              <w:rPr>
                <w:rStyle w:val="Hyperlink"/>
                <w:u w:val="none"/>
              </w:rPr>
              <w:t>3.2.1 Independência funcional na MPS</w:t>
            </w:r>
            <w:r w:rsidR="00C97F2B" w:rsidRPr="00C97F2B">
              <w:rPr>
                <w:webHidden/>
              </w:rPr>
              <w:tab/>
            </w:r>
            <w:r w:rsidR="00C97F2B" w:rsidRPr="00C97F2B">
              <w:rPr>
                <w:webHidden/>
              </w:rPr>
              <w:fldChar w:fldCharType="begin"/>
            </w:r>
            <w:r w:rsidR="00C97F2B" w:rsidRPr="00C97F2B">
              <w:rPr>
                <w:webHidden/>
              </w:rPr>
              <w:instrText xml:space="preserve"> PAGEREF _Toc496749604 \h </w:instrText>
            </w:r>
            <w:r w:rsidR="00C97F2B" w:rsidRPr="00C97F2B">
              <w:rPr>
                <w:webHidden/>
              </w:rPr>
            </w:r>
            <w:r w:rsidR="00C97F2B" w:rsidRPr="00C97F2B">
              <w:rPr>
                <w:webHidden/>
              </w:rPr>
              <w:fldChar w:fldCharType="separate"/>
            </w:r>
            <w:r w:rsidR="005E2BE9">
              <w:rPr>
                <w:webHidden/>
              </w:rPr>
              <w:t>26</w:t>
            </w:r>
            <w:r w:rsidR="00C97F2B" w:rsidRPr="00C97F2B">
              <w:rPr>
                <w:webHidden/>
              </w:rPr>
              <w:fldChar w:fldCharType="end"/>
            </w:r>
          </w:hyperlink>
        </w:p>
        <w:p w:rsidR="00C97F2B" w:rsidRPr="00C97F2B" w:rsidRDefault="00FA6328" w:rsidP="00C97F2B">
          <w:pPr>
            <w:pStyle w:val="Sumrio1"/>
            <w:jc w:val="both"/>
            <w:rPr>
              <w:rFonts w:eastAsiaTheme="minorEastAsia"/>
              <w:b w:val="0"/>
              <w:lang w:eastAsia="pt-BR"/>
            </w:rPr>
          </w:pPr>
          <w:hyperlink w:anchor="_Toc496749605" w:history="1">
            <w:r w:rsidR="00C97F2B" w:rsidRPr="00C97F2B">
              <w:rPr>
                <w:rStyle w:val="Hyperlink"/>
                <w:u w:val="none"/>
              </w:rPr>
              <w:t xml:space="preserve">3.3 </w:t>
            </w:r>
            <w:r w:rsidR="00C97F2B">
              <w:rPr>
                <w:rStyle w:val="Hyperlink"/>
                <w:u w:val="none"/>
              </w:rPr>
              <w:t xml:space="preserve">   </w:t>
            </w:r>
            <w:r w:rsidR="00C97F2B" w:rsidRPr="00C97F2B">
              <w:rPr>
                <w:rStyle w:val="Hyperlink"/>
                <w:u w:val="none"/>
              </w:rPr>
              <w:t>Qualidade de vida relacionada à saúde</w:t>
            </w:r>
            <w:r w:rsidR="00C97F2B" w:rsidRPr="00C97F2B">
              <w:rPr>
                <w:b w:val="0"/>
                <w:webHidden/>
              </w:rPr>
              <w:tab/>
            </w:r>
            <w:r w:rsidR="00C97F2B" w:rsidRPr="00C97F2B">
              <w:rPr>
                <w:b w:val="0"/>
                <w:webHidden/>
              </w:rPr>
              <w:fldChar w:fldCharType="begin"/>
            </w:r>
            <w:r w:rsidR="00C97F2B" w:rsidRPr="00C97F2B">
              <w:rPr>
                <w:b w:val="0"/>
                <w:webHidden/>
              </w:rPr>
              <w:instrText xml:space="preserve"> PAGEREF _Toc496749605 \h </w:instrText>
            </w:r>
            <w:r w:rsidR="00C97F2B" w:rsidRPr="00C97F2B">
              <w:rPr>
                <w:b w:val="0"/>
                <w:webHidden/>
              </w:rPr>
            </w:r>
            <w:r w:rsidR="00C97F2B" w:rsidRPr="00C97F2B">
              <w:rPr>
                <w:b w:val="0"/>
                <w:webHidden/>
              </w:rPr>
              <w:fldChar w:fldCharType="separate"/>
            </w:r>
            <w:r w:rsidR="005E2BE9">
              <w:rPr>
                <w:b w:val="0"/>
                <w:webHidden/>
              </w:rPr>
              <w:t>34</w:t>
            </w:r>
            <w:r w:rsidR="00C97F2B" w:rsidRPr="00C97F2B">
              <w:rPr>
                <w:b w:val="0"/>
                <w:webHidden/>
              </w:rPr>
              <w:fldChar w:fldCharType="end"/>
            </w:r>
          </w:hyperlink>
        </w:p>
        <w:p w:rsidR="00C97F2B" w:rsidRPr="00C97F2B" w:rsidRDefault="00FA6328" w:rsidP="00C97F2B">
          <w:pPr>
            <w:pStyle w:val="Sumrio2"/>
            <w:jc w:val="both"/>
            <w:rPr>
              <w:rFonts w:eastAsiaTheme="minorEastAsia"/>
              <w:lang w:eastAsia="pt-BR"/>
            </w:rPr>
          </w:pPr>
          <w:hyperlink w:anchor="_Toc496749606" w:history="1">
            <w:r w:rsidR="00C97F2B" w:rsidRPr="00C97F2B">
              <w:rPr>
                <w:rStyle w:val="Hyperlink"/>
                <w:u w:val="none"/>
              </w:rPr>
              <w:t>3.3.1 Qualidade de vida relacionada à saúde na MPS</w:t>
            </w:r>
            <w:r w:rsidR="00C97F2B" w:rsidRPr="00C97F2B">
              <w:rPr>
                <w:webHidden/>
              </w:rPr>
              <w:tab/>
            </w:r>
            <w:r w:rsidR="00C97F2B" w:rsidRPr="00C97F2B">
              <w:rPr>
                <w:webHidden/>
              </w:rPr>
              <w:fldChar w:fldCharType="begin"/>
            </w:r>
            <w:r w:rsidR="00C97F2B" w:rsidRPr="00C97F2B">
              <w:rPr>
                <w:webHidden/>
              </w:rPr>
              <w:instrText xml:space="preserve"> PAGEREF _Toc496749606 \h </w:instrText>
            </w:r>
            <w:r w:rsidR="00C97F2B" w:rsidRPr="00C97F2B">
              <w:rPr>
                <w:webHidden/>
              </w:rPr>
            </w:r>
            <w:r w:rsidR="00C97F2B" w:rsidRPr="00C97F2B">
              <w:rPr>
                <w:webHidden/>
              </w:rPr>
              <w:fldChar w:fldCharType="separate"/>
            </w:r>
            <w:r w:rsidR="005E2BE9">
              <w:rPr>
                <w:webHidden/>
              </w:rPr>
              <w:t>37</w:t>
            </w:r>
            <w:r w:rsidR="00C97F2B" w:rsidRPr="00C97F2B">
              <w:rPr>
                <w:webHidden/>
              </w:rPr>
              <w:fldChar w:fldCharType="end"/>
            </w:r>
          </w:hyperlink>
        </w:p>
        <w:p w:rsidR="00C97F2B" w:rsidRPr="00C97F2B" w:rsidRDefault="00FA6328" w:rsidP="00C97F2B">
          <w:pPr>
            <w:pStyle w:val="Sumrio1"/>
            <w:jc w:val="both"/>
            <w:rPr>
              <w:rFonts w:eastAsiaTheme="minorEastAsia"/>
              <w:b w:val="0"/>
              <w:lang w:eastAsia="pt-BR"/>
            </w:rPr>
          </w:pPr>
          <w:hyperlink w:anchor="_Toc496749607" w:history="1">
            <w:r w:rsidR="00C97F2B" w:rsidRPr="00C97F2B">
              <w:rPr>
                <w:rStyle w:val="Hyperlink"/>
                <w:u w:val="none"/>
              </w:rPr>
              <w:t xml:space="preserve">4 </w:t>
            </w:r>
            <w:r w:rsidR="00C97F2B">
              <w:rPr>
                <w:rStyle w:val="Hyperlink"/>
                <w:u w:val="none"/>
              </w:rPr>
              <w:t xml:space="preserve">      </w:t>
            </w:r>
            <w:r w:rsidR="00C97F2B" w:rsidRPr="00C97F2B">
              <w:rPr>
                <w:rStyle w:val="Hyperlink"/>
                <w:u w:val="none"/>
              </w:rPr>
              <w:t>CASUÍSTICA E MÉTODOS</w:t>
            </w:r>
            <w:r w:rsidR="00C97F2B" w:rsidRPr="00C97F2B">
              <w:rPr>
                <w:b w:val="0"/>
                <w:webHidden/>
              </w:rPr>
              <w:tab/>
            </w:r>
            <w:r w:rsidR="00C97F2B" w:rsidRPr="00C97F2B">
              <w:rPr>
                <w:b w:val="0"/>
                <w:webHidden/>
              </w:rPr>
              <w:fldChar w:fldCharType="begin"/>
            </w:r>
            <w:r w:rsidR="00C97F2B" w:rsidRPr="00C97F2B">
              <w:rPr>
                <w:b w:val="0"/>
                <w:webHidden/>
              </w:rPr>
              <w:instrText xml:space="preserve"> PAGEREF _Toc496749607 \h </w:instrText>
            </w:r>
            <w:r w:rsidR="00C97F2B" w:rsidRPr="00C97F2B">
              <w:rPr>
                <w:b w:val="0"/>
                <w:webHidden/>
              </w:rPr>
            </w:r>
            <w:r w:rsidR="00C97F2B" w:rsidRPr="00C97F2B">
              <w:rPr>
                <w:b w:val="0"/>
                <w:webHidden/>
              </w:rPr>
              <w:fldChar w:fldCharType="separate"/>
            </w:r>
            <w:r w:rsidR="005E2BE9">
              <w:rPr>
                <w:b w:val="0"/>
                <w:webHidden/>
              </w:rPr>
              <w:t>40</w:t>
            </w:r>
            <w:r w:rsidR="00C97F2B" w:rsidRPr="00C97F2B">
              <w:rPr>
                <w:b w:val="0"/>
                <w:webHidden/>
              </w:rPr>
              <w:fldChar w:fldCharType="end"/>
            </w:r>
          </w:hyperlink>
        </w:p>
        <w:p w:rsidR="00C97F2B" w:rsidRPr="00C97F2B" w:rsidRDefault="00FA6328" w:rsidP="00C97F2B">
          <w:pPr>
            <w:pStyle w:val="Sumrio1"/>
            <w:jc w:val="both"/>
            <w:rPr>
              <w:rFonts w:eastAsiaTheme="minorEastAsia"/>
              <w:b w:val="0"/>
              <w:lang w:eastAsia="pt-BR"/>
            </w:rPr>
          </w:pPr>
          <w:hyperlink w:anchor="_Toc496749608" w:history="1">
            <w:r w:rsidR="00C97F2B" w:rsidRPr="00C97F2B">
              <w:rPr>
                <w:rStyle w:val="Hyperlink"/>
                <w:u w:val="none"/>
              </w:rPr>
              <w:t xml:space="preserve">4.1 </w:t>
            </w:r>
            <w:r w:rsidR="00C97F2B">
              <w:rPr>
                <w:rStyle w:val="Hyperlink"/>
                <w:u w:val="none"/>
              </w:rPr>
              <w:t xml:space="preserve">   </w:t>
            </w:r>
            <w:r w:rsidR="00C97F2B" w:rsidRPr="00C97F2B">
              <w:rPr>
                <w:rStyle w:val="Hyperlink"/>
                <w:u w:val="none"/>
              </w:rPr>
              <w:t>Delineamento do estudo</w:t>
            </w:r>
            <w:r w:rsidR="00C97F2B" w:rsidRPr="00C97F2B">
              <w:rPr>
                <w:b w:val="0"/>
                <w:webHidden/>
              </w:rPr>
              <w:tab/>
            </w:r>
            <w:r w:rsidR="00C97F2B" w:rsidRPr="00C97F2B">
              <w:rPr>
                <w:b w:val="0"/>
                <w:webHidden/>
              </w:rPr>
              <w:fldChar w:fldCharType="begin"/>
            </w:r>
            <w:r w:rsidR="00C97F2B" w:rsidRPr="00C97F2B">
              <w:rPr>
                <w:b w:val="0"/>
                <w:webHidden/>
              </w:rPr>
              <w:instrText xml:space="preserve"> PAGEREF _Toc496749608 \h </w:instrText>
            </w:r>
            <w:r w:rsidR="00C97F2B" w:rsidRPr="00C97F2B">
              <w:rPr>
                <w:b w:val="0"/>
                <w:webHidden/>
              </w:rPr>
            </w:r>
            <w:r w:rsidR="00C97F2B" w:rsidRPr="00C97F2B">
              <w:rPr>
                <w:b w:val="0"/>
                <w:webHidden/>
              </w:rPr>
              <w:fldChar w:fldCharType="separate"/>
            </w:r>
            <w:r w:rsidR="005E2BE9">
              <w:rPr>
                <w:b w:val="0"/>
                <w:webHidden/>
              </w:rPr>
              <w:t>40</w:t>
            </w:r>
            <w:r w:rsidR="00C97F2B" w:rsidRPr="00C97F2B">
              <w:rPr>
                <w:b w:val="0"/>
                <w:webHidden/>
              </w:rPr>
              <w:fldChar w:fldCharType="end"/>
            </w:r>
          </w:hyperlink>
        </w:p>
        <w:p w:rsidR="00C97F2B" w:rsidRPr="00C97F2B" w:rsidRDefault="00FA6328" w:rsidP="00C97F2B">
          <w:pPr>
            <w:pStyle w:val="Sumrio1"/>
            <w:jc w:val="both"/>
            <w:rPr>
              <w:rFonts w:eastAsiaTheme="minorEastAsia"/>
              <w:b w:val="0"/>
              <w:lang w:eastAsia="pt-BR"/>
            </w:rPr>
          </w:pPr>
          <w:hyperlink w:anchor="_Toc496749609" w:history="1">
            <w:r w:rsidR="00C97F2B" w:rsidRPr="00C97F2B">
              <w:rPr>
                <w:rStyle w:val="Hyperlink"/>
                <w:u w:val="none"/>
              </w:rPr>
              <w:t xml:space="preserve">4.2 </w:t>
            </w:r>
            <w:r w:rsidR="00C97F2B">
              <w:rPr>
                <w:rStyle w:val="Hyperlink"/>
                <w:u w:val="none"/>
              </w:rPr>
              <w:t xml:space="preserve">   </w:t>
            </w:r>
            <w:r w:rsidR="00C97F2B" w:rsidRPr="00C97F2B">
              <w:rPr>
                <w:rStyle w:val="Hyperlink"/>
                <w:u w:val="none"/>
              </w:rPr>
              <w:t>Local e período de coleta</w:t>
            </w:r>
            <w:r w:rsidR="00C97F2B" w:rsidRPr="00C97F2B">
              <w:rPr>
                <w:b w:val="0"/>
                <w:webHidden/>
              </w:rPr>
              <w:tab/>
            </w:r>
            <w:r w:rsidR="00C97F2B" w:rsidRPr="00C97F2B">
              <w:rPr>
                <w:b w:val="0"/>
                <w:webHidden/>
              </w:rPr>
              <w:fldChar w:fldCharType="begin"/>
            </w:r>
            <w:r w:rsidR="00C97F2B" w:rsidRPr="00C97F2B">
              <w:rPr>
                <w:b w:val="0"/>
                <w:webHidden/>
              </w:rPr>
              <w:instrText xml:space="preserve"> PAGEREF _Toc496749609 \h </w:instrText>
            </w:r>
            <w:r w:rsidR="00C97F2B" w:rsidRPr="00C97F2B">
              <w:rPr>
                <w:b w:val="0"/>
                <w:webHidden/>
              </w:rPr>
            </w:r>
            <w:r w:rsidR="00C97F2B" w:rsidRPr="00C97F2B">
              <w:rPr>
                <w:b w:val="0"/>
                <w:webHidden/>
              </w:rPr>
              <w:fldChar w:fldCharType="separate"/>
            </w:r>
            <w:r w:rsidR="005E2BE9">
              <w:rPr>
                <w:b w:val="0"/>
                <w:webHidden/>
              </w:rPr>
              <w:t>40</w:t>
            </w:r>
            <w:r w:rsidR="00C97F2B" w:rsidRPr="00C97F2B">
              <w:rPr>
                <w:b w:val="0"/>
                <w:webHidden/>
              </w:rPr>
              <w:fldChar w:fldCharType="end"/>
            </w:r>
          </w:hyperlink>
        </w:p>
        <w:p w:rsidR="00C97F2B" w:rsidRPr="00C97F2B" w:rsidRDefault="00FA6328" w:rsidP="00C97F2B">
          <w:pPr>
            <w:pStyle w:val="Sumrio1"/>
            <w:jc w:val="both"/>
            <w:rPr>
              <w:rFonts w:eastAsiaTheme="minorEastAsia"/>
              <w:b w:val="0"/>
              <w:lang w:eastAsia="pt-BR"/>
            </w:rPr>
          </w:pPr>
          <w:hyperlink w:anchor="_Toc496749610" w:history="1">
            <w:r w:rsidR="00C97F2B" w:rsidRPr="00C97F2B">
              <w:rPr>
                <w:rStyle w:val="Hyperlink"/>
                <w:u w:val="none"/>
              </w:rPr>
              <w:t xml:space="preserve">4.3 </w:t>
            </w:r>
            <w:r w:rsidR="00C97F2B">
              <w:rPr>
                <w:rStyle w:val="Hyperlink"/>
                <w:u w:val="none"/>
              </w:rPr>
              <w:t xml:space="preserve">   </w:t>
            </w:r>
            <w:r w:rsidR="00C97F2B" w:rsidRPr="00C97F2B">
              <w:rPr>
                <w:rStyle w:val="Hyperlink"/>
                <w:u w:val="none"/>
              </w:rPr>
              <w:t>População de estudo, critérios de inclusão e exclusão</w:t>
            </w:r>
            <w:r w:rsidR="00C97F2B" w:rsidRPr="00C97F2B">
              <w:rPr>
                <w:b w:val="0"/>
                <w:webHidden/>
              </w:rPr>
              <w:tab/>
            </w:r>
            <w:r w:rsidR="00C97F2B" w:rsidRPr="00C97F2B">
              <w:rPr>
                <w:b w:val="0"/>
                <w:webHidden/>
              </w:rPr>
              <w:fldChar w:fldCharType="begin"/>
            </w:r>
            <w:r w:rsidR="00C97F2B" w:rsidRPr="00C97F2B">
              <w:rPr>
                <w:b w:val="0"/>
                <w:webHidden/>
              </w:rPr>
              <w:instrText xml:space="preserve"> PAGEREF _Toc496749610 \h </w:instrText>
            </w:r>
            <w:r w:rsidR="00C97F2B" w:rsidRPr="00C97F2B">
              <w:rPr>
                <w:b w:val="0"/>
                <w:webHidden/>
              </w:rPr>
            </w:r>
            <w:r w:rsidR="00C97F2B" w:rsidRPr="00C97F2B">
              <w:rPr>
                <w:b w:val="0"/>
                <w:webHidden/>
              </w:rPr>
              <w:fldChar w:fldCharType="separate"/>
            </w:r>
            <w:r w:rsidR="005E2BE9">
              <w:rPr>
                <w:b w:val="0"/>
                <w:webHidden/>
              </w:rPr>
              <w:t>40</w:t>
            </w:r>
            <w:r w:rsidR="00C97F2B" w:rsidRPr="00C97F2B">
              <w:rPr>
                <w:b w:val="0"/>
                <w:webHidden/>
              </w:rPr>
              <w:fldChar w:fldCharType="end"/>
            </w:r>
          </w:hyperlink>
        </w:p>
        <w:p w:rsidR="00C97F2B" w:rsidRPr="00C97F2B" w:rsidRDefault="00FA6328" w:rsidP="00C97F2B">
          <w:pPr>
            <w:pStyle w:val="Sumrio1"/>
            <w:jc w:val="both"/>
            <w:rPr>
              <w:rFonts w:eastAsiaTheme="minorEastAsia"/>
              <w:b w:val="0"/>
              <w:lang w:eastAsia="pt-BR"/>
            </w:rPr>
          </w:pPr>
          <w:hyperlink w:anchor="_Toc496749611" w:history="1">
            <w:r w:rsidR="00C97F2B" w:rsidRPr="00C97F2B">
              <w:rPr>
                <w:rStyle w:val="Hyperlink"/>
                <w:u w:val="none"/>
              </w:rPr>
              <w:t xml:space="preserve">4.4 </w:t>
            </w:r>
            <w:r w:rsidR="00C97F2B">
              <w:rPr>
                <w:rStyle w:val="Hyperlink"/>
                <w:u w:val="none"/>
              </w:rPr>
              <w:t xml:space="preserve">   </w:t>
            </w:r>
            <w:r w:rsidR="00C97F2B" w:rsidRPr="00C97F2B">
              <w:rPr>
                <w:rStyle w:val="Hyperlink"/>
                <w:u w:val="none"/>
              </w:rPr>
              <w:t>Variáveis de estudo e instrumentos de coleta</w:t>
            </w:r>
            <w:r w:rsidR="00C97F2B" w:rsidRPr="00C97F2B">
              <w:rPr>
                <w:b w:val="0"/>
                <w:webHidden/>
              </w:rPr>
              <w:tab/>
            </w:r>
            <w:r w:rsidR="00C97F2B" w:rsidRPr="00C97F2B">
              <w:rPr>
                <w:b w:val="0"/>
                <w:webHidden/>
              </w:rPr>
              <w:fldChar w:fldCharType="begin"/>
            </w:r>
            <w:r w:rsidR="00C97F2B" w:rsidRPr="00C97F2B">
              <w:rPr>
                <w:b w:val="0"/>
                <w:webHidden/>
              </w:rPr>
              <w:instrText xml:space="preserve"> PAGEREF _Toc496749611 \h </w:instrText>
            </w:r>
            <w:r w:rsidR="00C97F2B" w:rsidRPr="00C97F2B">
              <w:rPr>
                <w:b w:val="0"/>
                <w:webHidden/>
              </w:rPr>
            </w:r>
            <w:r w:rsidR="00C97F2B" w:rsidRPr="00C97F2B">
              <w:rPr>
                <w:b w:val="0"/>
                <w:webHidden/>
              </w:rPr>
              <w:fldChar w:fldCharType="separate"/>
            </w:r>
            <w:r w:rsidR="005E2BE9">
              <w:rPr>
                <w:b w:val="0"/>
                <w:webHidden/>
              </w:rPr>
              <w:t>40</w:t>
            </w:r>
            <w:r w:rsidR="00C97F2B" w:rsidRPr="00C97F2B">
              <w:rPr>
                <w:b w:val="0"/>
                <w:webHidden/>
              </w:rPr>
              <w:fldChar w:fldCharType="end"/>
            </w:r>
          </w:hyperlink>
        </w:p>
        <w:p w:rsidR="00C97F2B" w:rsidRPr="00C97F2B" w:rsidRDefault="00FA6328" w:rsidP="00C97F2B">
          <w:pPr>
            <w:pStyle w:val="Sumrio2"/>
            <w:jc w:val="both"/>
            <w:rPr>
              <w:rFonts w:eastAsiaTheme="minorEastAsia"/>
              <w:lang w:eastAsia="pt-BR"/>
            </w:rPr>
          </w:pPr>
          <w:hyperlink w:anchor="_Toc496749612" w:history="1">
            <w:r w:rsidR="00C97F2B" w:rsidRPr="00C97F2B">
              <w:rPr>
                <w:rStyle w:val="Hyperlink"/>
                <w:u w:val="none"/>
              </w:rPr>
              <w:t>4.4.1 Instrumento de medida de independência funcional</w:t>
            </w:r>
            <w:r w:rsidR="00C97F2B" w:rsidRPr="00C97F2B">
              <w:rPr>
                <w:webHidden/>
              </w:rPr>
              <w:tab/>
            </w:r>
            <w:r w:rsidR="00C97F2B" w:rsidRPr="00C97F2B">
              <w:rPr>
                <w:webHidden/>
              </w:rPr>
              <w:fldChar w:fldCharType="begin"/>
            </w:r>
            <w:r w:rsidR="00C97F2B" w:rsidRPr="00C97F2B">
              <w:rPr>
                <w:webHidden/>
              </w:rPr>
              <w:instrText xml:space="preserve"> PAGEREF _Toc496749612 \h </w:instrText>
            </w:r>
            <w:r w:rsidR="00C97F2B" w:rsidRPr="00C97F2B">
              <w:rPr>
                <w:webHidden/>
              </w:rPr>
            </w:r>
            <w:r w:rsidR="00C97F2B" w:rsidRPr="00C97F2B">
              <w:rPr>
                <w:webHidden/>
              </w:rPr>
              <w:fldChar w:fldCharType="separate"/>
            </w:r>
            <w:r w:rsidR="005E2BE9">
              <w:rPr>
                <w:webHidden/>
              </w:rPr>
              <w:t>41</w:t>
            </w:r>
            <w:r w:rsidR="00C97F2B" w:rsidRPr="00C97F2B">
              <w:rPr>
                <w:webHidden/>
              </w:rPr>
              <w:fldChar w:fldCharType="end"/>
            </w:r>
          </w:hyperlink>
        </w:p>
        <w:p w:rsidR="00C97F2B" w:rsidRPr="00C97F2B" w:rsidRDefault="00FA6328" w:rsidP="00C97F2B">
          <w:pPr>
            <w:pStyle w:val="Sumrio2"/>
            <w:jc w:val="both"/>
            <w:rPr>
              <w:rFonts w:eastAsiaTheme="minorEastAsia"/>
              <w:lang w:eastAsia="pt-BR"/>
            </w:rPr>
          </w:pPr>
          <w:hyperlink w:anchor="_Toc496749613" w:history="1">
            <w:r w:rsidR="00C97F2B" w:rsidRPr="00C97F2B">
              <w:rPr>
                <w:rStyle w:val="Hyperlink"/>
                <w:u w:val="none"/>
              </w:rPr>
              <w:t>4.4.2 Instrumento de avaliação da qualidade de vida relacionada à saúde</w:t>
            </w:r>
            <w:r w:rsidR="00C97F2B" w:rsidRPr="00C97F2B">
              <w:rPr>
                <w:webHidden/>
              </w:rPr>
              <w:tab/>
            </w:r>
            <w:r w:rsidR="00C97F2B" w:rsidRPr="00C97F2B">
              <w:rPr>
                <w:webHidden/>
              </w:rPr>
              <w:fldChar w:fldCharType="begin"/>
            </w:r>
            <w:r w:rsidR="00C97F2B" w:rsidRPr="00C97F2B">
              <w:rPr>
                <w:webHidden/>
              </w:rPr>
              <w:instrText xml:space="preserve"> PAGEREF _Toc496749613 \h </w:instrText>
            </w:r>
            <w:r w:rsidR="00C97F2B" w:rsidRPr="00C97F2B">
              <w:rPr>
                <w:webHidden/>
              </w:rPr>
            </w:r>
            <w:r w:rsidR="00C97F2B" w:rsidRPr="00C97F2B">
              <w:rPr>
                <w:webHidden/>
              </w:rPr>
              <w:fldChar w:fldCharType="separate"/>
            </w:r>
            <w:r w:rsidR="005E2BE9">
              <w:rPr>
                <w:webHidden/>
              </w:rPr>
              <w:t>42</w:t>
            </w:r>
            <w:r w:rsidR="00C97F2B" w:rsidRPr="00C97F2B">
              <w:rPr>
                <w:webHidden/>
              </w:rPr>
              <w:fldChar w:fldCharType="end"/>
            </w:r>
          </w:hyperlink>
        </w:p>
        <w:p w:rsidR="00C97F2B" w:rsidRPr="00C97F2B" w:rsidRDefault="00FA6328" w:rsidP="00C97F2B">
          <w:pPr>
            <w:pStyle w:val="Sumrio1"/>
            <w:jc w:val="both"/>
            <w:rPr>
              <w:rFonts w:eastAsiaTheme="minorEastAsia"/>
              <w:b w:val="0"/>
              <w:lang w:eastAsia="pt-BR"/>
            </w:rPr>
          </w:pPr>
          <w:hyperlink w:anchor="_Toc496749614" w:history="1">
            <w:r w:rsidR="00C97F2B" w:rsidRPr="00C97F2B">
              <w:rPr>
                <w:rStyle w:val="Hyperlink"/>
                <w:u w:val="none"/>
              </w:rPr>
              <w:t xml:space="preserve">4.5 </w:t>
            </w:r>
            <w:r w:rsidR="00C97F2B">
              <w:rPr>
                <w:rStyle w:val="Hyperlink"/>
                <w:u w:val="none"/>
              </w:rPr>
              <w:t xml:space="preserve">   </w:t>
            </w:r>
            <w:r w:rsidR="00C97F2B" w:rsidRPr="00C97F2B">
              <w:rPr>
                <w:rStyle w:val="Hyperlink"/>
                <w:u w:val="none"/>
              </w:rPr>
              <w:t>Procedimentos do estudo</w:t>
            </w:r>
            <w:r w:rsidR="00C97F2B" w:rsidRPr="00C97F2B">
              <w:rPr>
                <w:b w:val="0"/>
                <w:webHidden/>
              </w:rPr>
              <w:tab/>
            </w:r>
            <w:r w:rsidR="00C97F2B" w:rsidRPr="00C97F2B">
              <w:rPr>
                <w:b w:val="0"/>
                <w:webHidden/>
              </w:rPr>
              <w:fldChar w:fldCharType="begin"/>
            </w:r>
            <w:r w:rsidR="00C97F2B" w:rsidRPr="00C97F2B">
              <w:rPr>
                <w:b w:val="0"/>
                <w:webHidden/>
              </w:rPr>
              <w:instrText xml:space="preserve"> PAGEREF _Toc496749614 \h </w:instrText>
            </w:r>
            <w:r w:rsidR="00C97F2B" w:rsidRPr="00C97F2B">
              <w:rPr>
                <w:b w:val="0"/>
                <w:webHidden/>
              </w:rPr>
            </w:r>
            <w:r w:rsidR="00C97F2B" w:rsidRPr="00C97F2B">
              <w:rPr>
                <w:b w:val="0"/>
                <w:webHidden/>
              </w:rPr>
              <w:fldChar w:fldCharType="separate"/>
            </w:r>
            <w:r w:rsidR="005E2BE9">
              <w:rPr>
                <w:b w:val="0"/>
                <w:webHidden/>
              </w:rPr>
              <w:t>43</w:t>
            </w:r>
            <w:r w:rsidR="00C97F2B" w:rsidRPr="00C97F2B">
              <w:rPr>
                <w:b w:val="0"/>
                <w:webHidden/>
              </w:rPr>
              <w:fldChar w:fldCharType="end"/>
            </w:r>
          </w:hyperlink>
        </w:p>
        <w:p w:rsidR="00C97F2B" w:rsidRPr="00C97F2B" w:rsidRDefault="00FA6328" w:rsidP="00C97F2B">
          <w:pPr>
            <w:pStyle w:val="Sumrio1"/>
            <w:jc w:val="both"/>
            <w:rPr>
              <w:rFonts w:eastAsiaTheme="minorEastAsia"/>
              <w:b w:val="0"/>
              <w:lang w:eastAsia="pt-BR"/>
            </w:rPr>
          </w:pPr>
          <w:hyperlink w:anchor="_Toc496749615" w:history="1">
            <w:r w:rsidR="00C97F2B" w:rsidRPr="00C97F2B">
              <w:rPr>
                <w:rStyle w:val="Hyperlink"/>
                <w:u w:val="none"/>
              </w:rPr>
              <w:t xml:space="preserve">4.6 </w:t>
            </w:r>
            <w:r w:rsidR="00C97F2B">
              <w:rPr>
                <w:rStyle w:val="Hyperlink"/>
                <w:u w:val="none"/>
              </w:rPr>
              <w:t xml:space="preserve">   </w:t>
            </w:r>
            <w:r w:rsidR="00C97F2B" w:rsidRPr="00C97F2B">
              <w:rPr>
                <w:rStyle w:val="Hyperlink"/>
                <w:u w:val="none"/>
              </w:rPr>
              <w:t>Aspectos éticos do estudo</w:t>
            </w:r>
            <w:r w:rsidR="00C97F2B" w:rsidRPr="00C97F2B">
              <w:rPr>
                <w:b w:val="0"/>
                <w:webHidden/>
              </w:rPr>
              <w:tab/>
            </w:r>
            <w:r w:rsidR="00C97F2B" w:rsidRPr="00C97F2B">
              <w:rPr>
                <w:b w:val="0"/>
                <w:webHidden/>
              </w:rPr>
              <w:fldChar w:fldCharType="begin"/>
            </w:r>
            <w:r w:rsidR="00C97F2B" w:rsidRPr="00C97F2B">
              <w:rPr>
                <w:b w:val="0"/>
                <w:webHidden/>
              </w:rPr>
              <w:instrText xml:space="preserve"> PAGEREF _Toc496749615 \h </w:instrText>
            </w:r>
            <w:r w:rsidR="00C97F2B" w:rsidRPr="00C97F2B">
              <w:rPr>
                <w:b w:val="0"/>
                <w:webHidden/>
              </w:rPr>
            </w:r>
            <w:r w:rsidR="00C97F2B" w:rsidRPr="00C97F2B">
              <w:rPr>
                <w:b w:val="0"/>
                <w:webHidden/>
              </w:rPr>
              <w:fldChar w:fldCharType="separate"/>
            </w:r>
            <w:r w:rsidR="005E2BE9">
              <w:rPr>
                <w:b w:val="0"/>
                <w:webHidden/>
              </w:rPr>
              <w:t>44</w:t>
            </w:r>
            <w:r w:rsidR="00C97F2B" w:rsidRPr="00C97F2B">
              <w:rPr>
                <w:b w:val="0"/>
                <w:webHidden/>
              </w:rPr>
              <w:fldChar w:fldCharType="end"/>
            </w:r>
          </w:hyperlink>
        </w:p>
        <w:p w:rsidR="00C97F2B" w:rsidRPr="00C97F2B" w:rsidRDefault="00FA6328" w:rsidP="00C97F2B">
          <w:pPr>
            <w:pStyle w:val="Sumrio1"/>
            <w:jc w:val="both"/>
            <w:rPr>
              <w:rFonts w:eastAsiaTheme="minorEastAsia"/>
              <w:b w:val="0"/>
              <w:lang w:eastAsia="pt-BR"/>
            </w:rPr>
          </w:pPr>
          <w:hyperlink w:anchor="_Toc496749616" w:history="1">
            <w:r w:rsidR="00C97F2B" w:rsidRPr="00C97F2B">
              <w:rPr>
                <w:rStyle w:val="Hyperlink"/>
                <w:u w:val="none"/>
              </w:rPr>
              <w:t xml:space="preserve">4.7 </w:t>
            </w:r>
            <w:r w:rsidR="00C97F2B">
              <w:rPr>
                <w:rStyle w:val="Hyperlink"/>
                <w:u w:val="none"/>
              </w:rPr>
              <w:t xml:space="preserve">   </w:t>
            </w:r>
            <w:r w:rsidR="00C97F2B" w:rsidRPr="00C97F2B">
              <w:rPr>
                <w:rStyle w:val="Hyperlink"/>
                <w:u w:val="none"/>
              </w:rPr>
              <w:t>Metodologia de análise dos dados</w:t>
            </w:r>
            <w:r w:rsidR="00C97F2B" w:rsidRPr="00C97F2B">
              <w:rPr>
                <w:b w:val="0"/>
                <w:webHidden/>
              </w:rPr>
              <w:tab/>
            </w:r>
            <w:r w:rsidR="00C97F2B" w:rsidRPr="00C97F2B">
              <w:rPr>
                <w:b w:val="0"/>
                <w:webHidden/>
              </w:rPr>
              <w:fldChar w:fldCharType="begin"/>
            </w:r>
            <w:r w:rsidR="00C97F2B" w:rsidRPr="00C97F2B">
              <w:rPr>
                <w:b w:val="0"/>
                <w:webHidden/>
              </w:rPr>
              <w:instrText xml:space="preserve"> PAGEREF _Toc496749616 \h </w:instrText>
            </w:r>
            <w:r w:rsidR="00C97F2B" w:rsidRPr="00C97F2B">
              <w:rPr>
                <w:b w:val="0"/>
                <w:webHidden/>
              </w:rPr>
            </w:r>
            <w:r w:rsidR="00C97F2B" w:rsidRPr="00C97F2B">
              <w:rPr>
                <w:b w:val="0"/>
                <w:webHidden/>
              </w:rPr>
              <w:fldChar w:fldCharType="separate"/>
            </w:r>
            <w:r w:rsidR="005E2BE9">
              <w:rPr>
                <w:b w:val="0"/>
                <w:webHidden/>
              </w:rPr>
              <w:t>44</w:t>
            </w:r>
            <w:r w:rsidR="00C97F2B" w:rsidRPr="00C97F2B">
              <w:rPr>
                <w:b w:val="0"/>
                <w:webHidden/>
              </w:rPr>
              <w:fldChar w:fldCharType="end"/>
            </w:r>
          </w:hyperlink>
        </w:p>
        <w:p w:rsidR="00C97F2B" w:rsidRPr="00C97F2B" w:rsidRDefault="00FA6328" w:rsidP="00C97F2B">
          <w:pPr>
            <w:pStyle w:val="Sumrio1"/>
            <w:jc w:val="both"/>
            <w:rPr>
              <w:rFonts w:eastAsiaTheme="minorEastAsia"/>
              <w:b w:val="0"/>
              <w:lang w:eastAsia="pt-BR"/>
            </w:rPr>
          </w:pPr>
          <w:hyperlink w:anchor="_Toc496749617" w:history="1">
            <w:r w:rsidR="00C97F2B" w:rsidRPr="00C97F2B">
              <w:rPr>
                <w:rStyle w:val="Hyperlink"/>
                <w:u w:val="none"/>
              </w:rPr>
              <w:t xml:space="preserve">5 </w:t>
            </w:r>
            <w:r w:rsidR="00C97F2B">
              <w:rPr>
                <w:rStyle w:val="Hyperlink"/>
                <w:u w:val="none"/>
              </w:rPr>
              <w:t xml:space="preserve">      </w:t>
            </w:r>
            <w:r w:rsidR="00C97F2B" w:rsidRPr="00C97F2B">
              <w:rPr>
                <w:rStyle w:val="Hyperlink"/>
                <w:u w:val="none"/>
              </w:rPr>
              <w:t>RESULTADOS</w:t>
            </w:r>
            <w:r w:rsidR="00C97F2B" w:rsidRPr="00C97F2B">
              <w:rPr>
                <w:b w:val="0"/>
                <w:webHidden/>
              </w:rPr>
              <w:tab/>
            </w:r>
            <w:r w:rsidR="00C97F2B" w:rsidRPr="00C97F2B">
              <w:rPr>
                <w:b w:val="0"/>
                <w:webHidden/>
              </w:rPr>
              <w:fldChar w:fldCharType="begin"/>
            </w:r>
            <w:r w:rsidR="00C97F2B" w:rsidRPr="00C97F2B">
              <w:rPr>
                <w:b w:val="0"/>
                <w:webHidden/>
              </w:rPr>
              <w:instrText xml:space="preserve"> PAGEREF _Toc496749617 \h </w:instrText>
            </w:r>
            <w:r w:rsidR="00C97F2B" w:rsidRPr="00C97F2B">
              <w:rPr>
                <w:b w:val="0"/>
                <w:webHidden/>
              </w:rPr>
            </w:r>
            <w:r w:rsidR="00C97F2B" w:rsidRPr="00C97F2B">
              <w:rPr>
                <w:b w:val="0"/>
                <w:webHidden/>
              </w:rPr>
              <w:fldChar w:fldCharType="separate"/>
            </w:r>
            <w:r w:rsidR="005E2BE9">
              <w:rPr>
                <w:b w:val="0"/>
                <w:webHidden/>
              </w:rPr>
              <w:t>46</w:t>
            </w:r>
            <w:r w:rsidR="00C97F2B" w:rsidRPr="00C97F2B">
              <w:rPr>
                <w:b w:val="0"/>
                <w:webHidden/>
              </w:rPr>
              <w:fldChar w:fldCharType="end"/>
            </w:r>
          </w:hyperlink>
        </w:p>
        <w:p w:rsidR="00C97F2B" w:rsidRPr="00C97F2B" w:rsidRDefault="00FA6328" w:rsidP="00C97F2B">
          <w:pPr>
            <w:pStyle w:val="Sumrio1"/>
            <w:jc w:val="both"/>
            <w:rPr>
              <w:rFonts w:eastAsiaTheme="minorEastAsia"/>
              <w:b w:val="0"/>
              <w:lang w:eastAsia="pt-BR"/>
            </w:rPr>
          </w:pPr>
          <w:hyperlink w:anchor="_Toc496749618" w:history="1">
            <w:r w:rsidR="00C97F2B" w:rsidRPr="00C97F2B">
              <w:rPr>
                <w:rStyle w:val="Hyperlink"/>
                <w:u w:val="none"/>
              </w:rPr>
              <w:t xml:space="preserve">6 </w:t>
            </w:r>
            <w:r w:rsidR="00C97F2B">
              <w:rPr>
                <w:rStyle w:val="Hyperlink"/>
                <w:u w:val="none"/>
              </w:rPr>
              <w:t xml:space="preserve">      </w:t>
            </w:r>
            <w:r w:rsidR="00C97F2B" w:rsidRPr="00C97F2B">
              <w:rPr>
                <w:rStyle w:val="Hyperlink"/>
                <w:u w:val="none"/>
              </w:rPr>
              <w:t>DISCUSSÃO</w:t>
            </w:r>
            <w:r w:rsidR="00C97F2B" w:rsidRPr="00C97F2B">
              <w:rPr>
                <w:b w:val="0"/>
                <w:webHidden/>
              </w:rPr>
              <w:tab/>
            </w:r>
            <w:r w:rsidR="00C97F2B" w:rsidRPr="00C97F2B">
              <w:rPr>
                <w:b w:val="0"/>
                <w:webHidden/>
              </w:rPr>
              <w:fldChar w:fldCharType="begin"/>
            </w:r>
            <w:r w:rsidR="00C97F2B" w:rsidRPr="00C97F2B">
              <w:rPr>
                <w:b w:val="0"/>
                <w:webHidden/>
              </w:rPr>
              <w:instrText xml:space="preserve"> PAGEREF _Toc496749618 \h </w:instrText>
            </w:r>
            <w:r w:rsidR="00C97F2B" w:rsidRPr="00C97F2B">
              <w:rPr>
                <w:b w:val="0"/>
                <w:webHidden/>
              </w:rPr>
            </w:r>
            <w:r w:rsidR="00C97F2B" w:rsidRPr="00C97F2B">
              <w:rPr>
                <w:b w:val="0"/>
                <w:webHidden/>
              </w:rPr>
              <w:fldChar w:fldCharType="separate"/>
            </w:r>
            <w:r w:rsidR="005E2BE9">
              <w:rPr>
                <w:b w:val="0"/>
                <w:webHidden/>
              </w:rPr>
              <w:t>5</w:t>
            </w:r>
            <w:r w:rsidR="00C97F2B" w:rsidRPr="00C97F2B">
              <w:rPr>
                <w:b w:val="0"/>
                <w:webHidden/>
              </w:rPr>
              <w:fldChar w:fldCharType="end"/>
            </w:r>
          </w:hyperlink>
          <w:bookmarkStart w:id="0" w:name="_GoBack"/>
          <w:bookmarkEnd w:id="0"/>
          <w:r w:rsidR="00533CEE">
            <w:rPr>
              <w:b w:val="0"/>
            </w:rPr>
            <w:t>5</w:t>
          </w:r>
        </w:p>
        <w:p w:rsidR="00C97F2B" w:rsidRPr="00C97F2B" w:rsidRDefault="00FA6328" w:rsidP="00C97F2B">
          <w:pPr>
            <w:pStyle w:val="Sumrio1"/>
            <w:jc w:val="both"/>
            <w:rPr>
              <w:rFonts w:eastAsiaTheme="minorEastAsia"/>
              <w:b w:val="0"/>
              <w:lang w:eastAsia="pt-BR"/>
            </w:rPr>
          </w:pPr>
          <w:hyperlink w:anchor="_Toc496749619" w:history="1">
            <w:r w:rsidR="00C97F2B" w:rsidRPr="00C97F2B">
              <w:rPr>
                <w:rStyle w:val="Hyperlink"/>
                <w:u w:val="none"/>
              </w:rPr>
              <w:t xml:space="preserve">6.1 </w:t>
            </w:r>
            <w:r w:rsidR="00C97F2B">
              <w:rPr>
                <w:rStyle w:val="Hyperlink"/>
                <w:u w:val="none"/>
              </w:rPr>
              <w:t xml:space="preserve">   </w:t>
            </w:r>
            <w:r w:rsidR="00C97F2B" w:rsidRPr="00C97F2B">
              <w:rPr>
                <w:rStyle w:val="Hyperlink"/>
                <w:u w:val="none"/>
              </w:rPr>
              <w:t>Discussão dos resultados</w:t>
            </w:r>
            <w:r w:rsidR="00C97F2B" w:rsidRPr="00C97F2B">
              <w:rPr>
                <w:b w:val="0"/>
                <w:webHidden/>
              </w:rPr>
              <w:tab/>
            </w:r>
            <w:r w:rsidR="00C97F2B" w:rsidRPr="00C97F2B">
              <w:rPr>
                <w:b w:val="0"/>
                <w:webHidden/>
              </w:rPr>
              <w:fldChar w:fldCharType="begin"/>
            </w:r>
            <w:r w:rsidR="00C97F2B" w:rsidRPr="00C97F2B">
              <w:rPr>
                <w:b w:val="0"/>
                <w:webHidden/>
              </w:rPr>
              <w:instrText xml:space="preserve"> PAGEREF _Toc496749619 \h </w:instrText>
            </w:r>
            <w:r w:rsidR="00C97F2B" w:rsidRPr="00C97F2B">
              <w:rPr>
                <w:b w:val="0"/>
                <w:webHidden/>
              </w:rPr>
            </w:r>
            <w:r w:rsidR="00C97F2B" w:rsidRPr="00C97F2B">
              <w:rPr>
                <w:b w:val="0"/>
                <w:webHidden/>
              </w:rPr>
              <w:fldChar w:fldCharType="separate"/>
            </w:r>
            <w:r w:rsidR="005E2BE9">
              <w:rPr>
                <w:b w:val="0"/>
                <w:webHidden/>
              </w:rPr>
              <w:t>55</w:t>
            </w:r>
            <w:r w:rsidR="00C97F2B" w:rsidRPr="00C97F2B">
              <w:rPr>
                <w:b w:val="0"/>
                <w:webHidden/>
              </w:rPr>
              <w:fldChar w:fldCharType="end"/>
            </w:r>
          </w:hyperlink>
        </w:p>
        <w:p w:rsidR="00C97F2B" w:rsidRPr="00C97F2B" w:rsidRDefault="00FA6328" w:rsidP="00C97F2B">
          <w:pPr>
            <w:pStyle w:val="Sumrio1"/>
            <w:jc w:val="both"/>
            <w:rPr>
              <w:rFonts w:eastAsiaTheme="minorEastAsia"/>
              <w:b w:val="0"/>
              <w:lang w:eastAsia="pt-BR"/>
            </w:rPr>
          </w:pPr>
          <w:hyperlink w:anchor="_Toc496749620" w:history="1">
            <w:r w:rsidR="00C97F2B" w:rsidRPr="00C97F2B">
              <w:rPr>
                <w:rStyle w:val="Hyperlink"/>
                <w:u w:val="none"/>
              </w:rPr>
              <w:t xml:space="preserve">6.2 </w:t>
            </w:r>
            <w:r w:rsidR="00C97F2B">
              <w:rPr>
                <w:rStyle w:val="Hyperlink"/>
                <w:u w:val="none"/>
              </w:rPr>
              <w:t xml:space="preserve">   </w:t>
            </w:r>
            <w:r w:rsidR="00C97F2B" w:rsidRPr="00C97F2B">
              <w:rPr>
                <w:rStyle w:val="Hyperlink"/>
                <w:u w:val="none"/>
              </w:rPr>
              <w:t>Limitações e perspectivas do estudo</w:t>
            </w:r>
            <w:r w:rsidR="00C97F2B" w:rsidRPr="00C97F2B">
              <w:rPr>
                <w:b w:val="0"/>
                <w:webHidden/>
              </w:rPr>
              <w:tab/>
            </w:r>
            <w:r w:rsidR="00C97F2B" w:rsidRPr="00C97F2B">
              <w:rPr>
                <w:b w:val="0"/>
                <w:webHidden/>
              </w:rPr>
              <w:fldChar w:fldCharType="begin"/>
            </w:r>
            <w:r w:rsidR="00C97F2B" w:rsidRPr="00C97F2B">
              <w:rPr>
                <w:b w:val="0"/>
                <w:webHidden/>
              </w:rPr>
              <w:instrText xml:space="preserve"> PAGEREF _Toc496749620 \h </w:instrText>
            </w:r>
            <w:r w:rsidR="00C97F2B" w:rsidRPr="00C97F2B">
              <w:rPr>
                <w:b w:val="0"/>
                <w:webHidden/>
              </w:rPr>
            </w:r>
            <w:r w:rsidR="00C97F2B" w:rsidRPr="00C97F2B">
              <w:rPr>
                <w:b w:val="0"/>
                <w:webHidden/>
              </w:rPr>
              <w:fldChar w:fldCharType="separate"/>
            </w:r>
            <w:r w:rsidR="005E2BE9">
              <w:rPr>
                <w:b w:val="0"/>
                <w:webHidden/>
              </w:rPr>
              <w:t>65</w:t>
            </w:r>
            <w:r w:rsidR="00C97F2B" w:rsidRPr="00C97F2B">
              <w:rPr>
                <w:b w:val="0"/>
                <w:webHidden/>
              </w:rPr>
              <w:fldChar w:fldCharType="end"/>
            </w:r>
          </w:hyperlink>
        </w:p>
        <w:p w:rsidR="00C97F2B" w:rsidRPr="00C97F2B" w:rsidRDefault="00FA6328" w:rsidP="00C97F2B">
          <w:pPr>
            <w:pStyle w:val="Sumrio1"/>
            <w:jc w:val="both"/>
            <w:rPr>
              <w:rFonts w:eastAsiaTheme="minorEastAsia"/>
              <w:b w:val="0"/>
              <w:lang w:eastAsia="pt-BR"/>
            </w:rPr>
          </w:pPr>
          <w:hyperlink w:anchor="_Toc496749621" w:history="1">
            <w:r w:rsidR="00C97F2B" w:rsidRPr="00C97F2B">
              <w:rPr>
                <w:rStyle w:val="Hyperlink"/>
                <w:u w:val="none"/>
              </w:rPr>
              <w:t xml:space="preserve">7 </w:t>
            </w:r>
            <w:r w:rsidR="00C97F2B">
              <w:rPr>
                <w:rStyle w:val="Hyperlink"/>
                <w:u w:val="none"/>
              </w:rPr>
              <w:t xml:space="preserve">      </w:t>
            </w:r>
            <w:r w:rsidR="00C97F2B" w:rsidRPr="00C97F2B">
              <w:rPr>
                <w:rStyle w:val="Hyperlink"/>
                <w:u w:val="none"/>
              </w:rPr>
              <w:t>CONCLUSÃO</w:t>
            </w:r>
            <w:r w:rsidR="00C97F2B" w:rsidRPr="00C97F2B">
              <w:rPr>
                <w:b w:val="0"/>
                <w:webHidden/>
              </w:rPr>
              <w:tab/>
            </w:r>
            <w:r w:rsidR="00C97F2B" w:rsidRPr="00C97F2B">
              <w:rPr>
                <w:b w:val="0"/>
                <w:webHidden/>
              </w:rPr>
              <w:fldChar w:fldCharType="begin"/>
            </w:r>
            <w:r w:rsidR="00C97F2B" w:rsidRPr="00C97F2B">
              <w:rPr>
                <w:b w:val="0"/>
                <w:webHidden/>
              </w:rPr>
              <w:instrText xml:space="preserve"> PAGEREF _Toc496749621 \h </w:instrText>
            </w:r>
            <w:r w:rsidR="00C97F2B" w:rsidRPr="00C97F2B">
              <w:rPr>
                <w:b w:val="0"/>
                <w:webHidden/>
              </w:rPr>
            </w:r>
            <w:r w:rsidR="00C97F2B" w:rsidRPr="00C97F2B">
              <w:rPr>
                <w:b w:val="0"/>
                <w:webHidden/>
              </w:rPr>
              <w:fldChar w:fldCharType="separate"/>
            </w:r>
            <w:r w:rsidR="005E2BE9">
              <w:rPr>
                <w:b w:val="0"/>
                <w:webHidden/>
              </w:rPr>
              <w:t>68</w:t>
            </w:r>
            <w:r w:rsidR="00C97F2B" w:rsidRPr="00C97F2B">
              <w:rPr>
                <w:b w:val="0"/>
                <w:webHidden/>
              </w:rPr>
              <w:fldChar w:fldCharType="end"/>
            </w:r>
          </w:hyperlink>
        </w:p>
        <w:p w:rsidR="00C97F2B" w:rsidRPr="00C97F2B" w:rsidRDefault="00C97F2B" w:rsidP="00C97F2B">
          <w:pPr>
            <w:pStyle w:val="Sumrio3"/>
            <w:jc w:val="both"/>
            <w:rPr>
              <w:rFonts w:eastAsiaTheme="minorEastAsia"/>
              <w:b w:val="0"/>
              <w:lang w:eastAsia="pt-BR"/>
            </w:rPr>
          </w:pPr>
          <w:r>
            <w:rPr>
              <w:rStyle w:val="Hyperlink"/>
              <w:u w:val="none"/>
            </w:rPr>
            <w:t xml:space="preserve">         </w:t>
          </w:r>
          <w:hyperlink w:anchor="_Toc496749622" w:history="1">
            <w:r w:rsidRPr="00C97F2B">
              <w:rPr>
                <w:rStyle w:val="Hyperlink"/>
                <w:u w:val="none"/>
              </w:rPr>
              <w:t>REFERÊNCIAS</w:t>
            </w:r>
            <w:r w:rsidRPr="00C97F2B">
              <w:rPr>
                <w:b w:val="0"/>
                <w:webHidden/>
              </w:rPr>
              <w:tab/>
            </w:r>
            <w:r w:rsidRPr="00C97F2B">
              <w:rPr>
                <w:b w:val="0"/>
                <w:webHidden/>
              </w:rPr>
              <w:fldChar w:fldCharType="begin"/>
            </w:r>
            <w:r w:rsidRPr="00C97F2B">
              <w:rPr>
                <w:b w:val="0"/>
                <w:webHidden/>
              </w:rPr>
              <w:instrText xml:space="preserve"> PAGEREF _Toc496749622 \h </w:instrText>
            </w:r>
            <w:r w:rsidRPr="00C97F2B">
              <w:rPr>
                <w:b w:val="0"/>
                <w:webHidden/>
              </w:rPr>
            </w:r>
            <w:r w:rsidRPr="00C97F2B">
              <w:rPr>
                <w:b w:val="0"/>
                <w:webHidden/>
              </w:rPr>
              <w:fldChar w:fldCharType="separate"/>
            </w:r>
            <w:r w:rsidR="005E2BE9">
              <w:rPr>
                <w:b w:val="0"/>
                <w:webHidden/>
              </w:rPr>
              <w:t>69</w:t>
            </w:r>
            <w:r w:rsidRPr="00C97F2B">
              <w:rPr>
                <w:b w:val="0"/>
                <w:webHidden/>
              </w:rPr>
              <w:fldChar w:fldCharType="end"/>
            </w:r>
          </w:hyperlink>
        </w:p>
        <w:p w:rsidR="00C97F2B" w:rsidRPr="00C97F2B" w:rsidRDefault="00C97F2B" w:rsidP="00C97F2B">
          <w:pPr>
            <w:pStyle w:val="Sumrio3"/>
            <w:jc w:val="both"/>
            <w:rPr>
              <w:rFonts w:eastAsiaTheme="minorEastAsia"/>
              <w:b w:val="0"/>
              <w:lang w:eastAsia="pt-BR"/>
            </w:rPr>
          </w:pPr>
          <w:r>
            <w:rPr>
              <w:rStyle w:val="Hyperlink"/>
              <w:u w:val="none"/>
            </w:rPr>
            <w:t xml:space="preserve">         </w:t>
          </w:r>
          <w:hyperlink w:anchor="_Toc496749623" w:history="1">
            <w:r w:rsidRPr="00C97F2B">
              <w:rPr>
                <w:rStyle w:val="Hyperlink"/>
                <w:u w:val="none"/>
              </w:rPr>
              <w:t>APÊNDICE</w:t>
            </w:r>
            <w:r w:rsidRPr="00C97F2B">
              <w:rPr>
                <w:b w:val="0"/>
                <w:webHidden/>
              </w:rPr>
              <w:tab/>
            </w:r>
            <w:r w:rsidRPr="00C97F2B">
              <w:rPr>
                <w:b w:val="0"/>
                <w:webHidden/>
              </w:rPr>
              <w:fldChar w:fldCharType="begin"/>
            </w:r>
            <w:r w:rsidRPr="00C97F2B">
              <w:rPr>
                <w:b w:val="0"/>
                <w:webHidden/>
              </w:rPr>
              <w:instrText xml:space="preserve"> PAGEREF _Toc496749623 \h </w:instrText>
            </w:r>
            <w:r w:rsidRPr="00C97F2B">
              <w:rPr>
                <w:b w:val="0"/>
                <w:webHidden/>
              </w:rPr>
            </w:r>
            <w:r w:rsidRPr="00C97F2B">
              <w:rPr>
                <w:b w:val="0"/>
                <w:webHidden/>
              </w:rPr>
              <w:fldChar w:fldCharType="separate"/>
            </w:r>
            <w:r w:rsidR="005E2BE9">
              <w:rPr>
                <w:b w:val="0"/>
                <w:webHidden/>
              </w:rPr>
              <w:t>80</w:t>
            </w:r>
            <w:r w:rsidRPr="00C97F2B">
              <w:rPr>
                <w:b w:val="0"/>
                <w:webHidden/>
              </w:rPr>
              <w:fldChar w:fldCharType="end"/>
            </w:r>
          </w:hyperlink>
        </w:p>
        <w:p w:rsidR="00C97F2B" w:rsidRPr="00C97F2B" w:rsidRDefault="00C97F2B" w:rsidP="00C97F2B">
          <w:pPr>
            <w:pStyle w:val="Sumrio3"/>
            <w:jc w:val="both"/>
            <w:rPr>
              <w:rFonts w:eastAsiaTheme="minorEastAsia"/>
              <w:b w:val="0"/>
              <w:lang w:eastAsia="pt-BR"/>
            </w:rPr>
          </w:pPr>
          <w:r>
            <w:rPr>
              <w:rStyle w:val="Hyperlink"/>
              <w:u w:val="none"/>
            </w:rPr>
            <w:t xml:space="preserve">         </w:t>
          </w:r>
          <w:hyperlink w:anchor="_Toc496749624" w:history="1">
            <w:r w:rsidRPr="00C97F2B">
              <w:rPr>
                <w:rStyle w:val="Hyperlink"/>
                <w:u w:val="none"/>
              </w:rPr>
              <w:t>ANEXOS</w:t>
            </w:r>
            <w:r w:rsidRPr="00C97F2B">
              <w:rPr>
                <w:b w:val="0"/>
                <w:webHidden/>
              </w:rPr>
              <w:tab/>
            </w:r>
            <w:r w:rsidRPr="00C97F2B">
              <w:rPr>
                <w:b w:val="0"/>
                <w:webHidden/>
              </w:rPr>
              <w:fldChar w:fldCharType="begin"/>
            </w:r>
            <w:r w:rsidRPr="00C97F2B">
              <w:rPr>
                <w:b w:val="0"/>
                <w:webHidden/>
              </w:rPr>
              <w:instrText xml:space="preserve"> PAGEREF _Toc496749624 \h </w:instrText>
            </w:r>
            <w:r w:rsidRPr="00C97F2B">
              <w:rPr>
                <w:b w:val="0"/>
                <w:webHidden/>
              </w:rPr>
            </w:r>
            <w:r w:rsidRPr="00C97F2B">
              <w:rPr>
                <w:b w:val="0"/>
                <w:webHidden/>
              </w:rPr>
              <w:fldChar w:fldCharType="separate"/>
            </w:r>
            <w:r w:rsidR="005E2BE9">
              <w:rPr>
                <w:b w:val="0"/>
                <w:webHidden/>
              </w:rPr>
              <w:t>81</w:t>
            </w:r>
            <w:r w:rsidRPr="00C97F2B">
              <w:rPr>
                <w:b w:val="0"/>
                <w:webHidden/>
              </w:rPr>
              <w:fldChar w:fldCharType="end"/>
            </w:r>
          </w:hyperlink>
        </w:p>
        <w:p w:rsidR="00C97F2B" w:rsidRPr="00C97F2B" w:rsidRDefault="00C97F2B" w:rsidP="00C97F2B">
          <w:pPr>
            <w:spacing w:after="0" w:line="360" w:lineRule="auto"/>
            <w:jc w:val="both"/>
          </w:pPr>
          <w:r w:rsidRPr="00C97F2B">
            <w:rPr>
              <w:rFonts w:ascii="Arial" w:hAnsi="Arial" w:cs="Arial"/>
              <w:b/>
              <w:bCs/>
              <w:sz w:val="24"/>
              <w:szCs w:val="24"/>
            </w:rPr>
            <w:fldChar w:fldCharType="end"/>
          </w:r>
        </w:p>
      </w:sdtContent>
    </w:sdt>
    <w:p w:rsidR="001B5670" w:rsidRDefault="001B5670" w:rsidP="005A1D16">
      <w:pPr>
        <w:spacing w:after="0" w:line="240" w:lineRule="auto"/>
        <w:jc w:val="both"/>
        <w:rPr>
          <w:rFonts w:ascii="Arial" w:hAnsi="Arial" w:cs="Arial"/>
          <w:sz w:val="24"/>
        </w:rPr>
        <w:sectPr w:rsidR="001B5670" w:rsidSect="00C40ADB">
          <w:headerReference w:type="default" r:id="rId18"/>
          <w:pgSz w:w="11906" w:h="16838" w:code="9"/>
          <w:pgMar w:top="1701" w:right="1134" w:bottom="1134" w:left="1701" w:header="1134" w:footer="709" w:gutter="0"/>
          <w:pgNumType w:start="12"/>
          <w:cols w:space="708"/>
          <w:docGrid w:linePitch="360"/>
        </w:sectPr>
      </w:pPr>
    </w:p>
    <w:p w:rsidR="00EE6023" w:rsidRPr="00856222" w:rsidRDefault="00EE6023" w:rsidP="000E4ED3">
      <w:pPr>
        <w:pStyle w:val="Ttulo1"/>
      </w:pPr>
      <w:bookmarkStart w:id="1" w:name="_Toc496749596"/>
      <w:r w:rsidRPr="00856222">
        <w:lastRenderedPageBreak/>
        <w:t>1 INTRODUÇÃO</w:t>
      </w:r>
      <w:bookmarkEnd w:id="1"/>
    </w:p>
    <w:p w:rsidR="00EE6023" w:rsidRDefault="00106FE9" w:rsidP="00106FE9">
      <w:pPr>
        <w:tabs>
          <w:tab w:val="left" w:pos="7116"/>
        </w:tabs>
        <w:spacing w:after="0" w:line="360" w:lineRule="auto"/>
        <w:jc w:val="both"/>
        <w:rPr>
          <w:rFonts w:ascii="Arial" w:hAnsi="Arial" w:cs="Arial"/>
          <w:sz w:val="24"/>
        </w:rPr>
      </w:pPr>
      <w:r>
        <w:rPr>
          <w:rFonts w:ascii="Arial" w:hAnsi="Arial" w:cs="Arial"/>
          <w:sz w:val="24"/>
        </w:rPr>
        <w:tab/>
      </w:r>
    </w:p>
    <w:p w:rsidR="00BF782F" w:rsidRDefault="00BF782F" w:rsidP="00491682">
      <w:pPr>
        <w:spacing w:after="0" w:line="360" w:lineRule="auto"/>
        <w:jc w:val="both"/>
        <w:rPr>
          <w:rFonts w:ascii="Arial" w:hAnsi="Arial" w:cs="Arial"/>
          <w:sz w:val="24"/>
        </w:rPr>
      </w:pPr>
      <w:r>
        <w:rPr>
          <w:rFonts w:ascii="Arial" w:hAnsi="Arial" w:cs="Arial"/>
          <w:sz w:val="24"/>
        </w:rPr>
        <w:t>No período da infância e adolescência, que</w:t>
      </w:r>
      <w:r w:rsidR="00602364">
        <w:rPr>
          <w:rFonts w:ascii="Arial" w:hAnsi="Arial" w:cs="Arial"/>
          <w:sz w:val="24"/>
        </w:rPr>
        <w:t>,</w:t>
      </w:r>
      <w:r>
        <w:rPr>
          <w:rFonts w:ascii="Arial" w:hAnsi="Arial" w:cs="Arial"/>
          <w:sz w:val="24"/>
        </w:rPr>
        <w:t xml:space="preserve"> de acordo com o Estatuto da</w:t>
      </w:r>
      <w:r w:rsidR="00465FFD">
        <w:rPr>
          <w:rFonts w:ascii="Arial" w:hAnsi="Arial" w:cs="Arial"/>
          <w:sz w:val="24"/>
        </w:rPr>
        <w:t xml:space="preserve"> Criança e do Adolescente (ECA) vigente no Brasil</w:t>
      </w:r>
      <w:r w:rsidR="00602364">
        <w:rPr>
          <w:rFonts w:ascii="Arial" w:hAnsi="Arial" w:cs="Arial"/>
          <w:sz w:val="24"/>
        </w:rPr>
        <w:t>,</w:t>
      </w:r>
      <w:r>
        <w:rPr>
          <w:rFonts w:ascii="Arial" w:hAnsi="Arial" w:cs="Arial"/>
          <w:sz w:val="24"/>
        </w:rPr>
        <w:t xml:space="preserve"> compreende desde o nascimento até 18 anos de idade, há uma grande variedade de doenças. Estas, por sua vez, s</w:t>
      </w:r>
      <w:r w:rsidR="002C6603">
        <w:rPr>
          <w:rFonts w:ascii="Arial" w:hAnsi="Arial" w:cs="Arial"/>
          <w:sz w:val="24"/>
        </w:rPr>
        <w:t>ão basicamente</w:t>
      </w:r>
      <w:r w:rsidR="00ED0E57">
        <w:rPr>
          <w:rFonts w:ascii="Arial" w:hAnsi="Arial" w:cs="Arial"/>
          <w:sz w:val="24"/>
        </w:rPr>
        <w:t xml:space="preserve"> doenças de</w:t>
      </w:r>
      <w:r w:rsidR="00465FFD">
        <w:rPr>
          <w:rFonts w:ascii="Arial" w:hAnsi="Arial" w:cs="Arial"/>
          <w:sz w:val="24"/>
        </w:rPr>
        <w:t xml:space="preserve"> curso</w:t>
      </w:r>
      <w:r w:rsidR="002C6603">
        <w:rPr>
          <w:rFonts w:ascii="Arial" w:hAnsi="Arial" w:cs="Arial"/>
          <w:sz w:val="24"/>
        </w:rPr>
        <w:t xml:space="preserve"> crôni</w:t>
      </w:r>
      <w:r w:rsidR="00465FFD">
        <w:rPr>
          <w:rFonts w:ascii="Arial" w:hAnsi="Arial" w:cs="Arial"/>
          <w:sz w:val="24"/>
        </w:rPr>
        <w:t>co</w:t>
      </w:r>
      <w:r w:rsidR="00602364">
        <w:rPr>
          <w:rFonts w:ascii="Arial" w:hAnsi="Arial" w:cs="Arial"/>
          <w:sz w:val="24"/>
        </w:rPr>
        <w:t>, que impõem modificações à vida dessa população e de seus familiares.</w:t>
      </w:r>
      <w:r w:rsidR="001F649C">
        <w:rPr>
          <w:rFonts w:ascii="Arial" w:hAnsi="Arial" w:cs="Arial"/>
          <w:sz w:val="24"/>
        </w:rPr>
        <w:fldChar w:fldCharType="begin" w:fldLock="1"/>
      </w:r>
      <w:r w:rsidR="005C2E82">
        <w:rPr>
          <w:rFonts w:ascii="Arial" w:hAnsi="Arial" w:cs="Arial"/>
          <w:sz w:val="24"/>
        </w:rPr>
        <w:instrText>ADDIN CSL_CITATION { "citationItems" : [ { "id" : "ITEM-1", "itemData" : { "author" : [ { "dropping-particle" : "", "family" : "Brasil", "given" : "", "non-dropping-particle" : "", "parse-names" : false, "suffix" : "" } ], "id" : "ITEM-1", "issued" : { "date-parts" : [ [ "2010" ] ] }, "publisher-place" : "Brasil", "title" : "Estatuto da crian\u00e7a e do adolescente: Lei federal n\u00ba 8069, de 13 de julho de 1990", "type" : "legislation" }, "uris" : [ "http://www.mendeley.com/documents/?uuid=0ccd461e-d3e3-4885-a663-5b78270c2823" ] }, { "id" : "ITEM-2", "itemData" : { "DOI" : "http://dx.doi.org/10.1590/s1980-220x2016042503226.", "author" : [ { "dropping-particle" : "", "family" : "N\u00f3brega", "given" : "VM", "non-dropping-particle" : "", "parse-names" : false, "suffix" : "" }, { "dropping-particle" : "", "family" : "Silva", "given" : "ME", "non-dropping-particle" : "", "parse-names" : false, "suffix" : "" }, { "dropping-particle" : "", "family" : "Fernandes", "given" : "LT", "non-dropping-particle" : "", "parse-names" : false, "suffix" : "" }, { "dropping-particle" : "", "family" : "Vieira", "given" : "CS", "non-dropping-particle" : "", "parse-names" : false, "suffix" : "" }, { "dropping-particle" : "", "family" : "Reichert", "given" : "AP", "non-dropping-particle" : "", "parse-names" : false, "suffix" : "" }, { "dropping-particle" : "", "family" : "Collet", "given" : "N", "non-dropping-particle" : "", "parse-names" : false, "suffix" : "" } ], "container-title" : "Rev Esc Enferm USP", "id" : "ITEM-2", "issued" : { "date-parts" : [ [ "2017" ] ] }, "page" : "1-8", "title" : "Doen\u00e7a cr\u00f4nica na inf\u00e2ncia e adolesc\u00eancia: continuidade do cuidado na Rede de Aten\u00e7\u00e3o \u00e0 Sa\u00fade", "type" : "article-journal", "volume" : "51" }, "uris" : [ "http://www.mendeley.com/documents/?uuid=83d34bcb-49a0-42f5-b7d8-1d11c5a77dc5" ] }, { "id" : "ITEM-3", "itemData" : { "DOI" : "http://dx.doi.org/10.1590/0104-07072015000300014", "author" : [ { "dropping-particle" : "", "family" : "Salvador", "given" : "MS", "non-dropping-particle" : "", "parse-names" : false, "suffix" : "" }, { "dropping-particle" : "", "family" : "Gomes", "given" : "GC", "non-dropping-particle" : "", "parse-names" : false, "suffix" : "" }, { "dropping-particle" : "", "family" : "Oliveira", "given" : "PK", "non-dropping-particle" : "", "parse-names" : false, "suffix" : "" }, { "dropping-particle" : "", "family" : "Gomes", "given" : "VL", "non-dropping-particle" : "", "parse-names" : false, "suffix" : "" }, { "dropping-particle" : "", "family" : "Busanello", "given" : "J", "non-dropping-particle" : "", "parse-names" : false, "suffix" : "" }, { "dropping-particle" : "", "family" : "Xavier", "given" : "DM", "non-dropping-particle" : "", "parse-names" : false, "suffix" : "" } ], "container-title" : "Texto Contexto Enferm", "id" : "ITEM-3", "issue" : "3", "issued" : { "date-parts" : [ [ "2015" ] ] }, "page" : "662-669", "title" : "Estrat\u00e9gias de fam\u00edlias no cuidado a crian\u00e7as portadoras de doen\u00e7as cr\u00f4nicas", "type" : "article-journal", "volume" : "24" }, "uris" : [ "http://www.mendeley.com/documents/?uuid=0b4e9f73-c651-40ba-8973-cb7dca3cae61" ] } ], "mendeley" : { "formattedCitation" : "&lt;sup&gt;1\u20133&lt;/sup&gt;", "plainTextFormattedCitation" : "1\u20133", "previouslyFormattedCitation" : "&lt;sup&gt;1\u20133&lt;/sup&gt;" }, "properties" : { "noteIndex" : 0 }, "schema" : "https://github.com/citation-style-language/schema/raw/master/csl-citation.json" }</w:instrText>
      </w:r>
      <w:r w:rsidR="001F649C">
        <w:rPr>
          <w:rFonts w:ascii="Arial" w:hAnsi="Arial" w:cs="Arial"/>
          <w:sz w:val="24"/>
        </w:rPr>
        <w:fldChar w:fldCharType="separate"/>
      </w:r>
      <w:r w:rsidR="001F649C" w:rsidRPr="001F649C">
        <w:rPr>
          <w:rFonts w:ascii="Arial" w:hAnsi="Arial" w:cs="Arial"/>
          <w:noProof/>
          <w:sz w:val="24"/>
          <w:vertAlign w:val="superscript"/>
        </w:rPr>
        <w:t>1–3</w:t>
      </w:r>
      <w:r w:rsidR="001F649C">
        <w:rPr>
          <w:rFonts w:ascii="Arial" w:hAnsi="Arial" w:cs="Arial"/>
          <w:sz w:val="24"/>
        </w:rPr>
        <w:fldChar w:fldCharType="end"/>
      </w:r>
      <w:r w:rsidR="00ED0E57">
        <w:rPr>
          <w:rFonts w:ascii="Arial" w:hAnsi="Arial" w:cs="Arial"/>
          <w:sz w:val="24"/>
        </w:rPr>
        <w:t xml:space="preserve"> </w:t>
      </w:r>
      <w:r>
        <w:rPr>
          <w:rFonts w:ascii="Arial" w:hAnsi="Arial" w:cs="Arial"/>
          <w:sz w:val="24"/>
        </w:rPr>
        <w:t xml:space="preserve"> </w:t>
      </w:r>
    </w:p>
    <w:p w:rsidR="00BF782F" w:rsidRDefault="00BF782F" w:rsidP="00491682">
      <w:pPr>
        <w:spacing w:after="0" w:line="360" w:lineRule="auto"/>
        <w:jc w:val="both"/>
        <w:rPr>
          <w:rFonts w:ascii="Arial" w:hAnsi="Arial" w:cs="Arial"/>
          <w:sz w:val="24"/>
        </w:rPr>
      </w:pPr>
    </w:p>
    <w:p w:rsidR="003F6C33" w:rsidRDefault="00BF782F" w:rsidP="00491682">
      <w:pPr>
        <w:spacing w:after="0" w:line="360" w:lineRule="auto"/>
        <w:jc w:val="both"/>
        <w:rPr>
          <w:rFonts w:ascii="Arial" w:hAnsi="Arial" w:cs="Arial"/>
          <w:sz w:val="24"/>
        </w:rPr>
      </w:pPr>
      <w:r>
        <w:rPr>
          <w:rFonts w:ascii="Arial" w:hAnsi="Arial" w:cs="Arial"/>
          <w:sz w:val="24"/>
        </w:rPr>
        <w:t>Nesse contexto, a</w:t>
      </w:r>
      <w:r w:rsidR="009B2371">
        <w:rPr>
          <w:rFonts w:ascii="Arial" w:hAnsi="Arial" w:cs="Arial"/>
          <w:sz w:val="24"/>
        </w:rPr>
        <w:t xml:space="preserve">s </w:t>
      </w:r>
      <w:r w:rsidR="00AD04C0">
        <w:rPr>
          <w:rFonts w:ascii="Arial" w:hAnsi="Arial" w:cs="Arial"/>
          <w:sz w:val="24"/>
        </w:rPr>
        <w:t>M</w:t>
      </w:r>
      <w:r w:rsidR="009B2371">
        <w:rPr>
          <w:rFonts w:ascii="Arial" w:hAnsi="Arial" w:cs="Arial"/>
          <w:sz w:val="24"/>
        </w:rPr>
        <w:t>u</w:t>
      </w:r>
      <w:r w:rsidR="003F6C33">
        <w:rPr>
          <w:rFonts w:ascii="Arial" w:hAnsi="Arial" w:cs="Arial"/>
          <w:sz w:val="24"/>
        </w:rPr>
        <w:t>copolissacaridoses (MPS) constituem um grupo de doenças</w:t>
      </w:r>
      <w:r w:rsidR="007A75D8">
        <w:rPr>
          <w:rFonts w:ascii="Arial" w:hAnsi="Arial" w:cs="Arial"/>
          <w:sz w:val="24"/>
        </w:rPr>
        <w:t xml:space="preserve"> raras,</w:t>
      </w:r>
      <w:r w:rsidR="003F6C33">
        <w:rPr>
          <w:rFonts w:ascii="Arial" w:hAnsi="Arial" w:cs="Arial"/>
          <w:sz w:val="24"/>
        </w:rPr>
        <w:t xml:space="preserve"> hereditárias, </w:t>
      </w:r>
      <w:r w:rsidR="00905E48">
        <w:rPr>
          <w:rFonts w:ascii="Arial" w:hAnsi="Arial" w:cs="Arial"/>
          <w:sz w:val="24"/>
        </w:rPr>
        <w:t>crônic</w:t>
      </w:r>
      <w:r w:rsidR="00E768D9">
        <w:rPr>
          <w:rFonts w:ascii="Arial" w:hAnsi="Arial" w:cs="Arial"/>
          <w:sz w:val="24"/>
        </w:rPr>
        <w:t>as, de car</w:t>
      </w:r>
      <w:r w:rsidR="00CE459C">
        <w:rPr>
          <w:rFonts w:ascii="Arial" w:hAnsi="Arial" w:cs="Arial"/>
          <w:sz w:val="24"/>
        </w:rPr>
        <w:t>áter</w:t>
      </w:r>
      <w:r w:rsidR="00905E48">
        <w:rPr>
          <w:rFonts w:ascii="Arial" w:hAnsi="Arial" w:cs="Arial"/>
          <w:sz w:val="24"/>
        </w:rPr>
        <w:t xml:space="preserve"> </w:t>
      </w:r>
      <w:r w:rsidR="003F6C33">
        <w:rPr>
          <w:rFonts w:ascii="Arial" w:hAnsi="Arial" w:cs="Arial"/>
          <w:sz w:val="24"/>
        </w:rPr>
        <w:t>progressivo, ocasionadas pela deficiência na atividade de e</w:t>
      </w:r>
      <w:r w:rsidR="00A46D2F">
        <w:rPr>
          <w:rFonts w:ascii="Arial" w:hAnsi="Arial" w:cs="Arial"/>
          <w:sz w:val="24"/>
        </w:rPr>
        <w:t>nzimas lisossômicas específicas</w:t>
      </w:r>
      <w:r w:rsidR="003F6C33">
        <w:rPr>
          <w:rFonts w:ascii="Arial" w:hAnsi="Arial" w:cs="Arial"/>
          <w:sz w:val="24"/>
        </w:rPr>
        <w:t xml:space="preserve"> necessárias para a degradação de glicosaminoglicanos (GAG</w:t>
      </w:r>
      <w:r w:rsidR="00EB492D">
        <w:rPr>
          <w:rFonts w:ascii="Arial" w:hAnsi="Arial" w:cs="Arial"/>
          <w:sz w:val="24"/>
        </w:rPr>
        <w:t>s</w:t>
      </w:r>
      <w:r w:rsidR="003F6C33">
        <w:rPr>
          <w:rFonts w:ascii="Arial" w:hAnsi="Arial" w:cs="Arial"/>
          <w:sz w:val="24"/>
        </w:rPr>
        <w:t>),</w:t>
      </w:r>
      <w:r w:rsidR="00B42142">
        <w:rPr>
          <w:rFonts w:ascii="Arial" w:hAnsi="Arial" w:cs="Arial"/>
          <w:sz w:val="24"/>
        </w:rPr>
        <w:t xml:space="preserve"> que são</w:t>
      </w:r>
      <w:r w:rsidR="003F6C33">
        <w:rPr>
          <w:rFonts w:ascii="Arial" w:hAnsi="Arial" w:cs="Arial"/>
          <w:sz w:val="24"/>
        </w:rPr>
        <w:t xml:space="preserve"> polissacarídeos ligados a proteínas (proteoglicanos)</w:t>
      </w:r>
      <w:r w:rsidR="00C7749B">
        <w:rPr>
          <w:rFonts w:ascii="Arial" w:hAnsi="Arial" w:cs="Arial"/>
          <w:sz w:val="24"/>
        </w:rPr>
        <w:t>.</w:t>
      </w:r>
      <w:r w:rsidR="003F6C33" w:rsidRPr="00C7749B">
        <w:rPr>
          <w:rFonts w:ascii="Arial" w:hAnsi="Arial" w:cs="Arial"/>
          <w:sz w:val="24"/>
          <w:vertAlign w:val="superscript"/>
        </w:rPr>
        <w:fldChar w:fldCharType="begin" w:fldLock="1"/>
      </w:r>
      <w:r w:rsidR="005C2E82">
        <w:rPr>
          <w:rFonts w:ascii="Arial" w:hAnsi="Arial" w:cs="Arial"/>
          <w:sz w:val="24"/>
          <w:vertAlign w:val="superscript"/>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"id" : "ITEM-2", "itemData" : { "ISBN" : "0917-3803 (Print)\\r0917-3803", "PMID" : "25620850", "abstract" : "Mucopolysaccharidoses (MPS) are a group of lysosomal storage disorders caused by the deficiency of lysosomal enzymes. The enzymes are required to break down glycosaminoglycans (GAGs) that help build bone, cartilage, tendons, corneas, skin and connective tissue. In patients with MPS, a missing enzyme leads to the accumulation of GAGs in the cells, blood, connective tissues, and multiple organs. The consequence is permanent, with progressive cellular damage affecting patients' appearance, physical abilities, organ and system function, and skeletal and mental development. The measurement of each specific GAG in a variety of specimens is required to establish the correlation between GAGs and physiological status of patients and/or prognosis and pathogenesis of the disease and to separate the patients with MPS from the healthy controls. We have developed a highly accurate, sensitive, and cost-effective liquid chromatography tandem mass spectrometry (LC-MS/MS) method for measurements of disaccharides derived from four specific GAGs [chondroitin sulfate (CS), dermatan sulfate (DS), heparan sulfate (HS), and keratan sulfate (KS)]. Disaccharides were produced by specific enzyme digestion of each GAG, and subsequently, quantified by negative ion mode of multiple reaction monitoring. Subclasses of GAGs with the same molecular weights can be separated by liquid chromatography. We have also developed another GAG assay by high-throughput mass spectrometry (HT-MS/MS). The HT-MS/MS consists of an integrated solid phase extraction robot that binds and de-salts samples from assay plates and directly injects them into a MS/MS detector, reducing sample processing time to within ten seconds. HT-MS/MS consequently yields much faster throughput than conventional LC-MS/MS-based methods; however, the HT-MS/MS system does not use a chromatographic step, and therefore, cannot separate GAGs that have the same molecular weights. Both techniques can be applied to the analysis of dried blood spots, blood, and urine specimens. In this review, we describe the assay methods for GAGs and the application to newborn screening and diagnosis of MPS.", "author" : [ { "dropping-particle" : "", "family" : "Tomatsu", "given" : "S", "non-dropping-particle" : "", "parse-names" : false, "suffix" : "" }, { "dropping-particle" : "", "family" : "Kubaski", "given" : "F", "non-dropping-particle" : "", "parse-names" : false, "suffix" : "" }, { "dropping-particle" : "", "family" : "Sawamoto", "given" : "K", "non-dropping-particle" : "", "parse-names" : false, "suffix" : "" }, { "dropping-particle" : "", "family" : "Mason", "given" : "R W", "non-dropping-particle" : "", "parse-names" : false, "suffix" : "" }, { "dropping-particle" : "", "family" : "Yasuda", "given" : "E", "non-dropping-particle" : "", "parse-names" : false, "suffix" : "" }, { "dropping-particle" : "", "family" : "Shimada", "given" : "T", "non-dropping-particle" : "", "parse-names" : false, "suffix" : "" }, { "dropping-particle" : "", "family" : "Montano", "given" : "A M", "non-dropping-particle" : "", "parse-names" : false, "suffix" : "" }, { "dropping-particle" : "", "family" : "Yamaguchi", "given" : "S", "non-dropping-particle" : "", "parse-names" : false, "suffix" : "" }, { "dropping-particle" : "", "family" : "Suzuki", "given" : "Y", "non-dropping-particle" : "", "parse-names" : false, "suffix" : "" }, { "dropping-particle" : "", "family" : "Orii", "given" : "T", "non-dropping-particle" : "", "parse-names" : false, "suffix" : "" } ], "container-title" : "Nihon Masu Sukuriningu Gakkai Shi", "id" : "ITEM-2", "issued" : { "date-parts" : [ [ "2014" ] ] }, "page" : "19-37", "title" : "Newborn screening and diagnosis of mucopolysaccharidoses: application of tandem mass spectrometry", "type" : "article-journal", "volume" : "24" }, "uris" : [ "http://www.mendeley.com/documents/?uuid=dec277ae-c17b-44a0-850a-0be25a3d2452" ] }, { "id" : "ITEM-3", "itemData" : { "DOI" : "10.1016/j.ymgme.2014.12.001", "author" : [ { "dropping-particle" : "", "family" : "Tomatsu", "given" : "Shunji", "non-dropping-particle" : "", "parse-names" : false, "suffix" : "" }, { "dropping-particle" : "", "family" : "Alm\u00e9ciga-D\u00edaz", "given" : "Carlos J", "non-dropping-particle" : "", "parse-names" : false, "suffix" : "" }, { "dropping-particle" : "", "family" : "Monta\u00f1o", "given" : "Adriana M", "non-dropping-particle" : "", "parse-names" : false, "suffix" : "" }, { "dropping-particle" : "", "family" : "Yabe", "given" : "Hiromasa", "non-dropping-particle" : "", "parse-names" : false, "suffix" : "" }, { "dropping-particle" : "", "family" : "Tanaka", "given" : "Akemi", "non-dropping-particle" : "", "parse-names" : false, "suffix" : "" }, { "dropping-particle" : "", "family" : "Dung", "given" : "Vu Chi", "non-dropping-particle" : "", "parse-names" : false, "suffix" : "" }, { "dropping-particle" : "", "family" : "Giugliani", "given" : "Roberto", "non-dropping-particle" : "", "parse-names" : false, "suffix" : "" }, { "dropping-particle" : "", "family" : "Kubaski", "given" : "Francyne", "non-dropping-particle" : "", "parse-names" : false, "suffix" : "" }, { "dropping-particle" : "", "family" : "Mason", "given" : "Robert W", "non-dropping-particle" : "", "parse-names" : false, "suffix" : "" }, { "dropping-particle" : "", "family" : "Yasuda", "given" : "Eriko", "non-dropping-particle" : "", "parse-names" : false, "suffix" : "" }, { "dropping-particle" : "", "family" : "Sawamoto", "given" : "Kazuki", "non-dropping-particle" : "", "parse-names" : false, "suffix" : "" }, { "dropping-particle" : "", "family" : "Mackenzie", "given" : "William", "non-dropping-particle" : "", "parse-names" : false, "suffix" : "" }, { "dropping-particle" : "", "family" : "Suzuki", "given" : "Yasuyuki", "non-dropping-particle" : "", "parse-names" : false, "suffix" : "" }, { "dropping-particle" : "", "family" : "Orii", "given" : "Kenji E", "non-dropping-particle" : "", "parse-names" : false, "suffix" : "" }, { "dropping-particle" : "", "family" : "Barrera", "given" : "Luis A", "non-dropping-particle" : "", "parse-names" : false, "suffix" : "" }, { "dropping-particle" : "", "family" : "Sly", "given" : "William S", "non-dropping-particle" : "", "parse-names" : false, "suffix" : "" }, { "dropping-particle" : "", "family" : "Orii", "given" : "Tadao", "non-dropping-particle" : "", "parse-names" : false, "suffix" : "" }, { "dropping-particle" : "", "family" : "Colombia", "given" : "D C", "non-dropping-particle" : "", "parse-names" : false, "suffix" : "" } ], "container-title" : "Mol Genet Metab", "id" : "ITEM-3", "issue" : "2", "issued" : { "date-parts" : [ [ "2015" ] ] }, "page" : "94-109", "title" : "Therapies for the bone in mucopolysaccharidoses", "type" : "article-journal", "volume" : "114" }, "uris" : [ "http://www.mendeley.com/documents/?uuid=b2d6fc11-b4ba-3f52-989c-e8d9484889d9" ] } ], "mendeley" : { "formattedCitation" : "&lt;sup&gt;4\u20136&lt;/sup&gt;", "plainTextFormattedCitation" : "4\u20136", "previouslyFormattedCitation" : "&lt;sup&gt;4\u20136&lt;/sup&gt;" }, "properties" : { "noteIndex" : 0 }, "schema" : "https://github.com/citation-style-language/schema/raw/master/csl-citation.json" }</w:instrText>
      </w:r>
      <w:r w:rsidR="003F6C33" w:rsidRPr="00C7749B">
        <w:rPr>
          <w:rFonts w:ascii="Arial" w:hAnsi="Arial" w:cs="Arial"/>
          <w:sz w:val="24"/>
          <w:vertAlign w:val="superscript"/>
        </w:rPr>
        <w:fldChar w:fldCharType="separate"/>
      </w:r>
      <w:r w:rsidR="001F649C" w:rsidRPr="001F649C">
        <w:rPr>
          <w:rFonts w:ascii="Arial" w:hAnsi="Arial" w:cs="Arial"/>
          <w:noProof/>
          <w:sz w:val="24"/>
          <w:vertAlign w:val="superscript"/>
        </w:rPr>
        <w:t>4–6</w:t>
      </w:r>
      <w:r w:rsidR="003F6C33" w:rsidRPr="00C7749B">
        <w:rPr>
          <w:rFonts w:ascii="Arial" w:hAnsi="Arial" w:cs="Arial"/>
          <w:sz w:val="24"/>
          <w:vertAlign w:val="superscript"/>
        </w:rPr>
        <w:fldChar w:fldCharType="end"/>
      </w:r>
    </w:p>
    <w:p w:rsidR="00571EA0" w:rsidRDefault="00571EA0" w:rsidP="00491682">
      <w:pPr>
        <w:spacing w:after="0" w:line="360" w:lineRule="auto"/>
        <w:jc w:val="both"/>
        <w:rPr>
          <w:rFonts w:ascii="Arial" w:hAnsi="Arial" w:cs="Arial"/>
          <w:sz w:val="24"/>
        </w:rPr>
      </w:pPr>
    </w:p>
    <w:p w:rsidR="003F6C33" w:rsidRDefault="003F6C33" w:rsidP="00491682">
      <w:pPr>
        <w:spacing w:after="0" w:line="360" w:lineRule="auto"/>
        <w:jc w:val="both"/>
        <w:rPr>
          <w:rFonts w:ascii="Arial" w:hAnsi="Arial" w:cs="Arial"/>
          <w:sz w:val="24"/>
        </w:rPr>
      </w:pPr>
      <w:r>
        <w:rPr>
          <w:rFonts w:ascii="Arial" w:hAnsi="Arial" w:cs="Arial"/>
          <w:sz w:val="24"/>
        </w:rPr>
        <w:t>A deficiência enzimática gera acúmulo intralisossomal de GAG</w:t>
      </w:r>
      <w:r w:rsidR="00EB492D">
        <w:rPr>
          <w:rFonts w:ascii="Arial" w:hAnsi="Arial" w:cs="Arial"/>
          <w:sz w:val="24"/>
        </w:rPr>
        <w:t>s</w:t>
      </w:r>
      <w:r>
        <w:rPr>
          <w:rFonts w:ascii="Arial" w:hAnsi="Arial" w:cs="Arial"/>
          <w:sz w:val="24"/>
        </w:rPr>
        <w:t xml:space="preserve"> e, por conseguinte, lesão e disfunção celular</w:t>
      </w:r>
      <w:r w:rsidR="00074FFB">
        <w:rPr>
          <w:rFonts w:ascii="Arial" w:hAnsi="Arial" w:cs="Arial"/>
          <w:sz w:val="24"/>
        </w:rPr>
        <w:t>,</w:t>
      </w:r>
      <w:r>
        <w:rPr>
          <w:rFonts w:ascii="Arial" w:hAnsi="Arial" w:cs="Arial"/>
          <w:sz w:val="24"/>
        </w:rPr>
        <w:t xml:space="preserve"> em variados graus, repercutindo em múltiplos órgãos e sistemas sob a forma de danos irreversíveis</w:t>
      </w:r>
      <w:r>
        <w:rPr>
          <w:rFonts w:ascii="Arial" w:hAnsi="Arial" w:cs="Arial"/>
          <w:sz w:val="24"/>
        </w:rPr>
        <w:fldChar w:fldCharType="begin" w:fldLock="1"/>
      </w:r>
      <w:r w:rsidR="005C2E82">
        <w:rPr>
          <w:rFonts w:ascii="Arial" w:hAnsi="Arial" w:cs="Arial"/>
          <w:sz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"id" : "ITEM-2", "itemData" : { "DOI" : "10.1186/1546-0096-12-32", "ISSN" : "1546-0096", "PMID" : "25110468", "abstract" : "BACKGROUND: Children with mucopolysaccharidoses (MPS) often have musculoskeletal (MSK) abnormalities. Paediatric Gait, Arms, Legs, and Spine (pGALS), is a simple MSK assessment validated in school-age children to detect abnormal joints. We aimed to identify MSK abnormalities in children with MPS performing pGALS.\\n\\nMETHODS: Videos of children with a spectrum of MPS performing pGALS were analysed. A piloted proforma to record abnormalities for each pGALS manoeuvre observed in the videos (scored as normal/abnormal/not assessable) was used by three observers blinded to MPS subtype. Videos were scored independently and rescored for intra- and inter-observer consistency. Data were pooled and analysed.\\n\\nRESULTS: Eighteen videos of children [12 boys, 6 girls, median age 11 years (4-19)] with MPS (13 type I [5 Hurler, 8 attenuated type I]; 4 type II; 1 mannosidosis) were assessed. The most common abnormalities detected using pGALS were restrictions of the shoulder, elbow, wrist, jaw (&gt;75% cases), and fingers (2/3 cases). Mean intra-observer \u039a 0.74 (range 0.65-0.88) and inter-observer \u039a 0.62 (range 0.51-0.77). Hip manoeuvres were not clearly demonstrated in the videos.\\n\\nCONCLUSIONS: In this observational study, pGALS identifies MSK abnormalities in children with MPS. Restricted joint movement (especially upper limb) was a consistent finding. Future work includes pGALS assessment of the hip and testing pGALS in further children with attenuated MPS type I. The use of pGALS and awareness of patterns of joint involvement may be a useful adjunct to facilitate earlier recognition of these rare conditions and ultimately access to specialist care.", "author" : [ { "dropping-particle" : "", "family" : "Chan", "given" : "Mercedes O", "non-dropping-particle" : "", "parse-names" : false, "suffix" : "" }, { "dropping-particle" : "", "family" : "Sen", "given" : "Ethan S", "non-dropping-particle" : "", "parse-names" : false, "suffix" : "" }, { "dropping-particle" : "", "family" : "Hardy", "given" : "Elizabeth", "non-dropping-particle" : "", "parse-names" : false, "suffix" : "" }, { "dropping-particle" : "", "family" : "Hensman", "given" : "Pauline", "non-dropping-particle" : "", "parse-names" : false, "suffix" : "" }, { "dropping-particle" : "", "family" : "Wraith", "given" : "Edmond", "non-dropping-particle" : "", "parse-names" : false, "suffix" : "" }, { "dropping-particle" : "", "family" : "Jones", "given" : "Simon", "non-dropping-particle" : "", "parse-names" : false, "suffix" : "" }, { "dropping-particle" : "", "family" : "Rapley", "given" : "Tim", "non-dropping-particle" : "", "parse-names" : false, "suffix" : "" }, { "dropping-particle" : "", "family" : "Foster", "given" : "Helen E", "non-dropping-particle" : "", "parse-names" : false, "suffix" : "" } ], "container-title" : "Pediatric rheumatology online journal", "id" : "ITEM-2", "issue" : "32", "issued" : { "date-parts" : [ [ "2014" ] ] }, "page" : "1-9", "title" : "Assessment of musculoskeletal abnormalities in children with mucopolysaccharidoses using pGALS.", "type" : "article-journal", "volume" : "12" }, "uris" : [ "http://www.mendeley.com/documents/?uuid=bdf88c63-89a0-4de5-baa7-b0b8491d126a" ] }, { "id" : "ITEM-3", "itemData" : { "DOI" : "10.1093/rheumatology/ker390", "ISBN" : "1462-0332 (Electronic)\\n1462-0324 (Linking)", "ISSN" : "14620324", "PMID" : "22210670", "abstract" : "The mucopolysaccharidoses (MPSs) often present a diagnostic challenge, particularly for patients who have more slowly progressive disease phenotypes, as early disease manifestations can be subtle or non-specific. However, certain types of bone and joint involvement should always prompt consideration of an MPS diagnosis, such as early joint involvement without classic inflammatory features or erosive bone lesions, claw hand, spinal deformities or dysostosis multiplex. All such patients should be referred to a geneticist or metabolic specialist for diagnostic evaluation. The earlier the diagnosis is made, the better the potential outcome of treatment. Each type of MPS is associated both with deficient activity of a specific lysosomal enzyme that degrades specific glycosaminoglycans (GAGs) and with abnormalities in urinary GAG excretion. MPS patients usually excrete excess GAG in urine and/or have different relative proportions of types of GAG in urine as compared with age-matched normal subjects. Although urinary GAG analyses (both quantitative and qualitative) can suggest the most likely type of MPS, diagnosis must be confirmed by enzyme assay. Multiple assays may be necessary to identify the disease subtype. Correct identification of the MPS type is essential to guide treatment and management decisions.", "author" : [ { "dropping-particle" : "", "family" : "Lehman", "given" : "Thomas J A", "non-dropping-particle" : "", "parse-names" : false, "suffix" : "" }, { "dropping-particle" : "", "family" : "Miller", "given" : "Nicole", "non-dropping-particle" : "", "parse-names" : false, "suffix" : "" }, { "dropping-particle" : "", "family" : "Norquist", "given" : "Becky", "non-dropping-particle" : "", "parse-names" : false, "suffix" : "" }, { "dropping-particle" : "", "family" : "Underhill", "given" : "Lisa", "non-dropping-particle" : "", "parse-names" : false, "suffix" : "" }, { "dropping-particle" : "", "family" : "Keutzer", "given" : "Joan", "non-dropping-particle" : "", "parse-names" : false, "suffix" : "" } ], "container-title" : "Rheumatology", "id" : "ITEM-3", "issue" : "SUPPL. 5", "issued" : { "date-parts" : [ [ "2011" ] ] }, "page" : "41-48", "title" : "Diagnosis of the mucopolysaccharidoses", "type" : "article-journal", "volume" : "50" }, "uris" : [ "http://www.mendeley.com/documents/?uuid=2d68b9fd-2729-4930-b57e-e756814a94b9" ] }, { "id" : "ITEM-4", "itemData" : { "DOI" : "10.1590/S1413-78522013000200009", "ISSN" : "1413-7852", "PMID" : "24453654", "abstract" : "Objective: The aim of this study is to evaluate energy expenditure in gait by mucopolysaccharidosis affected patients by means of a simple and adequate to the clinical environment methodology. Methods: A cross-sectional study was carried out comparing energy expenditure during gait in 19 patients suffering from mucopolysaccharidosis (MPS Group) with 19 asymptomatic control individuals (Control Group). Energy expenditure was measured in calories (cal) using a Polar telemetric watch (model FT7) during a 50 meter walk. Variables such as age, weight, height, body mass index (BMI), initial hart rate, final hart rate, and walking time, were recorded. Results: MPS Group showed a mean energy expenditure during gait of 2.84 cal (\u00b11,01), versus 1.42 cal (\u00b10,51), 100% higher than the Control Group; MPS also presented increased initial hart rate (22% higher), final hart rate (13% higher) and walking time (13% higher). Conclusions: Energy expenditure during gait in MPS patients was two times higher than control individuals; the methodology used showed to be a promising alternative, also adequate to the standard clinical environment.", "author" : [ { "dropping-particle" : "", "family" : "Matos", "given" : "Marcos Almeida", "non-dropping-particle" : "", "parse-names" : false, "suffix" : "" }, { "dropping-particle" : "", "family" : "Prado", "given" : "Andre", "non-dropping-particle" : "", "parse-names" : false, "suffix" : "" }, { "dropping-particle" : "", "family" : "Schenkel", "given" : "Gustavo", "non-dropping-particle" : "", "parse-names" : false, "suffix" : "" }, { "dropping-particle" : "", "family" : "Barreto", "given" : "Rosa", "non-dropping-particle" : "", "parse-names" : false, "suffix" : "" }, { "dropping-particle" : "", "family" : "Acosta", "given" : "Angelina Xavier", "non-dropping-particle" : "", "parse-names" : false, "suffix" : "" } ], "container-title" : "Acta Ortopedica Brasileira", "id" : "ITEM-4", "issue" : "2", "issued" : { "date-parts" : [ [ "2013" ] ] }, "page" : "116-119", "title" : "Energy expenditure during gait in patients with mucopolysaccharidosis", "type" : "article-journal", "volume" : "21" }, "uris" : [ "http://www.mendeley.com/documents/?uuid=3ad0096d-3832-47e5-a785-cf0597fdb2ca" ] } ], "mendeley" : { "formattedCitation" : "&lt;sup&gt;4,7\u20139&lt;/sup&gt;", "plainTextFormattedCitation" : "4,7\u20139", "previouslyFormattedCitation" : "&lt;sup&gt;4,7\u20139&lt;/sup&gt;" }, "properties" : { "noteIndex" : 0 }, "schema" : "https://github.com/citation-style-language/schema/raw/master/csl-citation.json" }</w:instrText>
      </w:r>
      <w:r>
        <w:rPr>
          <w:rFonts w:ascii="Arial" w:hAnsi="Arial" w:cs="Arial"/>
          <w:sz w:val="24"/>
        </w:rPr>
        <w:fldChar w:fldCharType="separate"/>
      </w:r>
      <w:r w:rsidR="001F649C" w:rsidRPr="001F649C">
        <w:rPr>
          <w:rFonts w:ascii="Arial" w:hAnsi="Arial" w:cs="Arial"/>
          <w:noProof/>
          <w:sz w:val="24"/>
          <w:vertAlign w:val="superscript"/>
        </w:rPr>
        <w:t>4,7–9</w:t>
      </w:r>
      <w:r>
        <w:rPr>
          <w:rFonts w:ascii="Arial" w:hAnsi="Arial" w:cs="Arial"/>
          <w:sz w:val="24"/>
        </w:rPr>
        <w:fldChar w:fldCharType="end"/>
      </w:r>
      <w:r>
        <w:rPr>
          <w:rFonts w:ascii="Arial" w:hAnsi="Arial" w:cs="Arial"/>
          <w:sz w:val="24"/>
        </w:rPr>
        <w:t>. As complicações das MPS conduzem os sujeitos acometidos à morbidade grave</w:t>
      </w:r>
      <w:r>
        <w:rPr>
          <w:rFonts w:ascii="Arial" w:hAnsi="Arial" w:cs="Arial"/>
          <w:sz w:val="24"/>
        </w:rPr>
        <w:fldChar w:fldCharType="begin" w:fldLock="1"/>
      </w:r>
      <w:r w:rsidR="005C2E82">
        <w:rPr>
          <w:rFonts w:ascii="Arial" w:hAnsi="Arial" w:cs="Arial"/>
          <w:sz w:val="24"/>
        </w:rPr>
        <w:instrText>ADDIN CSL_CITATION { "citationItems" : [ { "id" : "ITEM-1", "itemData" : { "DOI" : "10.1186/s13023-016-0503-2", "ISSN" : "1750-1172 (Electronic)", "PMID" : "27561270", "abstract" : "The mucopolysaccharidoses (MPS) comprise a heterogeneous family of rare, genetic lysosomal storage disorders that result in severe morbidity and reduced life expectancy. Emerging treatments for several of these disorders have triggered the search for clinically relevant biomarkers and clinical markers associated with treatment efficacy in populations and individuals. However, biomedical measures do not tell the whole story when characterizing a complex chronic disorder such as MPS. Health-related quality of life (HRQoL) tools that utilize patient reported outcomes to address patient parameters such as symptoms (pain, fatigue, psychological health), functioning (activity and limitations), or quality of life, have been used to supplement traditional biomedical endpoints. Many of these HRQoL tools have demonstrated that quality of life is negatively impacted in patients with MPS. There is both the opportunity and need to formally standardize and validate HRQoL tools for the different MPS disorders.", "author" : [ { "dropping-particle" : "", "family" : "Hendriksz", "given" : "Christian J", "non-dropping-particle" : "", "parse-names" : false, "suffix" : "" }, { "dropping-particle" : "", "family" : "Berger", "given" : "Kenneth I", "non-dropping-particle" : "", "parse-names" : false, "suffix" : "" }, { "dropping-particle" : "", "family" : "Lampe", "given" : "Christina", "non-dropping-particle" : "", "parse-names" : false, "suffix" : "" }, { "dropping-particle" : "", "family" : "Kircher", "given" : "Susanne G", "non-dropping-particle" : "", "parse-names" : false, "suffix" : "" }, { "dropping-particle" : "", "family" : "Orchard", "given" : "Paul J", "non-dropping-particle" : "", "parse-names" : false, "suffix" : "" }, { "dropping-particle" : "", "family" : "Southall", "given" : "Rebecca", "non-dropping-particle" : "", "parse-names" : false, "suffix" : "" }, { "dropping-particle" : "", "family" : "Long", "given" : "Sarah", "non-dropping-particle" : "", "parse-names" : false, "suffix" : "" }, { "dropping-particle" : "", "family" : "Sande", "given" : "Stephen", "non-dropping-particle" : "", "parse-names" : false, "suffix" : "" }, { "dropping-particle" : "", "family" : "Gold", "given" : "Jeffrey I", "non-dropping-particle" : "", "parse-names" : false, "suffix" : "" } ], "container-title" : "Orphanet Journal of Rare Diseases", "id" : "ITEM-1", "issue" : "119", "issued" : { "date-parts" : [ [ "2016" ] ] }, "page" : "1-15", "title" : "Health-related quality of life in mucopolysaccharidosis: looking beyond biomedical issues", "type" : "article-journal", "volume" : "11" }, "uris" : [ "http://www.mendeley.com/documents/?uuid=e0a666de-3614-31b7-b842-57e2b6e5c374" ] } ], "mendeley" : { "formattedCitation" : "&lt;sup&gt;10&lt;/sup&gt;", "plainTextFormattedCitation" : "10", "previouslyFormattedCitation" : "&lt;sup&gt;10&lt;/sup&gt;" }, "properties" : { "noteIndex" : 0 }, "schema" : "https://github.com/citation-style-language/schema/raw/master/csl-citation.json" }</w:instrText>
      </w:r>
      <w:r>
        <w:rPr>
          <w:rFonts w:ascii="Arial" w:hAnsi="Arial" w:cs="Arial"/>
          <w:sz w:val="24"/>
        </w:rPr>
        <w:fldChar w:fldCharType="separate"/>
      </w:r>
      <w:r w:rsidR="001F649C" w:rsidRPr="001F649C">
        <w:rPr>
          <w:rFonts w:ascii="Arial" w:hAnsi="Arial" w:cs="Arial"/>
          <w:noProof/>
          <w:sz w:val="24"/>
          <w:vertAlign w:val="superscript"/>
        </w:rPr>
        <w:t>10</w:t>
      </w:r>
      <w:r>
        <w:rPr>
          <w:rFonts w:ascii="Arial" w:hAnsi="Arial" w:cs="Arial"/>
          <w:sz w:val="24"/>
        </w:rPr>
        <w:fldChar w:fldCharType="end"/>
      </w:r>
      <w:r>
        <w:rPr>
          <w:rFonts w:ascii="Arial" w:hAnsi="Arial" w:cs="Arial"/>
          <w:sz w:val="24"/>
        </w:rPr>
        <w:t xml:space="preserve"> e expectativa de vida reduzida</w:t>
      </w:r>
      <w:r>
        <w:rPr>
          <w:rFonts w:ascii="Arial" w:hAnsi="Arial" w:cs="Arial"/>
          <w:sz w:val="24"/>
        </w:rPr>
        <w:fldChar w:fldCharType="begin" w:fldLock="1"/>
      </w:r>
      <w:r w:rsidR="005C2E82">
        <w:rPr>
          <w:rFonts w:ascii="Arial" w:hAnsi="Arial" w:cs="Arial"/>
          <w:sz w:val="24"/>
        </w:rPr>
        <w:instrText>ADDIN CSL_CITATION { "citationItems" : [ { "id" : "ITEM-1", "itemData" : { "DOI" : "10.1186/s13023-016-0503-2", "ISSN" : "1750-1172 (Electronic)", "PMID" : "27561270", "abstract" : "The mucopolysaccharidoses (MPS) comprise a heterogeneous family of rare, genetic lysosomal storage disorders that result in severe morbidity and reduced life expectancy. Emerging treatments for several of these disorders have triggered the search for clinically relevant biomarkers and clinical markers associated with treatment efficacy in populations and individuals. However, biomedical measures do not tell the whole story when characterizing a complex chronic disorder such as MPS. Health-related quality of life (HRQoL) tools that utilize patient reported outcomes to address patient parameters such as symptoms (pain, fatigue, psychological health), functioning (activity and limitations), or quality of life, have been used to supplement traditional biomedical endpoints. Many of these HRQoL tools have demonstrated that quality of life is negatively impacted in patients with MPS. There is both the opportunity and need to formally standardize and validate HRQoL tools for the different MPS disorders.", "author" : [ { "dropping-particle" : "", "family" : "Hendriksz", "given" : "Christian J", "non-dropping-particle" : "", "parse-names" : false, "suffix" : "" }, { "dropping-particle" : "", "family" : "Berger", "given" : "Kenneth I", "non-dropping-particle" : "", "parse-names" : false, "suffix" : "" }, { "dropping-particle" : "", "family" : "Lampe", "given" : "Christina", "non-dropping-particle" : "", "parse-names" : false, "suffix" : "" }, { "dropping-particle" : "", "family" : "Kircher", "given" : "Susanne G", "non-dropping-particle" : "", "parse-names" : false, "suffix" : "" }, { "dropping-particle" : "", "family" : "Orchard", "given" : "Paul J", "non-dropping-particle" : "", "parse-names" : false, "suffix" : "" }, { "dropping-particle" : "", "family" : "Southall", "given" : "Rebecca", "non-dropping-particle" : "", "parse-names" : false, "suffix" : "" }, { "dropping-particle" : "", "family" : "Long", "given" : "Sarah", "non-dropping-particle" : "", "parse-names" : false, "suffix" : "" }, { "dropping-particle" : "", "family" : "Sande", "given" : "Stephen", "non-dropping-particle" : "", "parse-names" : false, "suffix" : "" }, { "dropping-particle" : "", "family" : "Gold", "given" : "Jeffrey I", "non-dropping-particle" : "", "parse-names" : false, "suffix" : "" } ], "container-title" : "Orphanet Journal of Rare Diseases", "id" : "ITEM-1", "issue" : "119", "issued" : { "date-parts" : [ [ "2016" ] ] }, "page" : "1-15", "title" : "Health-related quality of life in mucopolysaccharidosis: looking beyond biomedical issues", "type" : "article-journal", "volume" : "11" }, "uris" : [ "http://www.mendeley.com/documents/?uuid=e0a666de-3614-31b7-b842-57e2b6e5c374" ] }, { "id" : "ITEM-2",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"ITEM-2", "issue" : "SUPPL. 5", "issued" : { "date-parts" : [ [ "2011" ] ] }, "page" : "4-12", "title" : "Overview of the mucopolysaccharidoses", "type" : "article-journal", "volume" : "50" }, "uris" : [ "http://www.mendeley.com/documents/?uuid=ef31dc0e-37ce-466a-9441-79a35f9139e5" ] } ], "mendeley" : { "formattedCitation" : "&lt;sup&gt;4,10&lt;/sup&gt;", "plainTextFormattedCitation" : "4,10", "previouslyFormattedCitation" : "&lt;sup&gt;4,10&lt;/sup&gt;" }, "properties" : { "noteIndex" : 0 }, "schema" : "https://github.com/citation-style-language/schema/raw/master/csl-citation.json" }</w:instrText>
      </w:r>
      <w:r>
        <w:rPr>
          <w:rFonts w:ascii="Arial" w:hAnsi="Arial" w:cs="Arial"/>
          <w:sz w:val="24"/>
        </w:rPr>
        <w:fldChar w:fldCharType="separate"/>
      </w:r>
      <w:r w:rsidR="001F649C" w:rsidRPr="001F649C">
        <w:rPr>
          <w:rFonts w:ascii="Arial" w:hAnsi="Arial" w:cs="Arial"/>
          <w:noProof/>
          <w:sz w:val="24"/>
          <w:vertAlign w:val="superscript"/>
        </w:rPr>
        <w:t>4,10</w:t>
      </w:r>
      <w:r>
        <w:rPr>
          <w:rFonts w:ascii="Arial" w:hAnsi="Arial" w:cs="Arial"/>
          <w:sz w:val="24"/>
        </w:rPr>
        <w:fldChar w:fldCharType="end"/>
      </w:r>
      <w:r>
        <w:rPr>
          <w:rFonts w:ascii="Arial" w:hAnsi="Arial" w:cs="Arial"/>
          <w:sz w:val="24"/>
        </w:rPr>
        <w:t xml:space="preserve">, além de condicioná-los à necessidade constante de </w:t>
      </w:r>
      <w:r w:rsidR="00074FFB">
        <w:rPr>
          <w:rFonts w:ascii="Arial" w:hAnsi="Arial" w:cs="Arial"/>
          <w:sz w:val="24"/>
        </w:rPr>
        <w:t>utilização de</w:t>
      </w:r>
      <w:r>
        <w:rPr>
          <w:rFonts w:ascii="Arial" w:hAnsi="Arial" w:cs="Arial"/>
          <w:sz w:val="24"/>
        </w:rPr>
        <w:t xml:space="preserve"> serviços de saúde</w:t>
      </w:r>
      <w:r>
        <w:rPr>
          <w:rFonts w:ascii="Arial" w:hAnsi="Arial" w:cs="Arial"/>
          <w:sz w:val="24"/>
        </w:rPr>
        <w:fldChar w:fldCharType="begin" w:fldLock="1"/>
      </w:r>
      <w:r w:rsidR="005C2E82">
        <w:rPr>
          <w:rFonts w:ascii="Arial" w:hAnsi="Arial" w:cs="Arial"/>
          <w:sz w:val="24"/>
        </w:rPr>
        <w:instrText>ADDIN CSL_CITATION { "citationItems" : [ { "id" : "ITEM-1", "itemData" : { "DOI" : "10.1007/s10897-014-9791-7", "ISBN" : "1059-7700", "ISSN" : "15733599", "PMID" : "25395377", "abstract" : "Mucopolysaccharidosis type II (MPS II), also known as Hunter syndrome, is a chronic and progressive X-linked lysosomal disease that mainly affects males. The National MPS Society (2013) reports that MPS II affects 1 in 100,000 to 1 in 150,000 males worldwide. Two distinct forms of the disease are based on age of onset and clinical course: attenuated and severe. MPS II affects many organ systems including the nervous, cardiovascular, gastrointestinal and respiratory systems. Clinical manifestations can include progressive hearing loss, mental impairment, and enlarged liver and spleen. This study focuses on the health-related quality of life of individuals (HRQOL) with MPS II as measured by the parent and self-report versions of the Pediatric Quality of Life Inventory (PedsQL\u2122). Both parents of patients with MPS II as well as patients themselves reported lower scores on all domains of the PedsQL\u2122 (physical, emotional, social and school functioning) indicating that children with MPS II have an overall lower HRQOL when compared to a healthy sample. When compared with patients with other chronic illnesses (cancer, MSUD, galactosemia,), the MPS II sample had significantly lower scores on a number of PedsQL\u2122 scales, suggesting an overall lower HRQOL. No significant relationships were found using scores from parent or self report PedsQL\u2122 measures and length of time on ERT.", "author" : [ { "dropping-particle" : "", "family" : "Needham", "given" : "Mary", "non-dropping-particle" : "", "parse-names" : false, "suffix" : "" }, { "dropping-particle" : "", "family" : "Packman", "given" : "Wendy", "non-dropping-particle" : "", "parse-names" : false, "suffix" : "" }, { "dropping-particle" : "", "family" : "Quinn", "given" : "Natasha", "non-dropping-particle" : "", "parse-names" : false, "suffix" : "" }, { "dropping-particle" : "", "family" : "Rappoport", "given" : "Maxwell", "non-dropping-particle" : "", "parse-names" : false, "suffix" : "" }, { "dropping-particle" : "", "family" : "Aoki", "given" : "Christa", "non-dropping-particle" : "", "parse-names" : false, "suffix" : "" }, { "dropping-particle" : "", "family" : "Bostrom", "given" : "Alan", "non-dropping-particle" : "", "parse-names" : false, "suffix" : "" }, { "dropping-particle" : "", "family" : "Cordova", "given" : "Matthew", "non-dropping-particle" : "", "parse-names" : false, "suffix" : "" }, { "dropping-particle" : "", "family" : "Macias", "given" : "Sandra", "non-dropping-particle" : "", "parse-names" : false, "suffix" : "" }, { "dropping-particle" : "", "family" : "Morgan", "given" : "Cynthia", "non-dropping-particle" : "", "parse-names" : false, "suffix" : "" }, { "dropping-particle" : "", "family" : "Packman", "given" : "Seymour", "non-dropping-particle" : "", "parse-names" : false, "suffix" : "" } ], "container-title" : "Journal of Genetic Counseling", "id" : "ITEM-1", "issue" : "4", "issued" : { "date-parts" : [ [ "2015" ] ] }, "page" : "635-644", "title" : "Health-Related Quality of Life in Patients with MPS II", "type" : "article-journal", "volume" : "24" }, "uris" : [ "http://www.mendeley.com/documents/?uuid=c0f32ae7-7e62-41cc-a7ba-47d4f03fda28" ] }, { "id" : "ITEM-2", "itemData" : { "DOI" : "10.1186/s13023-015-0259-0", "ISBN" : "10.1186/s13023-015-0259-0", "ISSN" : "1750-1172", "PMID" : "25887606", "abstract" : "BACKGROUND Mucopolysaccharidosis II (MPS II) is associated with a broad spectrum of chronic and progressive, life-limiting symptoms. Idursulfase is approved for MPS II enzyme replacement therapy (ERT) in over 50 countries. This retrospective study evaluated the MPS II burden, organization of clinical care, and effects of idursulfase treatment on the disease in France. METHODS MPS II patients who had received idursulfase ERT in the French healthcare system were enrolled. In addition to clinician and patient questionnaires, the Clinical Global Impression-Improvement (CGI-I); Patient Global Impression-Improvement (PGI-I); KIDSCREEN-27, and EuroQoL-5D for adult patients scales were used to assess quality of life (QoL) and efficacy. RESULTS Fifty-two patients were enrolled from 5 sites in France. The majority of patients (69.2%) presented a severe MPS II phenotype with progressive neurocognitive impairment. Major impacts on QoL were apparent, with at least 1 member of the family having to reorganize working hours (45.5%) or to stop working (22.7%). KIDSCREEN-27 and EuroQoL-5D scale scores were well below those for referent (control) populations. Most families (70.0%) experienced a diagnostic delay of at least 3 years after the initial observation of symptoms. The MPS II diagnosis was often delivered without adequate sensitivity, psychological support, or comprehensive information about the disease. The study population had received a mean of 3.8 \u00b1 1.3 years ERT. Forty-four percent of patients with the attenuated phenotype (without progressive neurocognitive impairment) showed symptom improvement during both the first year (Period 1) and from the end of the first year of treatment to \"the present\" (Period 2), as measured by CGI-I/PGI-I. 30.3% and 9.1% of severe patients experienced symptom improvement during Periods 1 and 2, respectively, while 63.6% and 51.5% displayed no change. The most common adverse reactions reported were skin rash and other infusion-associated reactions. CONCLUSIONS MPS II adversely affects multiple domains of QoL for patients and families, requiring multiple healthcare services and social aid programs. The majority of patients with either phenotype experienced either improvement or stability in their symptoms during the first year of ERT, but this was clearly less so for patients with the severe phenotype after the first year of treatment.", "author" : [ { "dropping-particle" : "", "family" : "Guffon", "given" : "Nathalie", "non-dropping-particle" : "", "parse-names" : false, "suffix" : "" }, { "dropping-particle" : "", "family" : "Heron", "given" : "B\u00e9n\u00e9dicte", "non-dropping-particle" : "", "parse-names" : false, "suffix" : "" }, { "dropping-particle" : "", "family" : "Chabrol", "given" : "Brigitte", "non-dropping-particle" : "", "parse-names" : false, "suffix" : "" }, { "dropping-particle" : "", "family" : "Feillet", "given" : "Fran\u00e7ois", "non-dropping-particle" : "", "parse-names" : false, "suffix" : "" }, { "dropping-particle" : "", "family" : "Montauban", "given" : "Vincent", "non-dropping-particle" : "", "parse-names" : false, "suffix" : "" }, { "dropping-particle" : "", "family" : "Valayannopoulos", "given" : "Vassili", "non-dropping-particle" : "", "parse-names" : false, "suffix" : "" } ], "container-title" : "Orphanet journal of rare diseases", "id" : "ITEM-2", "issue" : "43", "issued" : { "date-parts" : [ [ "2015" ] ] }, "publisher" : "???", "title" : "Diagnosis, quality of life, and treatment of patients with Hunter syndrome in the French healthcare system: a retrospective observational study.", "type" : "article-journal", "volume" : "10" }, "uris" : [ "http://www.mendeley.com/documents/?uuid=7d43bfd9-e953-42f1-b69f-17eb703a5d3e" ] } ], "mendeley" : { "formattedCitation" : "&lt;sup&gt;11,12&lt;/sup&gt;", "plainTextFormattedCitation" : "11,12", "previouslyFormattedCitation" : "&lt;sup&gt;11,12&lt;/sup&gt;" }, "properties" : { "noteIndex" : 0 }, "schema" : "https://github.com/citation-style-language/schema/raw/master/csl-citation.json" }</w:instrText>
      </w:r>
      <w:r>
        <w:rPr>
          <w:rFonts w:ascii="Arial" w:hAnsi="Arial" w:cs="Arial"/>
          <w:sz w:val="24"/>
        </w:rPr>
        <w:fldChar w:fldCharType="separate"/>
      </w:r>
      <w:r w:rsidR="001F649C" w:rsidRPr="001F649C">
        <w:rPr>
          <w:rFonts w:ascii="Arial" w:hAnsi="Arial" w:cs="Arial"/>
          <w:noProof/>
          <w:sz w:val="24"/>
          <w:vertAlign w:val="superscript"/>
        </w:rPr>
        <w:t>11,12</w:t>
      </w:r>
      <w:r>
        <w:rPr>
          <w:rFonts w:ascii="Arial" w:hAnsi="Arial" w:cs="Arial"/>
          <w:sz w:val="24"/>
        </w:rPr>
        <w:fldChar w:fldCharType="end"/>
      </w:r>
      <w:r>
        <w:rPr>
          <w:rFonts w:ascii="Arial" w:hAnsi="Arial" w:cs="Arial"/>
          <w:sz w:val="24"/>
        </w:rPr>
        <w:t>, o que promove significativo sofrimento humano e impacta negativamente na independência funcional e na qualidade de vida</w:t>
      </w:r>
      <w:r w:rsidR="00FA29C4">
        <w:rPr>
          <w:rFonts w:ascii="Arial" w:hAnsi="Arial" w:cs="Arial"/>
          <w:sz w:val="24"/>
        </w:rPr>
        <w:t xml:space="preserve"> (QV)</w:t>
      </w:r>
      <w:r w:rsidR="003545D1">
        <w:rPr>
          <w:rFonts w:ascii="Arial" w:hAnsi="Arial" w:cs="Arial"/>
          <w:sz w:val="24"/>
        </w:rPr>
        <w:t xml:space="preserve"> </w:t>
      </w:r>
      <w:r>
        <w:rPr>
          <w:rFonts w:ascii="Arial" w:hAnsi="Arial" w:cs="Arial"/>
          <w:sz w:val="24"/>
        </w:rPr>
        <w:t>destes indivíduos</w:t>
      </w:r>
      <w:r>
        <w:rPr>
          <w:rFonts w:ascii="Arial" w:hAnsi="Arial" w:cs="Arial"/>
          <w:sz w:val="24"/>
        </w:rPr>
        <w:fldChar w:fldCharType="begin" w:fldLock="1"/>
      </w:r>
      <w:r w:rsidR="005C2E82">
        <w:rPr>
          <w:rFonts w:ascii="Arial" w:hAnsi="Arial" w:cs="Arial"/>
          <w:sz w:val="24"/>
        </w:rPr>
        <w:instrText>ADDIN CSL_CITATION { "citationItems" : [ { "id" : "ITEM-1", "itemData" : { "DOI" : "10.1016/j.ymgmr.2016.03.005", "ISSN" : "22144269", "PMID" : "27114914", "abstract" : "Objectives The behavioral, adaptive and quality of life characteristics of attenuated mucopolysaccharidosis type II (MPS II) have not been well studied. Understanding changes over time in the attenuated phenotype may assist in helping achieve better outcomes in long-term function. This longitudinal study investigates these outcomes in relation to age, somatic disease burden, and IQ. Specifically, somatic disease burden is a major challenge for these patients, even with treatment with enzyme replacement therapy. Methods 15 patients, 10 between ages 6 and &lt; 12 and 5 between ages ??? 12 and 18, were selected who had at least 2 yearly visits. The occurrence of physical signs, the Physical Symptom Score, and IQ in these two groups was studied as well as the longitudinal association of age with standardized measures of quality of life, adaptive function, and behavioral symptoms as rated by parents and the child's self-report. Slopes by age across and within patients were calculated for these measures. Results All but one child had hearing loss, most had joint contractures and short stature. Somatic disease burden increased with age. IQ, although normal for most, also improved with age in those under 12 years of age. Physical quality of life decreased while psychosocial quality of life increased with age. Although other adaptive skills were in the broad average range, daily living skills were low at baseline relative to normative data and decreased over time. Behavior ratings indicated improvement in attention and hyperactivity over time. No patient had severe psychopathology, but older children reported an increasing sense of inadequacy and low self-esteem on self-report, presumably due to increasing awareness of differences from peers over time. Conclusions Attenuated MPS II patients have increasing somatic disease burden and poor physical quality of life as they develop as well as decreasing self-esteem and sense of adequacy. Psychosocial quality of life, adaptive skills, and attention improve. Recognition of and intervention around these issues will be beneficial to MPS II attenuated patients who have the resources to use such assistance to improve their long-term outcomes.", "author" : [ { "dropping-particle" : "", "family" : "Shapiro", "given" : "Elsa G.", "non-dropping-particle" : "", "parse-names" : false, "suffix" : "" }, { "dropping-particle" : "", "family" : "Rudser", "given" : "Kyle", "non-dropping-particle" : "", "parse-names" : false, "suffix" : "" }, { "dropping-particle" : "", "family" : "Ahmed", "given" : "Alia", "non-dropping-particle" : "", "parse-names" : false, "suffix" : "" }, { "dropping-particle" : "", "family" : "Steiner", "given" : "Robert D.", "non-dropping-particle" : "", "parse-names" : false, "suffix" : "" }, { "dropping-particle" : "", "family" : "Delaney", "given" : "Kathleen A.", "non-dropping-particle" : "", "parse-names" : false, "suffix" : "" }, { "dropping-particle" : "", "family" : "Yund", "given" : "Brianna", "non-dropping-particle" : "", "parse-names" : false, "suffix" : "" }, { "dropping-particle" : "", "family" : "King", "given" : "Kelly", "non-dropping-particle" : "", "parse-names" : false, "suffix" : "" }, { "dropping-particle" : "", "family" : "Kunin-Batson", "given" : "Alicia", "non-dropping-particle" : "", "parse-names" : false, "suffix" : "" }, { "dropping-particle" : "", "family" : "Eisengart", "given" : "Julie", "non-dropping-particle" : "", "parse-names" : false, "suffix" : "" }, { "dropping-particle" : "", "family" : "Whitley", "given" : "Chester B.", "non-dropping-particle" : "", "parse-names" : false, "suffix" : "" } ], "container-title" : "Mol Genet and Metab Rep", "id" : "ITEM-1", "issued" : { "date-parts" : [ [ "2016" ] ] }, "page" : "32-39", "publisher" : "The Authors", "title" : "A longitudinal study of emotional adjustment, quality of life and adaptive function in attenuated MPS II", "type" : "article-journal", "volume" : "7" }, "uris" : [ "http://www.mendeley.com/documents/?uuid=d9dc75ed-36d1-482c-907e-4f291c5b0c45" ] } ], "mendeley" : { "formattedCitation" : "&lt;sup&gt;13&lt;/sup&gt;", "plainTextFormattedCitation" : "13", "previouslyFormattedCitation" : "&lt;sup&gt;13&lt;/sup&gt;" }, "properties" : { "noteIndex" : 0 }, "schema" : "https://github.com/citation-style-language/schema/raw/master/csl-citation.json" }</w:instrText>
      </w:r>
      <w:r>
        <w:rPr>
          <w:rFonts w:ascii="Arial" w:hAnsi="Arial" w:cs="Arial"/>
          <w:sz w:val="24"/>
        </w:rPr>
        <w:fldChar w:fldCharType="separate"/>
      </w:r>
      <w:r w:rsidR="001F649C" w:rsidRPr="001F649C">
        <w:rPr>
          <w:rFonts w:ascii="Arial" w:hAnsi="Arial" w:cs="Arial"/>
          <w:noProof/>
          <w:sz w:val="24"/>
          <w:vertAlign w:val="superscript"/>
        </w:rPr>
        <w:t>13</w:t>
      </w:r>
      <w:r>
        <w:rPr>
          <w:rFonts w:ascii="Arial" w:hAnsi="Arial" w:cs="Arial"/>
          <w:sz w:val="24"/>
        </w:rPr>
        <w:fldChar w:fldCharType="end"/>
      </w:r>
      <w:r w:rsidR="005D52E5">
        <w:rPr>
          <w:rFonts w:ascii="Arial" w:hAnsi="Arial" w:cs="Arial"/>
          <w:sz w:val="24"/>
        </w:rPr>
        <w:t>.</w:t>
      </w:r>
    </w:p>
    <w:p w:rsidR="00571EA0" w:rsidRDefault="00571EA0" w:rsidP="00491682">
      <w:pPr>
        <w:spacing w:after="0" w:line="360" w:lineRule="auto"/>
        <w:jc w:val="both"/>
        <w:rPr>
          <w:rFonts w:ascii="Arial" w:hAnsi="Arial" w:cs="Arial"/>
          <w:sz w:val="24"/>
        </w:rPr>
      </w:pPr>
    </w:p>
    <w:p w:rsidR="003F6C33" w:rsidRDefault="003F6C33" w:rsidP="00491682">
      <w:pPr>
        <w:spacing w:after="0" w:line="360" w:lineRule="auto"/>
        <w:jc w:val="both"/>
        <w:rPr>
          <w:rFonts w:ascii="Arial" w:hAnsi="Arial" w:cs="Arial"/>
          <w:sz w:val="24"/>
        </w:rPr>
      </w:pPr>
      <w:r w:rsidRPr="004202DE">
        <w:rPr>
          <w:rFonts w:ascii="Arial" w:hAnsi="Arial" w:cs="Arial"/>
          <w:sz w:val="24"/>
        </w:rPr>
        <w:t>Existem sete tipos de mucopolissacaridoses</w:t>
      </w:r>
      <w:r>
        <w:rPr>
          <w:rFonts w:ascii="Arial" w:hAnsi="Arial" w:cs="Arial"/>
          <w:sz w:val="24"/>
        </w:rPr>
        <w:t xml:space="preserve"> descritos na literatura</w:t>
      </w:r>
      <w:r w:rsidRPr="004202DE">
        <w:rPr>
          <w:rFonts w:ascii="Arial" w:hAnsi="Arial" w:cs="Arial"/>
          <w:sz w:val="24"/>
        </w:rPr>
        <w:t>, classificados de acordo com o defeito enzimático que as determinam e com base nas manifestações clínicas e progressão da doença. Apesar da variação da incidência quando se conside</w:t>
      </w:r>
      <w:r w:rsidR="00571EA0">
        <w:rPr>
          <w:rFonts w:ascii="Arial" w:hAnsi="Arial" w:cs="Arial"/>
          <w:sz w:val="24"/>
        </w:rPr>
        <w:t>ra os diferentes tipos de MPS, estima-se</w:t>
      </w:r>
      <w:r w:rsidRPr="004202DE">
        <w:rPr>
          <w:rFonts w:ascii="Arial" w:hAnsi="Arial" w:cs="Arial"/>
          <w:sz w:val="24"/>
        </w:rPr>
        <w:t xml:space="preserve"> que a incidência global é de 1,9 a 4,5 casos para cada 100.000 nascidos vivos</w:t>
      </w:r>
      <w:r w:rsidR="00C7749B">
        <w:rPr>
          <w:rFonts w:ascii="Arial" w:hAnsi="Arial" w:cs="Arial"/>
          <w:sz w:val="24"/>
        </w:rPr>
        <w:t>.</w:t>
      </w:r>
      <w:r w:rsidRPr="004202DE">
        <w:rPr>
          <w:rFonts w:ascii="Arial" w:hAnsi="Arial" w:cs="Arial"/>
          <w:sz w:val="24"/>
        </w:rPr>
        <w:fldChar w:fldCharType="begin" w:fldLock="1"/>
      </w:r>
      <w:r w:rsidR="005C2E82">
        <w:rPr>
          <w:rFonts w:ascii="Arial" w:hAnsi="Arial" w:cs="Arial"/>
          <w:sz w:val="24"/>
        </w:rPr>
        <w:instrText>ADDIN CSL_CITATION { "citationItems" : [ { "id" : "ITEM-1", "itemData" : { "DOI" : "10.1002/ajmg.a.32781", "ISBN" : "1552-4825\\r1552-4833", "ISSN" : "15524825", "PMID" : "19396827", "abstract" : "Previous studies on the incidence of the various types of mucopolysaccharidoses (MPS) in different populations have shown considerable variation. However, information regarding the incidence of MPS in the Asian population is lacking. An epidemiological study of the MPS disorders in Taiwan using multiple ascertainment sources was undertaken, and incidences of different types of MPS during the period of 1984-2004 were estimated. We compared our data with previous reports in different populations. The combined birth incidence for all MPS cases was 2.04 per 100,000 live births. MPS II (Hunter syndrome) had the highest calculated birth incidence of 1.07 per 100,000 live births (2.05 per 100,000 male live births), comprising 52% of all MPS cases diagnosed. The birth incidences of MPS I (Hurler syndrome), III (Sanfilippo syndrome), IV (Morquio syndrome), and VI (Maroteaux-Lamy syndrome) were 0.11, 0.39, 0.33, and 0.14 per 100,000 live births, respectively, which accounted for 6%, 19%, 16%, and 7% of all MPS, respectively. No cases of MPS III D (Sanfilippo syndrome type D), MPS IV B (Morquio syndrome type B), MPS VII (Sly syndrome) or MPS IX were ascertained during the study period. Overall incidence of MPS in Taiwan was consistent with that reported in Western populations. However, in contrast to the higher incidence of MPS I in most Western populations, this study showed a higher incidence of MPS II in Taiwan. It remains to be investigated whether this discrepancy is attributed to the under-diagnosis of MPS I in Taiwan or to ethnic differences.", "author" : [ { "dropping-particle" : "", "family" : "Lin", "given" : "Hsiang Yu", "non-dropping-particle" : "", "parse-names" : false, "suffix" : "" }, { "dropping-particle" : "", "family" : "Lin", "given" : "Shuan Pei", "non-dropping-particle" : "", "parse-names" : false, "suffix" : "" }, { "dropping-particle" : "", "family" : "Chuang", "given" : "Chih Kuang", "non-dropping-particle" : "", "parse-names" : false, "suffix" : "" }, { "dropping-particle" : "", "family" : "Niu", "given" : "Dau Ming", "non-dropping-particle" : "", "parse-names" : false, "suffix" : "" }, { "dropping-particle" : "", "family" : "Chen", "given" : "Ming Ren", "non-dropping-particle" : "", "parse-names" : false, "suffix" : "" }, { "dropping-particle" : "", "family" : "Tsai", "given" : "Fuu Jen", "non-dropping-particle" : "", "parse-names" : false, "suffix" : "" }, { "dropping-particle" : "", "family" : "Chao", "given" : "Mei Chyn", "non-dropping-particle" : "", "parse-names" : false, "suffix" : "" }, { "dropping-particle" : "", "family" : "Chiu", "given" : "Pao Ching", "non-dropping-particle" : "", "parse-names" : false, "suffix" : "" }, { "dropping-particle" : "", "family" : "Lin", "given" : "Shio Jean", "non-dropping-particle" : "", "parse-names" : false, "suffix" : "" }, { "dropping-particle" : "", "family" : "Tsai", "given" : "Li Ping", "non-dropping-particle" : "", "parse-names" : false, "suffix" : "" }, { "dropping-particle" : "", "family" : "Hwu", "given" : "Wuh Liang", "non-dropping-particle" : "", "parse-names" : false, "suffix" : "" }, { "dropping-particle" : "", "family" : "Lin", "given" : "Ju Li", "non-dropping-particle" : "", "parse-names" : false, "suffix" : "" } ], "container-title" : "American Journal of Medical Genetics, Part A", "id" : "ITEM-1", "issue" : "5", "issued" : { "date-parts" : [ [ "2009" ] ] }, "page" : "960-964", "title" : "Incidence of the Mucopolysaccharidoses in Taiwan, 1984-2004", "type" : "article-journal", "volume" : "149" }, "uris" : [ "http://www.mendeley.com/documents/?uuid=6d6ecaaf-e772-425e-acc4-4d26d939ee4f" ] }, { "id" : "ITEM-2", "itemData" : { "DOI" : "10.1007/s10545-005-0112-z", "ISBN" : "0141-8955 (Print)", "ISSN" : "01418955", "PMID" : "16435194", "abstract" : "In order to estimate the cumulative incidence rates of the mucopolysaccharidoses (MPS) in Germany, a retrospective epidemiological survey covering the period between 1980 and 1995 was implemented. Multiple ascertainment sources were used to identify affected patients. A prevalence of approximately 0.69 cases per 100,000 births was obtained for MPS I (Hurler phenotype). Within the study period, 4 patients with Hurler/Scheie phenotype and 7 cases with Scheie disease were detected. The cumulative incidence for MPS II (Hunter syndrome) was estimated as 0.64 cases per 100,000 births (1.3 cases per 100,000 male live births); that for MPS III (Sanfilippo syndrome types A, B and C) as 1.57 cases in 100,000 births; that for MPS IV A (Morquio syndrome) as 0.38 cases in 100,000; and that for MPS VI (Maroteaux-Lamy syndrome) as 0.23 cases per 100,000 births. Two cases of MPS IVB (beta-galactosidase deficiency) have been identified, but no patients with MPS VII or MPS IX. A relatively high number of patients with MPS IIIB, MPS IVA and MPS VI were of Turkish origin. The crude rate for all types of mucopolysaccharidoses is approximately 3.53 cases in 100,000 live births. The cumulative incidence pattern of MPS in Germany was compared with the corresponding rates among other industrial nations obtained from recent literature: the crude cumulative rates for all types of mucopolysaccharidoses (3.4-4.5 in 100,000 live births) were similar among all published populations; however, different frequencies of the various forms of MPS were observed.", "author" : [ { "dropping-particle" : "", "family" : "Baehner", "given" : "F.", "non-dropping-particle" : "", "parse-names" : false, "suffix" : "" }, { "dropping-particle" : "", "family" : "Schmiedeskamp", "given" : "C.", "non-dropping-particle" : "", "parse-names" : false, "suffix" : "" }, { "dropping-particle" : "", "family" : "Krummenauer", "given" : "F.", "non-dropping-particle" : "", "parse-names" : false, "suffix" : "" }, { "dropping-particle" : "", "family" : "Miebach", "given" : "E.", "non-dropping-particle" : "", "parse-names" : false, "suffix" : "" }, { "dropping-particle" : "", "family" : "Bajbouj", "given" : "M.", "non-dropping-particle" : "", "parse-names" : false, "suffix" : "" }, { "dropping-particle" : "", "family" : "Whybra", "given" : "C.", "non-dropping-particle" : "", "parse-names" : false, "suffix" : "" }, { "dropping-particle" : "", "family" : "Kohlsch\u00fctter", "given" : "A.", "non-dropping-particle" : "", "parse-names" : false, "suffix" : "" }, { "dropping-particle" : "", "family" : "Kampmann", "given" : "C.", "non-dropping-particle" : "", "parse-names" : false, "suffix" : "" }, { "dropping-particle" : "", "family" : "Beck", "given" : "M.", "non-dropping-particle" : "", "parse-names" : false, "suffix" : "" } ], "container-title" : "Journal of Inherited Metabolic Disease", "id" : "ITEM-2", "issue" : "6", "issued" : { "date-parts" : [ [ "2005" ] ] }, "page" : "1011-1017", "title" : "Cumulative incidence rates of the mucopolysaccharidoses in Germany", "type" : "article-journal", "volume" : "28" }, "uris" : [ "http://www.mendeley.com/documents/?uuid=1ed05213-105b-4d72-afb6-b8f9975164b4" ] }, { "id" : "ITEM-3", "itemData" : { "abstract" : "Objective. To determine how many chil-dren with specific types of inborn errors of metabolism are born each year in British Columbia, Canada. This population provides a relatively unique setting for col-lection of accurate and uniform incidence data because the diagnoses are all made through one laboratory in a population with universal access to government-funded medical care. Methodology. We used the records of the Biochemical Diseases Laboratory, Children's Hospital, Vancouver (the central referral point for all metabolic diagnoses in British Columbia) to identify all patients diagnosed with the metabolic diseases defined below. We obtained inci-dence figures by including only the children diagnosed with the diseases covered in this article who were con-firmed as having been born within the province for the years 1969 to 1996. The diseases covered were diseases of amino acids, organic acids, the urea cycle, galactosemia, primary lactic acidoses, glycogen storage diseases, lyso-somal storage diseases, and diseases involving specifi-cally peroxisomal and mitochondrial respiratory chain dysfunction. Because the technology needed for diagno-sis of specific disease groups was in place at different times our data for the different disease groups corre-spond to different time frames. We have also adjusted the time frames used to allow for the likelihood that some diseases may not come to medical attention for some time after birth. For instance the incidence of amino acid diseases was assessed throughout the whole of this time frame but the incidence of peroxisomal diseases was restricted to 1984 to 1996 because this was the time frame during which the technology needed for diagnosis was in place and reliable. Most disease group statistics included at least 400 000 births. Results. The overall minimum incidence of the met-abolic diseases surveyed in children born in British Co-lumbia is \u03f340 cases per 100 000 live births. This includes phenylketonuria (PKU) and galactosemia which are de-tected by a newborn screening program. Metabolic dis-eases, which were not screened for at birth, ie, those with PKU and galactosemia subtracted from the total, have a minimal incidence of \u03f330 cases per 100 000 live births. This diagnostic dilemma group would present to pedia-tricians for diagnosis. Not all metabolic diseases have been surveyed and our data are restricted to the follow-ing metabolic disease groups. Approximately 24 children per 100 000 births (\u03f360% of the tot\u2026", "author" : [ { "dropping-particle" : "", "family" : "Applegarth", "given" : "Derek A", "non-dropping-particle" : "", "parse-names" : false, "suffix" : "" }, { "dropping-particle" : "", "family" : "Toone", "given" : "Jennifer R", "non-dropping-particle" : "", "parse-names" : false, "suffix" : "" }, { "dropping-particle" : "", "family" : "Lowry", "given" : "R Brian", "non-dropping-particle" : "", "parse-names" : false, "suffix" : "" }, { "dropping-particle" : "", "family" : "Frcp", "given" : "C", "non-dropping-particle" : "", "parse-names" : false, "suffix" : "" } ], "container-title" : "Pediatrics", "id" : "ITEM-3", "issue" : "1", "issued" : { "date-parts" : [ [ "2000" ] ] }, "page" : "1-6", "title" : "Incidence of Inborn Errors of Metabolism in British Columbia , 1969 \u2013 1996", "type" : "article-journal", "volume" : "105" }, "uris" : [ "http://www.mendeley.com/documents/?uuid=eb9d35c7-859b-48bc-b1ce-73aa7b3775a4" ] }, { "id" : "ITEM-4", "itemData" : { "DOI" : "10.1007/s004399900075", "ISBN" : "0340-6717 (Print)\\r0340-6717 (Linking)", "ISSN" : "03406717", "PMID" : "10480370", "abstract" : "We have calculated the relative frequency and the birth prevalence of lysosomal storage diseases (LSDs) in The Netherlands based on all 963 enzymatically confirmed cases diagnosed during the period 1970-1996. The combined birth prevalence for all LSDs is 14 per 100,000 live births. Glycogenosis type II is the most frequent LSD with a birth prevalence of 2.0 per 100,000 live births, representing 17% of all diagnosed cases. Within the group of lipidoses, metachromatic leukodystrophy (MLD) is the most frequent LSD. MLD was diagnosed in 24% of lipidoses and the calculated birth prevalence was 1.42 per 100,000 for all types combined. Krabbe disease, diagnosed in 17% of cases, also belongs to the more frequent lipid storage diseases in The Netherlands with a birth prevalence of 1.35 per 100,000. The birth prevalence of Gaucher disease, commonly regarded as the most frequent lipid storage disease is 1.16 per 100,000 for all types combined. The combined birth prevalence for all lipid storage diseases is 6.2 per 100,000 live births. Within the group of mucopolysaccharidoses (MPSs), MPS I has the highest calculated birth prevalence of 1.19 per 100,000 (25% of all cases of MPS diagnosed), which is slightly more frequent than MPS IIIA with an estimated birth prevalence of 1.16 per 100,000. As a group, MPS III comprises 47% of all MPS cases diagnosed and the combined birth prevalence is 1.89 per 100,000 live births. The birth prevalence of MPS II is 0.67 per 100,000 (1.30 per 100,000 male live births). All other MPSs are rare. The combined birth prevalence for all MPSs is 4.5 per 100,000 live births. Mucolipidoses and oligosaccharidoses are very rare with birth prevalences between 0.04 and 0.20 for individual diseases. Only 49 cases were diagnosed between 1970 and 1996. Their combined birth prevalence is 1.0 per 100,000 live births.", "author" : [ { "dropping-particle" : "", "family" : "Poorthuis", "given" : "B. J H M", "non-dropping-particle" : "", "parse-names" : false, "suffix" : "" }, { "dropping-particle" : "", "family" : "Wevers", "given" : "Ron A.", "non-dropping-particle" : "", "parse-names" : false, "suffix" : "" }, { "dropping-particle" : "", "family" : "Kleijer", "given" : "Wim J.", "non-dropping-particle" : "", "parse-names" : false, "suffix" : "" }, { "dropping-particle" : "", "family" : "Groener", "given" : "J. E M", "non-dropping-particle" : "", "parse-names" : false, "suffix" : "" }, { "dropping-particle" : "", "family" : "Jong", "given" : "J. G N", "non-dropping-particle" : "De", "parse-names" : false, "suffix" : "" }, { "dropping-particle" : "", "family" : "Weely", "given" : "Sonja", "non-dropping-particle" : "Van", "parse-names" : false, "suffix" : "" }, { "dropping-particle" : "", "family" : "Niezen-Koning", "given" : "Klary E.", "non-dropping-particle" : "", "parse-names" : false, "suffix" : "" }, { "dropping-particle" : "", "family" : "Diggelen", "given" : "Otto P.", "non-dropping-particle" : "Van", "parse-names" : false, "suffix" : "" } ], "container-title" : "Human Genetics", "id" : "ITEM-4", "issue" : "1-2", "issued" : { "date-parts" : [ [ "1999" ] ] }, "page" : "151-156", "title" : "The frequency of lysosomal storage diseases in The Netherlands", "type" : "article-journal", "volume" : "105" }, "uris" : [ "http://www.mendeley.com/documents/?uuid=6fa0806d-61b7-47d1-9109-bf7a7476e662" ] } ], "mendeley" : { "formattedCitation" : "&lt;sup&gt;14\u201317&lt;/sup&gt;", "plainTextFormattedCitation" : "14\u201317", "previouslyFormattedCitation" : "&lt;sup&gt;14\u201317&lt;/sup&gt;" }, "properties" : { "noteIndex" : 0 }, "schema" : "https://github.com/citation-style-language/schema/raw/master/csl-citation.json" }</w:instrText>
      </w:r>
      <w:r w:rsidRPr="004202DE">
        <w:rPr>
          <w:rFonts w:ascii="Arial" w:hAnsi="Arial" w:cs="Arial"/>
          <w:sz w:val="24"/>
        </w:rPr>
        <w:fldChar w:fldCharType="separate"/>
      </w:r>
      <w:r w:rsidR="001F649C" w:rsidRPr="001F649C">
        <w:rPr>
          <w:rFonts w:ascii="Arial" w:hAnsi="Arial" w:cs="Arial"/>
          <w:noProof/>
          <w:sz w:val="24"/>
          <w:vertAlign w:val="superscript"/>
        </w:rPr>
        <w:t>14–17</w:t>
      </w:r>
      <w:r w:rsidRPr="004202DE">
        <w:rPr>
          <w:rFonts w:ascii="Arial" w:hAnsi="Arial" w:cs="Arial"/>
          <w:sz w:val="24"/>
        </w:rPr>
        <w:fldChar w:fldCharType="end"/>
      </w:r>
      <w:r>
        <w:rPr>
          <w:rFonts w:ascii="Arial" w:hAnsi="Arial" w:cs="Arial"/>
          <w:sz w:val="24"/>
        </w:rPr>
        <w:t xml:space="preserve"> Na Bahia</w:t>
      </w:r>
      <w:r w:rsidRPr="004202DE">
        <w:rPr>
          <w:rFonts w:ascii="Arial" w:hAnsi="Arial" w:cs="Arial"/>
          <w:sz w:val="24"/>
        </w:rPr>
        <w:t xml:space="preserve"> </w:t>
      </w:r>
      <w:r w:rsidR="00727A6F">
        <w:rPr>
          <w:rFonts w:ascii="Arial" w:hAnsi="Arial" w:cs="Arial"/>
          <w:sz w:val="24"/>
        </w:rPr>
        <w:t>estão</w:t>
      </w:r>
      <w:r w:rsidRPr="004202DE">
        <w:rPr>
          <w:rFonts w:ascii="Arial" w:hAnsi="Arial" w:cs="Arial"/>
          <w:sz w:val="24"/>
        </w:rPr>
        <w:t xml:space="preserve"> catalogados cerca de 40 pacientes acometidos por MPS</w:t>
      </w:r>
      <w:r w:rsidR="00727A6F">
        <w:rPr>
          <w:rFonts w:ascii="Arial" w:hAnsi="Arial" w:cs="Arial"/>
          <w:sz w:val="24"/>
        </w:rPr>
        <w:t xml:space="preserve"> em tratamento</w:t>
      </w:r>
      <w:r w:rsidR="00A703C9">
        <w:rPr>
          <w:rFonts w:ascii="Arial" w:hAnsi="Arial" w:cs="Arial"/>
          <w:sz w:val="24"/>
        </w:rPr>
        <w:fldChar w:fldCharType="begin" w:fldLock="1"/>
      </w:r>
      <w:r w:rsidR="005C2E82">
        <w:rPr>
          <w:rFonts w:ascii="Arial" w:hAnsi="Arial" w:cs="Arial"/>
          <w:sz w:val="24"/>
        </w:rPr>
        <w:instrText>ADDIN CSL_CITATION { "citationItems" : [ { "id" : "ITEM-1", "itemData" : { "author" : [ { "dropping-particle" : "", "family" : "Gueudeville", "given" : "R.S.", "non-dropping-particle" : "", "parse-names" : false, "suffix" : "" } ], "id" : "ITEM-1", "issued" : { "date-parts" : [ [ "2013" ] ] }, "number-of-pages" : "117", "publisher" : "Universidade Federal da Bahia", "title" : "O papel da classe hospitalar na aten\u00e7\u00e3o terap\u00eautica de alunos-pacientes com doen\u00e7a cr\u00f4nica progressiva: o caso da mucopolissacaridose", "type" : "thesis" }, "uris" : [ "http://www.mendeley.com/documents/?uuid=c221c620-4a62-415e-9809-5ce98d1ffb4f" ] } ], "mendeley" : { "formattedCitation" : "&lt;sup&gt;18&lt;/sup&gt;", "plainTextFormattedCitation" : "18", "previouslyFormattedCitation" : "&lt;sup&gt;18&lt;/sup&gt;" }, "properties" : { "noteIndex" : 0 }, "schema" : "https://github.com/citation-style-language/schema/raw/master/csl-citation.json" }</w:instrText>
      </w:r>
      <w:r w:rsidR="00A703C9">
        <w:rPr>
          <w:rFonts w:ascii="Arial" w:hAnsi="Arial" w:cs="Arial"/>
          <w:sz w:val="24"/>
        </w:rPr>
        <w:fldChar w:fldCharType="separate"/>
      </w:r>
      <w:r w:rsidR="001F649C" w:rsidRPr="001F649C">
        <w:rPr>
          <w:rFonts w:ascii="Arial" w:hAnsi="Arial" w:cs="Arial"/>
          <w:noProof/>
          <w:sz w:val="24"/>
          <w:vertAlign w:val="superscript"/>
        </w:rPr>
        <w:t>18</w:t>
      </w:r>
      <w:r w:rsidR="00A703C9">
        <w:rPr>
          <w:rFonts w:ascii="Arial" w:hAnsi="Arial" w:cs="Arial"/>
          <w:sz w:val="24"/>
        </w:rPr>
        <w:fldChar w:fldCharType="end"/>
      </w:r>
      <w:r w:rsidR="00727A6F">
        <w:rPr>
          <w:rFonts w:ascii="Arial" w:hAnsi="Arial" w:cs="Arial"/>
          <w:sz w:val="24"/>
        </w:rPr>
        <w:t xml:space="preserve">; </w:t>
      </w:r>
      <w:r w:rsidRPr="004202DE">
        <w:rPr>
          <w:rFonts w:ascii="Arial" w:hAnsi="Arial" w:cs="Arial"/>
          <w:sz w:val="24"/>
        </w:rPr>
        <w:t xml:space="preserve">o município de Monte Santo </w:t>
      </w:r>
      <w:r w:rsidR="009E6D7F">
        <w:rPr>
          <w:rFonts w:ascii="Arial" w:hAnsi="Arial" w:cs="Arial"/>
          <w:sz w:val="24"/>
        </w:rPr>
        <w:t xml:space="preserve">é o que </w:t>
      </w:r>
      <w:r>
        <w:rPr>
          <w:rFonts w:ascii="Arial" w:hAnsi="Arial" w:cs="Arial"/>
          <w:sz w:val="24"/>
        </w:rPr>
        <w:t>apresent</w:t>
      </w:r>
      <w:r w:rsidR="00727A6F">
        <w:rPr>
          <w:rFonts w:ascii="Arial" w:hAnsi="Arial" w:cs="Arial"/>
          <w:sz w:val="24"/>
        </w:rPr>
        <w:t>a</w:t>
      </w:r>
      <w:r w:rsidRPr="004202DE">
        <w:rPr>
          <w:rFonts w:ascii="Arial" w:hAnsi="Arial" w:cs="Arial"/>
          <w:sz w:val="24"/>
        </w:rPr>
        <w:t xml:space="preserve"> maior</w:t>
      </w:r>
      <w:r w:rsidR="00727A6F">
        <w:rPr>
          <w:rFonts w:ascii="Arial" w:hAnsi="Arial" w:cs="Arial"/>
          <w:sz w:val="24"/>
        </w:rPr>
        <w:t xml:space="preserve"> prevalência</w:t>
      </w:r>
      <w:r w:rsidR="00020B75">
        <w:rPr>
          <w:rFonts w:ascii="Arial" w:hAnsi="Arial" w:cs="Arial"/>
          <w:sz w:val="24"/>
        </w:rPr>
        <w:t xml:space="preserve"> da doença</w:t>
      </w:r>
      <w:r w:rsidR="00BA53F7">
        <w:rPr>
          <w:rFonts w:ascii="Arial" w:hAnsi="Arial" w:cs="Arial"/>
          <w:sz w:val="24"/>
        </w:rPr>
        <w:t>, sendo o casamento consanguíneo uma possível justificativa para esta ocorrência</w:t>
      </w:r>
      <w:r w:rsidR="00281780">
        <w:rPr>
          <w:rFonts w:ascii="Arial" w:hAnsi="Arial" w:cs="Arial"/>
          <w:sz w:val="24"/>
        </w:rPr>
        <w:t>.</w:t>
      </w:r>
      <w:r w:rsidR="00471682">
        <w:rPr>
          <w:rFonts w:ascii="Arial" w:hAnsi="Arial" w:cs="Arial"/>
          <w:sz w:val="24"/>
        </w:rPr>
        <w:fldChar w:fldCharType="begin" w:fldLock="1"/>
      </w:r>
      <w:r w:rsidR="005C2E82">
        <w:rPr>
          <w:rFonts w:ascii="Arial" w:hAnsi="Arial" w:cs="Arial"/>
          <w:sz w:val="24"/>
        </w:rPr>
        <w:instrText>ADDIN CSL_CITATION { "citationItems" : [ { "id" : "ITEM-1", "itemData" : { "DOI" : "10.1017/S0021932012000673", "author" : [ { "dropping-particle" : "", "family" : "Machado", "given" : "TMB", "non-dropping-particle" : "", "parse-names" : false, "suffix" : "" }, { "dropping-particle" : "", "family" : "Bomfim", "given" : "TF", "non-dropping-particle" : "", "parse-names" : false, "suffix" : "" }, { "dropping-particle" : "", "family" : "Souza", "given" : "LV", "non-dropping-particle" : "", "parse-names" : false, "suffix" : "" }, { "dropping-particle" : "", "family" : "Soares", "given" : "N", "non-dropping-particle" : "", "parse-names" : false, "suffix" : "" }, { "dropping-particle" : "", "family" : "Santos", "given" : "FL", "non-dropping-particle" : "", "parse-names" : false, "suffix" : "" }, { "dropping-particle" : "", "family" : "Acosta", "given" : "AX", "non-dropping-particle" : "", "parse-names" : false, "suffix" : "" }, { "dropping-particle" : "", "family" : "Abe-Sandes", "given" : "K", "non-dropping-particle" : "", "parse-names" : false, "suffix" : "" } ], "container-title" : "J Biosoc Sci", "id" : "ITEM-1", "issue" : "4", "issued" : { "date-parts" : [ [ "2013" ] ] }, "page" : "461-470", "title" : "Types of marriages, population structure and genetic disease", "type" : "article-journal", "volume" : "45" }, "uris" : [ "http://www.mendeley.com/documents/?uuid=050963c1-1c42-49e1-87f4-98bb57288dd0" ] } ], "mendeley" : { "formattedCitation" : "&lt;sup&gt;19&lt;/sup&gt;", "plainTextFormattedCitation" : "19", "previouslyFormattedCitation" : "&lt;sup&gt;19&lt;/sup&gt;" }, "properties" : { "noteIndex" : 0 }, "schema" : "https://github.com/citation-style-language/schema/raw/master/csl-citation.json" }</w:instrText>
      </w:r>
      <w:r w:rsidR="00471682">
        <w:rPr>
          <w:rFonts w:ascii="Arial" w:hAnsi="Arial" w:cs="Arial"/>
          <w:sz w:val="24"/>
        </w:rPr>
        <w:fldChar w:fldCharType="separate"/>
      </w:r>
      <w:r w:rsidR="001F649C" w:rsidRPr="001F649C">
        <w:rPr>
          <w:rFonts w:ascii="Arial" w:hAnsi="Arial" w:cs="Arial"/>
          <w:noProof/>
          <w:sz w:val="24"/>
          <w:vertAlign w:val="superscript"/>
        </w:rPr>
        <w:t>19</w:t>
      </w:r>
      <w:r w:rsidR="00471682">
        <w:rPr>
          <w:rFonts w:ascii="Arial" w:hAnsi="Arial" w:cs="Arial"/>
          <w:sz w:val="24"/>
        </w:rPr>
        <w:fldChar w:fldCharType="end"/>
      </w:r>
    </w:p>
    <w:p w:rsidR="00727A6F" w:rsidRDefault="00727A6F" w:rsidP="00491682">
      <w:pPr>
        <w:spacing w:after="0" w:line="360" w:lineRule="auto"/>
        <w:jc w:val="both"/>
        <w:rPr>
          <w:rFonts w:ascii="Arial" w:hAnsi="Arial" w:cs="Arial"/>
          <w:sz w:val="24"/>
        </w:rPr>
      </w:pPr>
    </w:p>
    <w:p w:rsidR="003F6C33" w:rsidRDefault="00AE0310" w:rsidP="00491682">
      <w:pPr>
        <w:spacing w:after="0" w:line="360" w:lineRule="auto"/>
        <w:jc w:val="both"/>
        <w:rPr>
          <w:rFonts w:ascii="Arial" w:hAnsi="Arial" w:cs="Arial"/>
          <w:sz w:val="24"/>
        </w:rPr>
      </w:pPr>
      <w:r>
        <w:rPr>
          <w:rFonts w:ascii="Arial" w:hAnsi="Arial" w:cs="Arial"/>
          <w:sz w:val="24"/>
        </w:rPr>
        <w:t>Sinai</w:t>
      </w:r>
      <w:r w:rsidR="003F6C33">
        <w:rPr>
          <w:rFonts w:ascii="Arial" w:hAnsi="Arial" w:cs="Arial"/>
          <w:sz w:val="24"/>
        </w:rPr>
        <w:t xml:space="preserve">s decorrentes do comprometimento musculoesquelético são </w:t>
      </w:r>
      <w:r w:rsidR="00471682">
        <w:rPr>
          <w:rFonts w:ascii="Arial" w:hAnsi="Arial" w:cs="Arial"/>
          <w:sz w:val="24"/>
        </w:rPr>
        <w:t>comuns em todas as formas de MPS</w:t>
      </w:r>
      <w:r w:rsidR="003F6C33">
        <w:rPr>
          <w:rFonts w:ascii="Arial" w:hAnsi="Arial" w:cs="Arial"/>
          <w:sz w:val="24"/>
        </w:rPr>
        <w:fldChar w:fldCharType="begin" w:fldLock="1"/>
      </w:r>
      <w:r w:rsidR="005C2E82">
        <w:rPr>
          <w:rFonts w:ascii="Arial" w:hAnsi="Arial" w:cs="Arial"/>
          <w:sz w:val="24"/>
        </w:rPr>
        <w:instrText>ADDIN CSL_CITATION { "citationItems" : [ { "id" : "ITEM-1", "itemData" : { "author" : [ { "dropping-particle" : "", "family" : "Valayannopoulos V, Nicely H, Paul Harmatz P", "given" : "Turbeville S", "non-dropping-particle" : "", "parse-names" : false, "suffix" : "" } ], "container-title" : "Orphanet Journal of Rare Diseases", "id" : "ITEM-1", "issue" : "5", "issued" : { "date-parts" : [ [ "2010" ] ] }, "title" : "Mucopolysaccharidosis VI", "type" : "article-journal", "volume" : "5" }, "uris" : [ "http://www.mendeley.com/documents/?uuid=b6acff33-37c2-4f0b-a1fa-dc9a5fcfccf5" ] } ], "mendeley" : { "formattedCitation" : "&lt;sup&gt;20&lt;/sup&gt;", "plainTextFormattedCitation" : "20", "previouslyFormattedCitation" : "&lt;sup&gt;20&lt;/sup&gt;" }, "properties" : { "noteIndex" : 0 }, "schema" : "https://github.com/citation-style-language/schema/raw/master/csl-citation.json" }</w:instrText>
      </w:r>
      <w:r w:rsidR="003F6C33">
        <w:rPr>
          <w:rFonts w:ascii="Arial" w:hAnsi="Arial" w:cs="Arial"/>
          <w:sz w:val="24"/>
        </w:rPr>
        <w:fldChar w:fldCharType="end"/>
      </w:r>
      <w:r w:rsidR="00471682">
        <w:rPr>
          <w:rFonts w:ascii="Arial" w:hAnsi="Arial" w:cs="Arial"/>
          <w:sz w:val="24"/>
        </w:rPr>
        <w:t>.</w:t>
      </w:r>
      <w:r w:rsidR="00471682">
        <w:rPr>
          <w:rFonts w:ascii="Arial" w:hAnsi="Arial" w:cs="Arial"/>
          <w:sz w:val="24"/>
        </w:rPr>
        <w:fldChar w:fldCharType="begin" w:fldLock="1"/>
      </w:r>
      <w:r w:rsidR="005C2E82">
        <w:rPr>
          <w:rFonts w:ascii="Arial" w:hAnsi="Arial" w:cs="Arial"/>
          <w:sz w:val="24"/>
        </w:rPr>
        <w:instrText>ADDIN CSL_CITATION { "citationItems" : [ { "id" : "ITEM-1", "itemData" : { "author" : [ { "dropping-particle" : "", "family" : "Valayannopoulos V, Nicely H, Paul Harmatz P", "given" : "Turbeville S", "non-dropping-particle" : "", "parse-names" : false, "suffix" : "" } ], "container-title" : "Orphanet Journal of Rare Diseases", "id" : "ITEM-1", "issue" : "5", "issued" : { "date-parts" : [ [ "2010" ] ] }, "title" : "Mucopolysaccharidosis VI", "type" : "article-journal", "volume" : "5" }, "uris" : [ "http://www.mendeley.com/documents/?uuid=b6acff33-37c2-4f0b-a1fa-dc9a5fcfccf5" ] } ], "mendeley" : { "formattedCitation" : "&lt;sup&gt;20&lt;/sup&gt;", "plainTextFormattedCitation" : "20", "previouslyFormattedCitation" : "&lt;sup&gt;20&lt;/sup&gt;" }, "properties" : { "noteIndex" : 0 }, "schema" : "https://github.com/citation-style-language/schema/raw/master/csl-citation.json" }</w:instrText>
      </w:r>
      <w:r w:rsidR="00471682">
        <w:rPr>
          <w:rFonts w:ascii="Arial" w:hAnsi="Arial" w:cs="Arial"/>
          <w:sz w:val="24"/>
        </w:rPr>
        <w:fldChar w:fldCharType="separate"/>
      </w:r>
      <w:r w:rsidR="001F649C" w:rsidRPr="001F649C">
        <w:rPr>
          <w:rFonts w:ascii="Arial" w:hAnsi="Arial" w:cs="Arial"/>
          <w:noProof/>
          <w:sz w:val="24"/>
          <w:vertAlign w:val="superscript"/>
        </w:rPr>
        <w:t>20</w:t>
      </w:r>
      <w:r w:rsidR="00471682">
        <w:rPr>
          <w:rFonts w:ascii="Arial" w:hAnsi="Arial" w:cs="Arial"/>
          <w:sz w:val="24"/>
        </w:rPr>
        <w:fldChar w:fldCharType="end"/>
      </w:r>
      <w:r w:rsidR="00471682">
        <w:rPr>
          <w:rFonts w:ascii="Arial" w:hAnsi="Arial" w:cs="Arial"/>
          <w:sz w:val="24"/>
        </w:rPr>
        <w:t xml:space="preserve"> Es</w:t>
      </w:r>
      <w:r w:rsidR="003F6C33">
        <w:rPr>
          <w:rFonts w:ascii="Arial" w:hAnsi="Arial" w:cs="Arial"/>
          <w:sz w:val="24"/>
        </w:rPr>
        <w:t xml:space="preserve">ta condição caracteriza-se por deformidades ósseas, rigidez </w:t>
      </w:r>
      <w:r w:rsidR="003F6C33">
        <w:rPr>
          <w:rFonts w:ascii="Arial" w:hAnsi="Arial" w:cs="Arial"/>
          <w:sz w:val="24"/>
        </w:rPr>
        <w:lastRenderedPageBreak/>
        <w:t xml:space="preserve">articular e consequente redução da amplitude de movimento (ADM), atraso no desenvolvimento motor e </w:t>
      </w:r>
      <w:r w:rsidR="005A2E9C">
        <w:rPr>
          <w:rFonts w:ascii="Arial" w:hAnsi="Arial" w:cs="Arial"/>
          <w:sz w:val="24"/>
        </w:rPr>
        <w:t xml:space="preserve">dificuldade </w:t>
      </w:r>
      <w:r w:rsidR="003F6C33">
        <w:rPr>
          <w:rFonts w:ascii="Arial" w:hAnsi="Arial" w:cs="Arial"/>
          <w:sz w:val="24"/>
        </w:rPr>
        <w:t>progressiva para a marcha e deambulação. Alterações cardiorrespiratórias e/ou neurológicas também podem estar associadas às disfunções do sistema locomotor, e apresentam relação direta com a gravidade geral da doença</w:t>
      </w:r>
      <w:r w:rsidR="00C7749B">
        <w:rPr>
          <w:rFonts w:ascii="Arial" w:hAnsi="Arial" w:cs="Arial"/>
          <w:sz w:val="24"/>
        </w:rPr>
        <w:t>.</w:t>
      </w:r>
      <w:r w:rsidR="003F6C33">
        <w:rPr>
          <w:rFonts w:ascii="Arial" w:hAnsi="Arial" w:cs="Arial"/>
          <w:sz w:val="24"/>
        </w:rPr>
        <w:fldChar w:fldCharType="begin" w:fldLock="1"/>
      </w:r>
      <w:r w:rsidR="005C2E82">
        <w:rPr>
          <w:rFonts w:ascii="Arial" w:hAnsi="Arial" w:cs="Arial"/>
          <w:sz w:val="24"/>
        </w:rPr>
        <w:instrText>ADDIN CSL_CITATION { "citationItems" : [ { "id" : "ITEM-1", "itemData" : { "DOI" : "10.1590/S1413-78522013000200009", "ISSN" : "1413-7852", "PMID" : "24453654", "abstract" : "Objective: The aim of this study is to evaluate energy expenditure in gait by mucopolysaccharidosis affected patients by means of a simple and adequate to the clinical environment methodology. Methods: A cross-sectional study was carried out comparing energy expenditure during gait in 19 patients suffering from mucopolysaccharidosis (MPS Group) with 19 asymptomatic control individuals (Control Group). Energy expenditure was measured in calories (cal) using a Polar telemetric watch (model FT7) during a 50 meter walk. Variables such as age, weight, height, body mass index (BMI), initial hart rate, final hart rate, and walking time, were recorded. Results: MPS Group showed a mean energy expenditure during gait of 2.84 cal (\u00b11,01), versus 1.42 cal (\u00b10,51), 100% higher than the Control Group; MPS also presented increased initial hart rate (22% higher), final hart rate (13% higher) and walking time (13% higher). Conclusions: Energy expenditure during gait in MPS patients was two times higher than control individuals; the methodology used showed to be a promising alternative, also adequate to the standard clinical environment.", "author" : [ { "dropping-particle" : "", "family" : "Matos", "given" : "Marcos Almeida", "non-dropping-particle" : "", "parse-names" : false, "suffix" : "" }, { "dropping-particle" : "", "family" : "Prado", "given" : "Andre", "non-dropping-particle" : "", "parse-names" : false, "suffix" : "" }, { "dropping-particle" : "", "family" : "Schenkel", "given" : "Gustavo", "non-dropping-particle" : "", "parse-names" : false, "suffix" : "" }, { "dropping-particle" : "", "family" : "Barreto", "given" : "Rosa", "non-dropping-particle" : "", "parse-names" : false, "suffix" : "" }, { "dropping-particle" : "", "family" : "Acosta", "given" : "Angelina Xavier", "non-dropping-particle" : "", "parse-names" : false, "suffix" : "" } ], "container-title" : "Acta Ortopedica Brasileira", "id" : "ITEM-1", "issue" : "2", "issued" : { "date-parts" : [ [ "2013" ] ] }, "page" : "116-119", "title" : "Energy expenditure during gait in patients with mucopolysaccharidosis", "type" : "article-journal", "volume" : "21" }, "uris" : [ "http://www.mendeley.com/documents/?uuid=3ad0096d-3832-47e5-a785-cf0597fdb2ca" ] }, { "id" : "ITEM-2", "itemData" : { "author" : [ { "dropping-particle" : "", "family" : "Valayannopoulos V, Nicely H, Paul Harmatz P", "given" : "Turbeville S", "non-dropping-particle" : "", "parse-names" : false, "suffix" : "" } ], "container-title" : "Orphanet Journal of Rare Diseases", "id" : "ITEM-2", "issue" : "5", "issued" : { "date-parts" : [ [ "2010" ] ] }, "title" : "Mucopolysaccharidosis VI", "type" : "article-journal", "volume" : "5" }, "uris" : [ "http://www.mendeley.com/documents/?uuid=b6acff33-37c2-4f0b-a1fa-dc9a5fcfccf5" ] }, { "id" : "ITEM-3", "itemData" : { "DOI" : "10.5604/15093492.1084240", "ISSN" : "15093492", "PMID" : "24431250", "abstract" : "BACKGROUND. The objective of this study is to evaluate the response of the musculoskeletal system to enzyme replacement therapy in a group of patients with Mucopolysaccharidosis (MPS). MATERIAL AND METHODS. A retrospective study was done based on records from 22 patients with different types of MPS (I, II and VI) who were treated with enzyme replacement therapy (ERT). Patient data were evaluated after an average of 21.4 months. Data collected were: Global Motor Function Classification System (GMFCS); measured range of motion (ROM) of the knee, elbow, and shoulder joints; and an evaluation of hand function as proposed by Haddad. A comparison was done between data from the \"pre-treatment\" and \"posttreatment\" groups to evaluate the significant clinical differences between the pre and post-treatment periods. RESULTS. In the total group, 13 (59.1%) maintained or improved their motor score and 8 (36.3%) ended up with a worse score. Only ROM of the shoulders saw a statistically significant improvement. The right shoulder increased from 59.7\u00ba to 78.4\u00ba (p = 0.017), and the left one from 65.2\u00ba to 80.2\u00ba (p=0,036). CONCLUSIONS. Based on the data, it is possible to conclude that ERT was able to stabilize or improve motor function in the majority of patients and also significantly increase the range of motion of shoulder joints in patients with MPS.", "author" : [ { "dropping-particle" : "", "family" : "Matos", "given" : "Marcos Almeida", "non-dropping-particle" : "", "parse-names" : false, "suffix" : "" }, { "dropping-particle" : "", "family" : "Barreto", "given" : "Rosa", "non-dropping-particle" : "", "parse-names" : false, "suffix" : "" }, { "dropping-particle" : "", "family" : "Acosta", "given" : "Angelina Xavier", "non-dropping-particle" : "", "parse-names" : false, "suffix" : "" } ], "container-title" : "Ortopedia Traumatologia Rehabilitacja", "id" : "ITEM-3", "issue" : "5", "issued" : { "date-parts" : [ [ "2013" ] ] }, "page" : "389-393", "title" : "Evaluation of motor response in mucopolysaccharidosis patients treated with enzyme replacement therapy", "type" : "article-journal", "volume" : "15" }, "uris" : [ "http://www.mendeley.com/documents/?uuid=747518da-67ff-4121-aed4-4c168a770986" ] }, { "id" : "ITEM-4", "itemData" : { "author" : [ { "dropping-particle" : "", "family" : "Mizuno", "given" : "Carolina Alves", "non-dropping-particle" : "", "parse-names" : false, "suffix" : "" }, { "dropping-particle" : "", "family" : "Figueiredo", "given" : "Joseane Brostel", "non-dropping-particle" : "", "parse-names" : false, "suffix" : "" }, { "dropping-particle" : "", "family" : "Teza", "given" : "Ism\u00e1ria Tavares Viana", "non-dropping-particle" : "", "parse-names" : false, "suffix" : "" }, { "dropping-particle" : "", "family" : "Taira", "given" : "L\u00e9t\u00edcia Gondim Naves", "non-dropping-particle" : "", "parse-names" : false, "suffix" : "" }, { "dropping-particle" : "", "family" : "Silva", "given" : "Tainah Almeida Silva", "non-dropping-particle" : "", "parse-names" : false, "suffix" : "" }, { "dropping-particle" : "", "family" : "Paix\u00e3o", "given" : "Darlene Lousan", "non-dropping-particle" : "", "parse-names" : false, "suffix" : "" }, { "dropping-particle" : "", "family" : "Mizuno", "given" : "Jos\u00e9 Carlos", "non-dropping-particle" : "", "parse-names" : false, "suffix" : "" } ], "container-title" : "Rev Bras Clin Med", "id" : "ITEM-4", "issue" : "4", "issued" : { "date-parts" : [ [ "2010" ] ] }, "page" : "356-61", "title" : "Aspectos cl\u00ednicos da mucopolissacaridose tipo VI", "type" : "article-journal", "volume" : "8" }, "uris" : [ "http://www.mendeley.com/documents/?uuid=321139e2-a07c-47c5-ac97-43d6e6cea331" ] } ], "mendeley" : { "formattedCitation" : "&lt;sup&gt;9,20\u201322&lt;/sup&gt;", "plainTextFormattedCitation" : "9,20\u201322", "previouslyFormattedCitation" : "&lt;sup&gt;9,20\u201322&lt;/sup&gt;" }, "properties" : { "noteIndex" : 0 }, "schema" : "https://github.com/citation-style-language/schema/raw/master/csl-citation.json" }</w:instrText>
      </w:r>
      <w:r w:rsidR="003F6C33">
        <w:rPr>
          <w:rFonts w:ascii="Arial" w:hAnsi="Arial" w:cs="Arial"/>
          <w:sz w:val="24"/>
        </w:rPr>
        <w:fldChar w:fldCharType="separate"/>
      </w:r>
      <w:r w:rsidR="001F649C" w:rsidRPr="001F649C">
        <w:rPr>
          <w:rFonts w:ascii="Arial" w:hAnsi="Arial" w:cs="Arial"/>
          <w:noProof/>
          <w:sz w:val="24"/>
          <w:vertAlign w:val="superscript"/>
        </w:rPr>
        <w:t>9,20–22</w:t>
      </w:r>
      <w:r w:rsidR="003F6C33">
        <w:rPr>
          <w:rFonts w:ascii="Arial" w:hAnsi="Arial" w:cs="Arial"/>
          <w:sz w:val="24"/>
        </w:rPr>
        <w:fldChar w:fldCharType="end"/>
      </w:r>
    </w:p>
    <w:p w:rsidR="00465FFD" w:rsidRDefault="00465FFD" w:rsidP="00491682">
      <w:pPr>
        <w:spacing w:after="0" w:line="360" w:lineRule="auto"/>
        <w:jc w:val="both"/>
        <w:rPr>
          <w:rFonts w:ascii="Arial" w:hAnsi="Arial" w:cs="Arial"/>
          <w:sz w:val="24"/>
        </w:rPr>
      </w:pPr>
    </w:p>
    <w:p w:rsidR="009E6D7F" w:rsidRDefault="003F6C33" w:rsidP="00491682">
      <w:pPr>
        <w:spacing w:after="0" w:line="360" w:lineRule="auto"/>
        <w:jc w:val="both"/>
        <w:rPr>
          <w:rFonts w:ascii="Arial" w:hAnsi="Arial" w:cs="Arial"/>
          <w:sz w:val="24"/>
        </w:rPr>
      </w:pPr>
      <w:r>
        <w:rPr>
          <w:rFonts w:ascii="Arial" w:hAnsi="Arial" w:cs="Arial"/>
          <w:sz w:val="24"/>
        </w:rPr>
        <w:t>Importantes avanços foram alcançados na condução terapêutica das mucopolissacaridoses. Até o advento da Terapia de Reposição Enzimática (TRE) – procedimento baseado na introdução da enzima deficiente nas células dos pacientes acometidos</w:t>
      </w:r>
      <w:r w:rsidR="003545D1">
        <w:rPr>
          <w:rFonts w:ascii="Arial" w:hAnsi="Arial" w:cs="Arial"/>
          <w:sz w:val="24"/>
        </w:rPr>
        <w:t xml:space="preserve"> –</w:t>
      </w:r>
      <w:r>
        <w:rPr>
          <w:rFonts w:ascii="Arial" w:hAnsi="Arial" w:cs="Arial"/>
          <w:sz w:val="24"/>
        </w:rPr>
        <w:t>, e do transplante com células-tronco hematopoéticas (TCTH), esse grupo de doenças de depósito lisossomal não tinha tratamento específico</w:t>
      </w:r>
      <w:r w:rsidR="00F26EF2">
        <w:rPr>
          <w:rFonts w:ascii="Arial" w:hAnsi="Arial" w:cs="Arial"/>
          <w:sz w:val="24"/>
        </w:rPr>
        <w:t xml:space="preserve">; as medidas terapêuticas consistiam apenas no suporte </w:t>
      </w:r>
      <w:r w:rsidR="005E076B">
        <w:rPr>
          <w:rFonts w:ascii="Arial" w:hAnsi="Arial" w:cs="Arial"/>
          <w:sz w:val="24"/>
        </w:rPr>
        <w:t>a</w:t>
      </w:r>
      <w:r w:rsidR="00F26EF2">
        <w:rPr>
          <w:rFonts w:ascii="Arial" w:hAnsi="Arial" w:cs="Arial"/>
          <w:sz w:val="24"/>
        </w:rPr>
        <w:t>os pacientes, com foco para</w:t>
      </w:r>
      <w:r w:rsidR="005E076B">
        <w:rPr>
          <w:rFonts w:ascii="Arial" w:hAnsi="Arial" w:cs="Arial"/>
          <w:sz w:val="24"/>
        </w:rPr>
        <w:t xml:space="preserve"> a </w:t>
      </w:r>
      <w:r w:rsidR="00F26EF2">
        <w:rPr>
          <w:rFonts w:ascii="Arial" w:hAnsi="Arial" w:cs="Arial"/>
          <w:sz w:val="24"/>
        </w:rPr>
        <w:t xml:space="preserve">prevenção e cuidado </w:t>
      </w:r>
      <w:r w:rsidR="005E076B">
        <w:rPr>
          <w:rFonts w:ascii="Arial" w:hAnsi="Arial" w:cs="Arial"/>
          <w:sz w:val="24"/>
        </w:rPr>
        <w:t>com possíveis</w:t>
      </w:r>
      <w:r w:rsidR="00F26EF2">
        <w:rPr>
          <w:rFonts w:ascii="Arial" w:hAnsi="Arial" w:cs="Arial"/>
          <w:sz w:val="24"/>
        </w:rPr>
        <w:t xml:space="preserve"> complicações</w:t>
      </w:r>
      <w:r>
        <w:rPr>
          <w:rFonts w:ascii="Arial" w:hAnsi="Arial" w:cs="Arial"/>
          <w:sz w:val="24"/>
        </w:rPr>
        <w:t>.</w:t>
      </w:r>
      <w:r w:rsidR="002F1DC8">
        <w:rPr>
          <w:rFonts w:ascii="Arial" w:hAnsi="Arial" w:cs="Arial"/>
          <w:sz w:val="24"/>
        </w:rPr>
        <w:fldChar w:fldCharType="begin" w:fldLock="1"/>
      </w:r>
      <w:r w:rsidR="005C2E82">
        <w:rPr>
          <w:rFonts w:ascii="Arial" w:hAnsi="Arial" w:cs="Arial"/>
          <w:sz w:val="24"/>
        </w:rPr>
        <w:instrText>ADDIN CSL_CITATION { "citationItems" : [ { "id" : "ITEM-1", "itemData" : { "DOI" : "10.2223/JPED.1801", "author" : [ { "dropping-particle" : "", "family" : "Schwartz", "given" : "IV", "non-dropping-particle" : "", "parse-names" : false, "suffix" : "" }, { "dropping-particle" : "", "family" : "Souza", "given" : "CFM", "non-dropping-particle" : "", "parse-names" : false, "suffix" : "" }, { "dropping-particle" : "", "family" : "Giugliani", "given" : "R", "non-dropping-particle" : "", "parse-names" : false, "suffix" : "" } ], "container-title" : "Jornal de Pediatria", "id" : "ITEM-1", "issue" : "Suppl 4", "issued" : { "date-parts" : [ [ "2008" ] ] }, "page" : "8-19", "title" : "Treatment of inborn errors of metabolism", "type" : "article-journal", "volume" : "84" }, "uris" : [ "http://www.mendeley.com/documents/?uuid=89b459e8-7b4c-409b-8f91-9ee9d1c4c500" ] }, { "id" : "ITEM-2", "itemData" : { "DOI" : "10.1590/S0104-42302010000300009", "ISSN" : "0104-4230", "abstract" : "As mucopolissacaridoses (MPS) s\u00e3o doen\u00e7as gen\u00e9ticas raras causadas pela defici\u00eancia de enzimas lisoss\u00f4micas espec\u00edficas que afetam o catabolismo de glicosaminoglicanos (GAG). O ac\u00famulo de GAG em v\u00e1rios \u00f3rg\u00e3os e tecidos nos pacientes afetados pelas MPS resulta em uma s\u00e9rie de sinais e sintomas, integrantes de um quadro cl\u00ednico multissist\u00eamico que compromete ossos e articula\u00e7\u00f5es, vias respirat\u00f3rias, sistema cardiovascular e muitos outros \u00f3rg\u00e3os e tecidos, incluindo, em alguns casos, as fun\u00e7\u00f5es cognitivas. J\u00e1 foram identificados 11 defeitos enzim\u00e1ticos que causam sete tipos diferentes de MPS. Antes do advento de terapias dirigidas para a restaura\u00e7\u00e3o da atividade da enzima deficiente, o tratamento das MPS tinha como principal foco a preven\u00e7\u00e3o e o cuidado das complica\u00e7\u00f5es, aspecto ainda bastante importante no manejo desses pacientes. Na d\u00e9cada de 80 foi proposto o tratamento das MPS com transplante de medula \u00f3ssea/transplante de c\u00e9lulas tronco hematopoi\u00e9ticas (TMO/TCTH) e na d\u00e9cada de 90 come\u00e7ou o desenvolvimento da Terapia de Reposi\u00e7\u00e3o Enzim\u00e1tica (TRE), que se tornou uma realidade aprovada para uso cl\u00ednico nas MPS I, II e VI na primeira d\u00e9cada do s\u00e9culo 21. Os autores deste trabalho t\u00eam a convic\u00e7\u00e3o de que um melhor futuro para os pacientes afetados pelas MPS depende da identifica\u00e7\u00e3o, compreens\u00e3o e manejo adequado das manifesta\u00e7\u00f5es multissist\u00eamicas dessas doen\u00e7as, incluindo medidas de suporte (que devem fazer parte da assist\u00eancia multidisciplinar regular destes pacientes) e terapias espec\u00edficas. Embora a inibi\u00e7\u00e3o da s\u00edntese de GAG e o resgate da atividade enzim\u00e1tica com mol\u00e9culas pequenas tamb\u00e9m possam vir a ter um papel no manejo das MPS, o grande avan\u00e7o dispon\u00edvel no momento \u00e9 a TRE intravenosa. A TRE permitiu modificar radicalmente o panorama do tratamento das mucopolissacaridoses I, II e VI na \u00faltima d\u00e9cada, sendo que ainda pode estender seus benef\u00edcios em breve para a MPS IV A (cuja TRE j\u00e1 est\u00e1 em desenvolvimento cl\u00ednico), com perspectivas para o tratamento da MPS III A e do d\u00e9ficit cognitivo na MPS II atrav\u00e9s de administra\u00e7\u00e3o da enzima diretamente no sistema nervoso central (SNC). Um grande n\u00famero de centros brasileiros, incluindo servi\u00e7os de todas as regi\u00f5es do pa\u00eds, j\u00e1 t\u00eam experi\u00eancia com TRE para MPS I, II e VI. Essa experi\u00eancia foi adquirida n\u00e3o s\u00f3 com o tratamento de pacientes como tamb\u00e9m com a participa\u00e7\u00e3o de alguns grupos em ensaios cl\u00ednicos envolvendo TRE para essas condi\u00e7\u00f5es. Somados os tr\u00eas tipos de MPS, mais de 250 pacientes j\u00e1 foram tratado\u2026", "author" : [ { "dropping-particle" : "", "family" : "Giugliani R, Federhen A, Rojas MV, Vieira TA, Artigal\u00e1s O, Pinto LL", "given" : "et al.", "non-dropping-particle" : "", "parse-names" : false, "suffix" : "" } ], "container-title" : "Rev Assoc Med Bras", "id" : "ITEM-2", "issue" : "3", "issued" : { "date-parts" : [ [ "2010" ] ] }, "page" : "271-277", "title" : "Terapia de reposi\u00e7\u00e3o enzim\u00e1tica para as mucopolissacaridoses I , II e VI: recomenda\u00e7\u00f5es de um grupo de especialistas brasileiros", "type" : "article-journal", "volume" : "56" }, "uris" : [ "http://www.mendeley.com/documents/?uuid=20e9b74c-f667-4827-868e-144e7b460615" ] }, { "id" : "ITEM-3", "itemData" : { "DOI" : "10.1590/S1415-47572010005000093", "ISBN" : "1678-4685 (Electronic)\\r1415-4757 (Linking)", "ISSN" : "14154757", "PMID" : "21637564", "abstract" : "Mucopolysaccharidoses (MPS) are rare genetic diseases caused by the deficiency of one of the lysosomal enzymes involved in the glycosaminoglycan (GAG) breakdown pathway. This metabolic block leads to the accumulation of GAG in various organs and tissues of the affected patients, resulting in a multisystemic clinical picture, sometimes including cognitive impairment. Until the beginning of the XXI century, treatment was mainly supportive. Bone marrow transplantation improved the natural course of the disease in some types of MPS, but the morbidity and mortality restricted its use to selected cases. The identification of the genes involved, the new molecular biology tools and the availability of animal models made it possible to develop specific enzyme replacement therapies (ERT) for these diseases. At present, a great number of Brazilian medical centers from all regions of the country have experience with ERT for MPS I, II, and VI, acquired not only through patient treatment but also in clinical trials. Taking the three types of MPS together, over 200 patients have been treated with ERT in our country. This document summarizes the experience of the professionals involved, along with the data available in the international literature, bringing together and harmonizing the information available on the management of these severe and progressive diseases, thus disclosing new prospects for Brazilian patients affected by these conditions.", "author" : [ { "dropping-particle" : "", "family" : "Giugliani", "given" : "Roberto", "non-dropping-particle" : "", "parse-names" : false, "suffix" : "" }, { "dropping-particle" : "", "family" : "Federhen", "given" : "Andressa", "non-dropping-particle" : "", "parse-names" : false, "suffix" : "" }, { "dropping-particle" : "", "family" : "Rojas", "given" : "Maria Ver\u00f4nica Mu\u00f1oz", "non-dropping-particle" : "", "parse-names" : false, "suffix" : "" }, { "dropping-particle" : "", "family" : "Vieira", "given" : "Taiane", "non-dropping-particle" : "", "parse-names" : false, "suffix" : "" }, { "dropping-particle" : "", "family" : "Artigal\u00e1s", "given" : "Osvaldo", "non-dropping-particle" : "", "parse-names" : false, "suffix" : "" }, { "dropping-particle" : "", "family" : "Pinto", "given" : "Louise Lapagesse", "non-dropping-particle" : "", "parse-names" : false, "suffix" : "" }, { "dropping-particle" : "", "family" : "Azevedo", "given" : "Ana Cec\u00edlia", "non-dropping-particle" : "", "parse-names" : false, "suffix" : "" }, { "dropping-particle" : "", "family" : "Acosta", "given" : "Angelina", "non-dropping-particle" : "", "parse-names" : false, "suffix" : "" }, { "dropping-particle" : "", "family" : "Bonfim", "given" : "Carmen", "non-dropping-particle" : "", "parse-names" : false, "suffix" : "" }, { "dropping-particle" : "", "family" : "Louren\u00e7o", "given" : "Charles Marques", "non-dropping-particle" : "", "parse-names" : false, "suffix" : "" }, { "dropping-particle" : "", "family" : "Kim", "given" : "Chong Ae", "non-dropping-particle" : "", "parse-names" : false, "suffix" : "" }, { "dropping-particle" : "", "family" : "Horovitz", "given" : "Dafne", "non-dropping-particle" : "", "parse-names" : false, "suffix" : "" }, { "dropping-particle" : "", "family" : "Bonfim", "given" : "Denize", "non-dropping-particle" : "", "parse-names" : false, "suffix" : "" }, { "dropping-particle" : "", "family" : "Norato", "given" : "Denise", "non-dropping-particle" : "", "parse-names" : false, "suffix" : "" }, { "dropping-particle" : "", "family" : "Marinho", "given" : "Diane", "non-dropping-particle" : "", "parse-names" : false, "suffix" : "" }, { "dropping-particle" : "", "family" : "Palhares", "given" : "Durval", "non-dropping-particle" : "", "parse-names" : false, "suffix" : "" }, { "dropping-particle" : "", "family" : "Santos", "given" : "Emerson Santana", "non-dropping-particle" : "", "parse-names" : false, "suffix" : "" }, { "dropping-particle" : "", "family" : "Ribeiro", "given" : "Erlane", "non-dropping-particle" : "", "parse-names" : false, "suffix" : "" }, { "dropping-particle" : "", "family" : "Valadares", "given" : "Eug\u00eania", "non-dropping-particle" : "", "parse-names" : false, "suffix" : "" }, { "dropping-particle" : "", "family" : "Guarany", "given" : "F\u00e1bio", "non-dropping-particle" : "", "parse-names" : false, "suffix" : "" }, { "dropping-particle" : "", "family" : "Lucca", "given" : "Gisele Rosone", "non-dropping-particle" : "de", "parse-names" : false, "suffix" : "" }, { "dropping-particle" : "", "family" : "Pimentel", "given" : "Helena", "non-dropping-particle" : "", "parse-names" : false, "suffix" : "" }, { "dropping-particle" : "", "family" : "Souza", "given" : "Isabel Neves", "non-dropping-particle" : "de", "parse-names" : false, "suffix" : "" }, { "dropping-particle" : "", "family" : "Neto", "given" : "Jord\u00e3o Correa", "non-dropping-particle" : "", "parse-names" : false, "suffix" : "" }, { "dropping-particle" : "", "family" : "Fraga", "given" : "Jos\u00e9 Carlos", "non-dropping-particle" : "", "parse-names" : false, "suffix" : "" }, { "dropping-particle" : "", "family" : "Goes", "given" : "Jos\u00e9 Eduardo", "non-dropping-particle" : "", "parse-names" : false, "suffix" : "" }, { "dropping-particle" : "", "family" : "Cabral", "given" : "Jos\u00e9 Maria", "non-dropping-particle" : "", "parse-names" : false, "suffix" : "" }, { "dropping-particle" : "", "family" : "Simionato", "given" : "Jos\u00e9", "non-dropping-particle" : "", "parse-names" : false, "suffix" : "" }, { "dropping-particle" : "", "family" : "Llerena", "given" : "Juan", "non-dropping-particle" : "", "parse-names" : false, "suffix" : "" }, { "dropping-particle" : "", "family" : "Jardim", "given" : "Laura", "non-dropping-particle" : "", "parse-names" : false, "suffix" : "" }, { "dropping-particle" : "", "family" : "Giuliani", "given" : "Liane", "non-dropping-particle" : "", "parse-names" : false, "suffix" : "" }, { "dropping-particle" : "", "family" : "Silva", "given" : "Luiz Carlos Santana", "non-dropping-particle" : "da", "parse-names" : false, "suffix" : "" }, { "dropping-particle" : "", "family" : "Santos", "given" : "Mara L.", "non-dropping-particle" : "", "parse-names" : false, "suffix" : "" }, { "dropping-particle" : "", "family" : "Moreira", "given" : "Maria Angela", "non-dropping-particle" : "", "parse-names" : false, "suffix" : "" }, { "dropping-particle" : "", "family" : "Kerstenetzky", "given" : "Marcelo", "non-dropping-particle" : "", "parse-names" : false, "suffix" : "" }, { "dropping-particle" : "", "family" : "Ribeiro", "given" : "M\u00e1rcia", "non-dropping-particle" : "", "parse-names" : false, "suffix" : "" }, { "dropping-particle" : "", "family" : "Ruas", "given" : "Nicole", "non-dropping-particle" : "", "parse-names" : false, "suffix" : "" }, { "dropping-particle" : "", "family" : "Barrios", "given" : "Patricia", "non-dropping-particle" : "", "parse-names" : false, "suffix" : "" }, { "dropping-particle" : "", "family" : "Aranda", "given" : "Paulo", "non-dropping-particle" : "", "parse-names" : false, "suffix" : "" }, { "dropping-particle" : "", "family" : "Honjo", "given" : "Rachel", "non-dropping-particle" : "", "parse-names" : false, "suffix" : "" }, { "dropping-particle" : "", "family" : "Boy", "given" : "Raquel", "non-dropping-particle" : "", "parse-names" : false, "suffix" : "" }, { "dropping-particle" : "", "family" : "Costa", "given" : "Ronaldo", "non-dropping-particle" : "", "parse-names" : false, "suffix" : "" }, { "dropping-particle" : "", "family" : "Souza", "given" : "Carolina", "non-dropping-particle" : "", "parse-names" : false, "suffix" : "" }, { "dropping-particle" : "", "family" : "Alcantara", "given" : "Flavio F.", "non-dropping-particle" : "", "parse-names" : false, "suffix" : "" }, { "dropping-particle" : "", "family" : "Avilla", "given" : "Silvio Gilberto A", "non-dropping-particle" : "", "parse-names" : false, "suffix" : "" }, { "dropping-particle" : "", "family" : "Fagondes", "given" : "Simone", "non-dropping-particle" : "", "parse-names" : false, "suffix" : "" }, { "dropping-particle" : "", "family" : "Martins", "given" : "Ana Maria", "non-dropping-particle" : "", "parse-names" : false, "suffix" : "" } ], "container-title" : "Genetics and Molecular Biology", "id" : "ITEM-3", "issue" : "4", "issued" : { "date-parts" : [ [ "2010" ] ] }, "page" : "589-604", "title" : "Mucopolysaccharidosis I, II, and VI: Brief review and guidelines for treatment", "type" : "article-journal", "volume" : "33" }, "uris" : [ "http://www.mendeley.com/documents/?uuid=f17d1c38-f17e-4c99-aede-379c6264f7a4" ] }, { "id" : "ITEM-4", "itemData" : { "DOI" : "http://dx.doi.org/10.1590/0102-311X00017613", "author" : [ { "dropping-particle" : "", "family" : "Alegra", "given" : "I", "non-dropping-particle" : "", "parse-names" : false, "suffix" : "" }, { "dropping-particle" : "", "family" : "Eizerik", "given" : "DP", "non-dropping-particle" : "", "parse-names" : false, "suffix" : "" }, { "dropping-particle" : "", "family" : "Cerqueira", "given" : "CCS", "non-dropping-particle" : "", "parse-names" : false, "suffix" : "" }, { "dropping-particle" : "", "family" : "Pereira", "given" : "TV", "non-dropping-particle" : "", "parse-names" : false, "suffix" : "" }, { "dropping-particle" : "", "family" : "Dornelles", "given" : "AD", "non-dropping-particle" : "", "parse-names" : false, "suffix" : "" }, { "dropping-particle" : "", "family" : "Schwartz", "given" : "IV", "non-dropping-particle" : "", "parse-names" : false, "suffix" : "" } ], "container-title" : "Cad. Sa\u00fade P\u00fablica", "id" : "ITEM-4", "issue" : "suppl 1", "issued" : { "date-parts" : [ [ "2013" ] ] }, "page" : "45-58", "title" : "Efic\u00e1cia e seguran\u00e7a da terapia com idursulfase em pacientes com mucopolissacaridose tipo II, com e sem compara\u00e7\u00e3o com placebo: revis\u00e3o sistem\u00e1tica e metan\u00e1lise", "type" : "article-journal", "volume" : "29" }, "uris" : [ "http://www.mendeley.com/documents/?uuid=c7db4a7c-e75b-415f-ac09-1cb22592150e" ] } ], "mendeley" : { "formattedCitation" : "&lt;sup&gt;23\u201326&lt;/sup&gt;", "plainTextFormattedCitation" : "23\u201326", "previouslyFormattedCitation" : "&lt;sup&gt;23\u201326&lt;/sup&gt;" }, "properties" : { "noteIndex" : 0 }, "schema" : "https://github.com/citation-style-language/schema/raw/master/csl-citation.json" }</w:instrText>
      </w:r>
      <w:r w:rsidR="002F1DC8">
        <w:rPr>
          <w:rFonts w:ascii="Arial" w:hAnsi="Arial" w:cs="Arial"/>
          <w:sz w:val="24"/>
        </w:rPr>
        <w:fldChar w:fldCharType="separate"/>
      </w:r>
      <w:r w:rsidR="001F649C" w:rsidRPr="001F649C">
        <w:rPr>
          <w:rFonts w:ascii="Arial" w:hAnsi="Arial" w:cs="Arial"/>
          <w:noProof/>
          <w:sz w:val="24"/>
          <w:vertAlign w:val="superscript"/>
        </w:rPr>
        <w:t>23–26</w:t>
      </w:r>
      <w:r w:rsidR="002F1DC8">
        <w:rPr>
          <w:rFonts w:ascii="Arial" w:hAnsi="Arial" w:cs="Arial"/>
          <w:sz w:val="24"/>
        </w:rPr>
        <w:fldChar w:fldCharType="end"/>
      </w:r>
    </w:p>
    <w:p w:rsidR="009E6D7F" w:rsidRDefault="009E6D7F" w:rsidP="00491682">
      <w:pPr>
        <w:spacing w:after="0" w:line="360" w:lineRule="auto"/>
        <w:jc w:val="both"/>
        <w:rPr>
          <w:rFonts w:ascii="Arial" w:hAnsi="Arial" w:cs="Arial"/>
          <w:sz w:val="24"/>
        </w:rPr>
      </w:pPr>
    </w:p>
    <w:p w:rsidR="003F6C33" w:rsidRDefault="003F6C33" w:rsidP="00491682">
      <w:pPr>
        <w:spacing w:after="0" w:line="360" w:lineRule="auto"/>
        <w:jc w:val="both"/>
        <w:rPr>
          <w:rFonts w:ascii="Arial" w:hAnsi="Arial" w:cs="Arial"/>
          <w:sz w:val="24"/>
        </w:rPr>
      </w:pPr>
      <w:r>
        <w:rPr>
          <w:rFonts w:ascii="Arial" w:hAnsi="Arial" w:cs="Arial"/>
          <w:sz w:val="24"/>
        </w:rPr>
        <w:t>O surgimento da TRE aumentou o interesse por estudos visando descrever as características clínicas e a história natural da doença, e por aqueles dedicados a apresentar os resultados oriundos da aplicação d</w:t>
      </w:r>
      <w:r w:rsidR="002745B5">
        <w:rPr>
          <w:rFonts w:ascii="Arial" w:hAnsi="Arial" w:cs="Arial"/>
          <w:sz w:val="24"/>
        </w:rPr>
        <w:t>es</w:t>
      </w:r>
      <w:r w:rsidR="00AB16F4">
        <w:rPr>
          <w:rFonts w:ascii="Arial" w:hAnsi="Arial" w:cs="Arial"/>
          <w:sz w:val="24"/>
        </w:rPr>
        <w:t>s</w:t>
      </w:r>
      <w:r w:rsidR="002745B5">
        <w:rPr>
          <w:rFonts w:ascii="Arial" w:hAnsi="Arial" w:cs="Arial"/>
          <w:sz w:val="24"/>
        </w:rPr>
        <w:t>a conduta</w:t>
      </w:r>
      <w:r>
        <w:rPr>
          <w:rFonts w:ascii="Arial" w:hAnsi="Arial" w:cs="Arial"/>
          <w:sz w:val="24"/>
        </w:rPr>
        <w:t xml:space="preserve">. O acometimento do sistema musculoesquelético tornou-se, então, alvo de interesse de muitos centros de pesquisas, </w:t>
      </w:r>
      <w:r w:rsidR="00947039">
        <w:rPr>
          <w:rFonts w:ascii="Arial" w:hAnsi="Arial" w:cs="Arial"/>
          <w:sz w:val="24"/>
        </w:rPr>
        <w:t>visto</w:t>
      </w:r>
      <w:r>
        <w:rPr>
          <w:rFonts w:ascii="Arial" w:hAnsi="Arial" w:cs="Arial"/>
          <w:sz w:val="24"/>
        </w:rPr>
        <w:t xml:space="preserve"> que</w:t>
      </w:r>
      <w:r w:rsidR="00947039">
        <w:rPr>
          <w:rFonts w:ascii="Arial" w:hAnsi="Arial" w:cs="Arial"/>
          <w:sz w:val="24"/>
        </w:rPr>
        <w:t>,</w:t>
      </w:r>
      <w:r>
        <w:rPr>
          <w:rFonts w:ascii="Arial" w:hAnsi="Arial" w:cs="Arial"/>
          <w:sz w:val="24"/>
        </w:rPr>
        <w:t xml:space="preserve"> a possibilidade de modificar a função motora </w:t>
      </w:r>
      <w:r w:rsidR="00947039">
        <w:rPr>
          <w:rFonts w:ascii="Arial" w:hAnsi="Arial" w:cs="Arial"/>
          <w:sz w:val="24"/>
        </w:rPr>
        <w:t xml:space="preserve">poderia </w:t>
      </w:r>
      <w:r>
        <w:rPr>
          <w:rFonts w:ascii="Arial" w:hAnsi="Arial" w:cs="Arial"/>
          <w:sz w:val="24"/>
        </w:rPr>
        <w:t>representa</w:t>
      </w:r>
      <w:r w:rsidR="00947039">
        <w:rPr>
          <w:rFonts w:ascii="Arial" w:hAnsi="Arial" w:cs="Arial"/>
          <w:sz w:val="24"/>
        </w:rPr>
        <w:t>r</w:t>
      </w:r>
      <w:r>
        <w:rPr>
          <w:rFonts w:ascii="Arial" w:hAnsi="Arial" w:cs="Arial"/>
          <w:sz w:val="24"/>
        </w:rPr>
        <w:t xml:space="preserve"> um dos principais ganhos funcionais da TRE</w:t>
      </w:r>
      <w:r w:rsidR="006561BF">
        <w:rPr>
          <w:rFonts w:ascii="Arial" w:hAnsi="Arial" w:cs="Arial"/>
          <w:sz w:val="24"/>
        </w:rPr>
        <w:t>.</w:t>
      </w:r>
      <w:r w:rsidR="0099742B">
        <w:rPr>
          <w:rFonts w:ascii="Arial" w:hAnsi="Arial" w:cs="Arial"/>
          <w:sz w:val="24"/>
        </w:rPr>
        <w:fldChar w:fldCharType="begin" w:fldLock="1"/>
      </w:r>
      <w:r w:rsidR="005C2E82">
        <w:rPr>
          <w:rFonts w:ascii="Arial" w:hAnsi="Arial" w:cs="Arial"/>
          <w:sz w:val="24"/>
        </w:rPr>
        <w:instrText>ADDIN CSL_CITATION { "citationItems" : [ { "id" : "ITEM-1", "itemData" : { "DOI" : "10.2147/TACG.S69080", "author" : [ { "dropping-particle" : "", "family" : "Regier", "given" : "DS", "non-dropping-particle" : "", "parse-names" : false, "suffix" : "" }, { "dropping-particle" : "", "family" : "Tanpaiboon", "given" : "P", "non-dropping-particle" : "", "parse-names" : false, "suffix" : "" } ], "container-title" : "Appl Clin Genet.", "id" : "ITEM-1", "issued" : { "date-parts" : [ [ "2016" ] ] }, "page" : "67-74", "title" : "Role of elosulfase alfa in mucopolysaccharidosis IVA", "type" : "article-journal", "volume" : "9" }, "uris" : [ "http://www.mendeley.com/documents/?uuid=7da2a426-73db-41f9-b054-7b0b2a7ce98b" ] }, { "id" : "ITEM-2", "itemData" : { "DOI" : "10.1590/S0104-42302010000300009", "ISSN" : "0104-4230", "abstract" : "As mucopolissacaridoses (MPS) s\u00e3o doen\u00e7as gen\u00e9ticas raras causadas pela defici\u00eancia de enzimas lisoss\u00f4micas espec\u00edficas que afetam o catabolismo de glicosaminoglicanos (GAG). O ac\u00famulo de GAG em v\u00e1rios \u00f3rg\u00e3os e tecidos nos pacientes afetados pelas MPS resulta em uma s\u00e9rie de sinais e sintomas, integrantes de um quadro cl\u00ednico multissist\u00eamico que compromete ossos e articula\u00e7\u00f5es, vias respirat\u00f3rias, sistema cardiovascular e muitos outros \u00f3rg\u00e3os e tecidos, incluindo, em alguns casos, as fun\u00e7\u00f5es cognitivas. J\u00e1 foram identificados 11 defeitos enzim\u00e1ticos que causam sete tipos diferentes de MPS. Antes do advento de terapias dirigidas para a restaura\u00e7\u00e3o da atividade da enzima deficiente, o tratamento das MPS tinha como principal foco a preven\u00e7\u00e3o e o cuidado das complica\u00e7\u00f5es, aspecto ainda bastante importante no manejo desses pacientes. Na d\u00e9cada de 80 foi proposto o tratamento das MPS com transplante de medula \u00f3ssea/transplante de c\u00e9lulas tronco hematopoi\u00e9ticas (TMO/TCTH) e na d\u00e9cada de 90 come\u00e7ou o desenvolvimento da Terapia de Reposi\u00e7\u00e3o Enzim\u00e1tica (TRE), que se tornou uma realidade aprovada para uso cl\u00ednico nas MPS I, II e VI na primeira d\u00e9cada do s\u00e9culo 21. Os autores deste trabalho t\u00eam a convic\u00e7\u00e3o de que um melhor futuro para os pacientes afetados pelas MPS depende da identifica\u00e7\u00e3o, compreens\u00e3o e manejo adequado das manifesta\u00e7\u00f5es multissist\u00eamicas dessas doen\u00e7as, incluindo medidas de suporte (que devem fazer parte da assist\u00eancia multidisciplinar regular destes pacientes) e terapias espec\u00edficas. Embora a inibi\u00e7\u00e3o da s\u00edntese de GAG e o resgate da atividade enzim\u00e1tica com mol\u00e9culas pequenas tamb\u00e9m possam vir a ter um papel no manejo das MPS, o grande avan\u00e7o dispon\u00edvel no momento \u00e9 a TRE intravenosa. A TRE permitiu modificar radicalmente o panorama do tratamento das mucopolissacaridoses I, II e VI na \u00faltima d\u00e9cada, sendo que ainda pode estender seus benef\u00edcios em breve para a MPS IV A (cuja TRE j\u00e1 est\u00e1 em desenvolvimento cl\u00ednico), com perspectivas para o tratamento da MPS III A e do d\u00e9ficit cognitivo na MPS II atrav\u00e9s de administra\u00e7\u00e3o da enzima diretamente no sistema nervoso central (SNC). Um grande n\u00famero de centros brasileiros, incluindo servi\u00e7os de todas as regi\u00f5es do pa\u00eds, j\u00e1 t\u00eam experi\u00eancia com TRE para MPS I, II e VI. Essa experi\u00eancia foi adquirida n\u00e3o s\u00f3 com o tratamento de pacientes como tamb\u00e9m com a participa\u00e7\u00e3o de alguns grupos em ensaios cl\u00ednicos envolvendo TRE para essas condi\u00e7\u00f5es. Somados os tr\u00eas tipos de MPS, mais de 250 pacientes j\u00e1 foram tratado\u2026", "author" : [ { "dropping-particle" : "", "family" : "Giugliani R, Federhen A, Rojas MV, Vieira TA, Artigal\u00e1s O, Pinto LL", "given" : "et al.", "non-dropping-particle" : "", "parse-names" : false, "suffix" : "" } ], "container-title" : "Rev Assoc Med Bras", "id" : "ITEM-2", "issue" : "3", "issued" : { "date-parts" : [ [ "2010" ] ] }, "page" : "271-277", "title" : "Terapia de reposi\u00e7\u00e3o enzim\u00e1tica para as mucopolissacaridoses I , II e VI: recomenda\u00e7\u00f5es de um grupo de especialistas brasileiros", "type" : "article-journal", "volume" : "56" }, "uris" : [ "http://www.mendeley.com/documents/?uuid=20e9b74c-f667-4827-868e-144e7b460615" ] } ], "mendeley" : { "formattedCitation" : "&lt;sup&gt;24,27&lt;/sup&gt;", "plainTextFormattedCitation" : "24,27", "previouslyFormattedCitation" : "&lt;sup&gt;24,27&lt;/sup&gt;" }, "properties" : { "noteIndex" : 0 }, "schema" : "https://github.com/citation-style-language/schema/raw/master/csl-citation.json" }</w:instrText>
      </w:r>
      <w:r w:rsidR="0099742B">
        <w:rPr>
          <w:rFonts w:ascii="Arial" w:hAnsi="Arial" w:cs="Arial"/>
          <w:sz w:val="24"/>
        </w:rPr>
        <w:fldChar w:fldCharType="separate"/>
      </w:r>
      <w:r w:rsidR="001F649C" w:rsidRPr="001F649C">
        <w:rPr>
          <w:rFonts w:ascii="Arial" w:hAnsi="Arial" w:cs="Arial"/>
          <w:noProof/>
          <w:sz w:val="24"/>
          <w:vertAlign w:val="superscript"/>
        </w:rPr>
        <w:t>24,27</w:t>
      </w:r>
      <w:r w:rsidR="0099742B">
        <w:rPr>
          <w:rFonts w:ascii="Arial" w:hAnsi="Arial" w:cs="Arial"/>
          <w:sz w:val="24"/>
        </w:rPr>
        <w:fldChar w:fldCharType="end"/>
      </w:r>
    </w:p>
    <w:p w:rsidR="00947039" w:rsidRDefault="00947039" w:rsidP="00491682">
      <w:pPr>
        <w:spacing w:after="0" w:line="360" w:lineRule="auto"/>
        <w:jc w:val="both"/>
        <w:rPr>
          <w:rFonts w:ascii="Arial" w:hAnsi="Arial" w:cs="Arial"/>
          <w:sz w:val="24"/>
        </w:rPr>
      </w:pPr>
    </w:p>
    <w:p w:rsidR="003F6C33" w:rsidRDefault="003F6C33" w:rsidP="00491682">
      <w:pPr>
        <w:spacing w:after="0" w:line="360" w:lineRule="auto"/>
        <w:jc w:val="both"/>
        <w:rPr>
          <w:rFonts w:ascii="Arial" w:hAnsi="Arial" w:cs="Arial"/>
          <w:sz w:val="24"/>
        </w:rPr>
      </w:pPr>
      <w:r>
        <w:rPr>
          <w:rFonts w:ascii="Arial" w:hAnsi="Arial" w:cs="Arial"/>
          <w:sz w:val="24"/>
        </w:rPr>
        <w:t xml:space="preserve">De modo geral, a maior parte das pesquisas acerca do comprometimento funcional decorrente da </w:t>
      </w:r>
      <w:r w:rsidR="0003051C">
        <w:rPr>
          <w:rFonts w:ascii="Arial" w:hAnsi="Arial" w:cs="Arial"/>
          <w:sz w:val="24"/>
        </w:rPr>
        <w:t>MPS</w:t>
      </w:r>
      <w:r>
        <w:rPr>
          <w:rFonts w:ascii="Arial" w:hAnsi="Arial" w:cs="Arial"/>
          <w:sz w:val="24"/>
        </w:rPr>
        <w:t xml:space="preserve"> tem origem em países desenvolvidos</w:t>
      </w:r>
      <w:r>
        <w:rPr>
          <w:rFonts w:ascii="Arial" w:hAnsi="Arial" w:cs="Arial"/>
          <w:sz w:val="24"/>
        </w:rPr>
        <w:fldChar w:fldCharType="begin" w:fldLock="1"/>
      </w:r>
      <w:r w:rsidR="005C2E82">
        <w:rPr>
          <w:rFonts w:ascii="Arial" w:hAnsi="Arial" w:cs="Arial"/>
          <w:sz w:val="24"/>
        </w:rPr>
        <w:instrText>ADDIN CSL_CITATION { "citationItems" : [ { "id" : "ITEM-1", "itemData" : { "DOI" : "10.1016/j.braindev.2006.08.015", "ISSN" : "03877604", "PMID" : "17307320", "abstract" : "MPS type II (Hunter disease) results from deficiency of the lysosomal enzyme iduronate-2-sulfate sulfatase. Two forms of the disease have been recognized, based on absence or presence of progressive intellectual deterioration. This study aimed to assess activities of daily life (ADL) in 27 Hunter disease-affected Japanese patients, using a modified version of the functional independence measure (FIM). Scores of ADL for patients with a severe phenotype were significantly lower than those of control children. Total scores were highest around 5-7 years old, then progressively decreased, and scores &lt;40 were obtained with patients aged 9 years or more. In contrast to motor scores, cognitive scores decreased rapidly, generally reaching a minimum score at around 7 years old. On the other hand, in children with attenuated phenotype, total scores increased progressively with age similar to control children. Two children who had the highest grades at elementary school showed maximum scores. However, all adult patients did not show maximum total scores, and 3 of 4 patients over 25 years old showed decreasing scores. Two children and two adults showed significant lower scores compared with other patients, suggesting an intermediate form from the view of ADL. This study elucidated the precise clinical state of Hunter disease with distinct numerical scores, in addition to previously described narrative data. To maintain the QOL of the patients better, they and their family need to know what specific difficulties they encounter, in which period they encounter them, and what support can fix them. Further ADL investigations with larger populations and/or long-term sequential examination could help the patients and family to understand them well. ?? 2007 Elsevier B.V. All rights reserved.", "author" : [ { "dropping-particle" : "", "family" : "Kato", "given" : "Tomomi", "non-dropping-particle" : "", "parse-names" : false, "suffix" : "" }, { "dropping-particle" : "", "family" : "Kato", "given" : "Zenichiro", "non-dropping-particle" : "", "parse-names" : false, "suffix" : "" }, { "dropping-particle" : "", "family" : "Kuratsubo", "given" : "Izumi", "non-dropping-particle" : "", "parse-names" : false, "suffix" : "" }, { "dropping-particle" : "", "family" : "Ota", "given" : "Tetsuo", "non-dropping-particle" : "", "parse-names" : false, "suffix" : "" }, { "dropping-particle" : "", "family" : "Orii", "given" : "Tadao", "non-dropping-particle" : "", "parse-names" : false, "suffix" : "" }, { "dropping-particle" : "", "family" : "Kondo", "given" : "Naomi", "non-dropping-particle" : "", "parse-names" : false, "suffix" : "" }, { "dropping-particle" : "", "family" : "Suzuki", "given" : "Yasuyuki", "non-dropping-particle" : "", "parse-names" : false, "suffix" : "" } ], "container-title" : "Brain and Development", "id" : "ITEM-1", "issue" : "5", "issued" : { "date-parts" : [ [ "2007" ] ] }, "page" : "298-305", "title" : "Evaluation of ADL in patients with Hunter disease using FIM score", "type" : "article-journal", "volume" : "29" }, "uris" : [ "http://www.mendeley.com/documents/?uuid=54fdccb9-1aea-4226-b380-1addec026e0d" ] }, { "id" : "ITEM-2", "itemData" : { "DOI" : "10.1016/j.ymgme.2016.04.005.Activity", "author" : [ { "dropping-particle" : "", "family" : "Yasuda", "given" : "Eriko", "non-dropping-particle" : "", "parse-names" : false, "suffix" : "" }, { "dropping-particle" : "", "family" : "Suzuki", "given" : "Yasuyuki", "non-dropping-particle" : "", "parse-names" : false, "suffix" : "" }, { "dropping-particle" : "", "family" : "Shimada", "given" : "Tsutomu", "non-dropping-particle" : "", "parse-names" : false, "suffix" : "" }, { "dropping-particle" : "", "family" : "Sawamoto", "given" : "Kazuki", "non-dropping-particle" : "", "parse-names" : false, "suffix" : "" }, { "dropping-particle" : "", "family" : "William", "given" : "G", "non-dropping-particle" : "", "parse-names" : false, "suffix" : "" }, { "dropping-particle" : "", "family" : "Theroux", "given" : "Mary C", "non-dropping-particle" : "", "parse-names" : false, "suffix" : "" }, { "dropping-particle" : "", "family" : "Pizarro", "given" : "Christian", "non-dropping-particle" : "", "parse-names" : false, "suffix" : "" }, { "dropping-particle" : "", "family" : "Xie", "given" : "Li", "non-dropping-particle" : "", "parse-names" : false, "suffix" : "" }, { "dropping-particle" : "", "family" : "Miller", "given" : "Freeman", "non-dropping-particle" : "", "parse-names" : false, "suffix" : "" }, { "dropping-particle" : "", "family" : "Rahman", "given" : "Tariq", "non-dropping-particle" : "", "parse-names" : false, "suffix" : "" }, { "dropping-particle" : "", "family" : "Kecskemethy", "given" : "Heidi H", "non-dropping-particle" : "", "parse-names" : false, "suffix" : "" }, { "dropping-particle" : "", "family" : "Nagao", "given" : "Kyoko", "non-dropping-particle" : "", "parse-names" : false, "suffix" : "" }, { "dropping-particle" : "", "family" : "Morlet", "given" : "Thierry", "non-dropping-particle" : "", "parse-names" : false, "suffix" : "" }, { "dropping-particle" : "", "family" : "Shaffer", "given" : "Thomas H", "non-dropping-particle" : "", "parse-names" : false, "suffix" : "" }, { "dropping-particle" : "", "family" : "Yabe", "given" : "Hiromasa", "non-dropping-particle" : "", "parse-names" : false, "suffix" : "" }, { "dropping-particle" : "", "family" : "Tanaka", "given" : "Akemi", "non-dropping-particle" : "", "parse-names" : false, "suffix" : "" }, { "dropping-particle" : "", "family" : "Shintaku", "given" : "Haruo", "non-dropping-particle" : "", "parse-names" : false, "suffix" : "" }, { "dropping-particle" : "", "family" : "Orii", "given" : "Kenji E", "non-dropping-particle" : "", "parse-names" : false, "suffix" : "" }, { "dropping-particle" : "", "family" : "Orii", "given" : "Koji O", "non-dropping-particle" : "", "parse-names" : false, "suffix" : "" }, { "dropping-particle" : "", "family" : "Mason", "given" : "Robert W", "non-dropping-particle" : "", "parse-names" : false, "suffix" : "" }, { "dropping-particle" : "", "family" : "Fukao", "given" : "Toshiyuki", "non-dropping-particle" : "", "parse-names" : false, "suffix" : "" }, { "dropping-particle" : "", "family" : "Orii", "given" : "Tadao", "non-dropping-particle" : "", "parse-names" : false, "suffix" : "" } ], "container-title" : "Mol Genet Metab", "id" : "ITEM-2", "issue" : "2", "issued" : { "date-parts" : [ [ "2016" ] ] }, "page" : "111-122", "title" : "Activity of daily living for Morquio A syndrome", "type" : "article-journal", "volume" : "118" }, "uris" : [ "http://www.mendeley.com/documents/?uuid=0b22010b-6f58-466a-938c-19b4cc158254" ] } ], "mendeley" : { "formattedCitation" : "&lt;sup&gt;28,29&lt;/sup&gt;", "plainTextFormattedCitation" : "28,29", "previouslyFormattedCitation" : "&lt;sup&gt;28,29&lt;/sup&gt;" }, "properties" : { "noteIndex" : 0 }, "schema" : "https://github.com/citation-style-language/schema/raw/master/csl-citation.json" }</w:instrText>
      </w:r>
      <w:r>
        <w:rPr>
          <w:rFonts w:ascii="Arial" w:hAnsi="Arial" w:cs="Arial"/>
          <w:sz w:val="24"/>
        </w:rPr>
        <w:fldChar w:fldCharType="separate"/>
      </w:r>
      <w:r w:rsidR="001F649C" w:rsidRPr="001F649C">
        <w:rPr>
          <w:rFonts w:ascii="Arial" w:hAnsi="Arial" w:cs="Arial"/>
          <w:noProof/>
          <w:sz w:val="24"/>
          <w:vertAlign w:val="superscript"/>
        </w:rPr>
        <w:t>28,29</w:t>
      </w:r>
      <w:r>
        <w:rPr>
          <w:rFonts w:ascii="Arial" w:hAnsi="Arial" w:cs="Arial"/>
          <w:sz w:val="24"/>
        </w:rPr>
        <w:fldChar w:fldCharType="end"/>
      </w:r>
      <w:r>
        <w:rPr>
          <w:rFonts w:ascii="Arial" w:hAnsi="Arial" w:cs="Arial"/>
          <w:sz w:val="24"/>
        </w:rPr>
        <w:t>, constituídos por populações com características socioculturais diferentes</w:t>
      </w:r>
      <w:r w:rsidR="00947039">
        <w:rPr>
          <w:rFonts w:ascii="Arial" w:hAnsi="Arial" w:cs="Arial"/>
          <w:sz w:val="24"/>
        </w:rPr>
        <w:t xml:space="preserve"> da população brasileira</w:t>
      </w:r>
      <w:r>
        <w:rPr>
          <w:rFonts w:ascii="Arial" w:hAnsi="Arial" w:cs="Arial"/>
          <w:sz w:val="24"/>
        </w:rPr>
        <w:t xml:space="preserve"> e amparados por melhor suporte social e assistência em saúde.</w:t>
      </w:r>
      <w:r w:rsidR="007A75D8">
        <w:rPr>
          <w:rFonts w:ascii="Arial" w:hAnsi="Arial" w:cs="Arial"/>
          <w:sz w:val="24"/>
        </w:rPr>
        <w:t xml:space="preserve"> </w:t>
      </w:r>
      <w:r>
        <w:rPr>
          <w:rFonts w:ascii="Arial" w:hAnsi="Arial" w:cs="Arial"/>
          <w:sz w:val="24"/>
        </w:rPr>
        <w:t>No cenário nacional e em outros países em desenvolvimento, as pesquisas sobre essas doenças ainda são incipientes. Os poucos estudos sobre independência funcional têm sido conduzidos em situações específicas</w:t>
      </w:r>
      <w:r w:rsidR="00AA17FA">
        <w:rPr>
          <w:rFonts w:ascii="Arial" w:hAnsi="Arial" w:cs="Arial"/>
          <w:sz w:val="24"/>
        </w:rPr>
        <w:t>,</w:t>
      </w:r>
      <w:r>
        <w:rPr>
          <w:rFonts w:ascii="Arial" w:hAnsi="Arial" w:cs="Arial"/>
          <w:sz w:val="24"/>
        </w:rPr>
        <w:t xml:space="preserve"> relacionadas à avaliação da função da mão</w:t>
      </w:r>
      <w:r>
        <w:rPr>
          <w:rFonts w:ascii="Arial" w:hAnsi="Arial" w:cs="Arial"/>
          <w:sz w:val="24"/>
        </w:rPr>
        <w:fldChar w:fldCharType="begin" w:fldLock="1"/>
      </w:r>
      <w:r w:rsidR="005C2E82">
        <w:rPr>
          <w:rFonts w:ascii="Arial" w:hAnsi="Arial" w:cs="Arial"/>
          <w:sz w:val="24"/>
        </w:rPr>
        <w:instrText>ADDIN CSL_CITATION { "citationItems" : [ { "id" : "ITEM-1", "itemData" : { "DOI" : "10.1186/1546-0096-12-32", "ISSN" : "1546-0096", "PMID" : "25110468", "abstract" : "BACKGROUND: Children with mucopolysaccharidoses (MPS) often have musculoskeletal (MSK) abnormalities. Paediatric Gait, Arms, Legs, and Spine (pGALS), is a simple MSK assessment validated in school-age children to detect abnormal joints. We aimed to identify MSK abnormalities in children with MPS performing pGALS.\\n\\nMETHODS: Videos of children with a spectrum of MPS performing pGALS were analysed. A piloted proforma to record abnormalities for each pGALS manoeuvre observed in the videos (scored as normal/abnormal/not assessable) was used by three observers blinded to MPS subtype. Videos were scored independently and rescored for intra- and inter-observer consistency. Data were pooled and analysed.\\n\\nRESULTS: Eighteen videos of children [12 boys, 6 girls, median age 11 years (4-19)] with MPS (13 type I [5 Hurler, 8 attenuated type I]; 4 type II; 1 mannosidosis) were assessed. The most common abnormalities detected using pGALS were restrictions of the shoulder, elbow, wrist, jaw (&gt;75% cases), and fingers (2/3 cases). Mean intra-observer \u039a 0.74 (range 0.65-0.88) and inter-observer \u039a 0.62 (range 0.51-0.77). Hip manoeuvres were not clearly demonstrated in the videos.\\n\\nCONCLUSIONS: In this observational study, pGALS identifies MSK abnormalities in children with MPS. Restricted joint movement (especially upper limb) was a consistent finding. Future work includes pGALS assessment of the hip and testing pGALS in further children with attenuated MPS type I. The use of pGALS and awareness of patterns of joint involvement may be a useful adjunct to facilitate earlier recognition of these rare conditions and ultimately access to specialist care.", "author" : [ { "dropping-particle" : "", "family" : "Chan", "given" : "Mercedes O", "non-dropping-particle" : "", "parse-names" : false, "suffix" : "" }, { "dropping-particle" : "", "family" : "Sen", "given" : "Ethan S", "non-dropping-particle" : "", "parse-names" : false, "suffix" : "" }, { "dropping-particle" : "", "family" : "Hardy", "given" : "Elizabeth", "non-dropping-particle" : "", "parse-names" : false, "suffix" : "" }, { "dropping-particle" : "", "family" : "Hensman", "given" : "Pauline", "non-dropping-particle" : "", "parse-names" : false, "suffix" : "" }, { "dropping-particle" : "", "family" : "Wraith", "given" : "Edmond", "non-dropping-particle" : "", "parse-names" : false, "suffix" : "" }, { "dropping-particle" : "", "family" : "Jones", "given" : "Simon", "non-dropping-particle" : "", "parse-names" : false, "suffix" : "" }, { "dropping-particle" : "", "family" : "Rapley", "given" : "Tim", "non-dropping-particle" : "", "parse-names" : false, "suffix" : "" }, { "dropping-particle" : "", "family" : "Foster", "given" : "Helen E", "non-dropping-particle" : "", "parse-names" : false, "suffix" : "" } ], "container-title" : "Pediatric rheumatology online journal", "id" : "ITEM-1", "issue" : "32", "issued" : { "date-parts" : [ [ "2014" ] ] }, "page" : "1-9", "title" : "Assessment of musculoskeletal abnormalities in children with mucopolysaccharidoses using pGALS.", "type" : "article-journal", "volume" : "12" }, "uris" : [ "http://www.mendeley.com/documents/?uuid=bdf88c63-89a0-4de5-baa7-b0b8491d126a" ] }, { "id" : "ITEM-2", "itemData" : { "DOI" : "10.2223/JPED.1743 [doi]", "ISBN" : "0021-7557 (Print)\\r0021-7557 (Linking)", "ISSN" : "0021-7557", "PMID" : "18338089", "abstract" : "OBJECTIVE: Descrever o perfil de mobilidade articular e das for\u00e7as de garra e de pin\u00e7a de indiv\u00edduos com MPS VI, al\u00e9m de sua correla\u00e7\u00e3o com a excre\u00e7\u00e3o urin\u00e1ria de glicosaminoglicanos, atividade da ARSB e distancia percorrida no teste de caminhada de 6 minutos. METHODS: This was an observational study of 28 patients with MPS VI, who had not undergone specific treatment. All patients were assessed for amplitude of joint mobility (shoulder, elbow, and knee), grip and pinch strength and urinary GAG excretion and also performed the 6MWT. RESULTS: Shoulder flexion exhibited the greatest limitation, with no correlation with age, followed by knee extension and elbow flexion, both of which were correlated inversely with age. Hand grip strength was compromised in all patients, and pinch strength exhibited a positive correlation with age. CONCLUSIONS: The fact that restricted shoulder flexion was not correlated with age suggests that this finding is present early on in MPS VI and that it constitutes an important clinical sign that should arouse diagnostic suspicion of this disease. The amplitude of knee extension and elbow flexion, in turn, are possible markers of disease progression since they have a negative correlation with age. Further studies are needed to confirm these hypotheses.", "author" : [ { "dropping-particle" : "", "family" : "Cardoso-Santos", "given" : "A", "non-dropping-particle" : "", "parse-names" : false, "suffix" : "" }, { "dropping-particle" : "", "family" : "Azevedo", "given" : "A C", "non-dropping-particle" : "", "parse-names" : false, "suffix" : "" }, { "dropping-particle" : "", "family" : "Fagondes", "given" : "S", "non-dropping-particle" : "", "parse-names" : false, "suffix" : "" }, { "dropping-particle" : "", "family" : "Burin", "given" : "M G", "non-dropping-particle" : "", "parse-names" : false, "suffix" : "" }, { "dropping-particle" : "", "family" : "Giugliani", "given" : "R", "non-dropping-particle" : "", "parse-names" : false, "suffix" : "" }, { "dropping-particle" : "V", "family" : "Schwartz", "given" : "I", "non-dropping-particle" : "", "parse-names" : false, "suffix" : "" } ], "container-title" : "J.Pediatr.", "id" : "ITEM-2", "issue" : "2", "issued" : { "date-parts" : [ [ "2008" ] ] }, "page" : "130-135", "title" : "Mucopolysaccharidosis type VI (Maroteaux-Lamy syndrome): assessment of joint mobility and grip and pinch strength.", "type" : "article-journal", "volume" : "84" }, "uris" : [ "http://www.mendeley.com/documents/?uuid=75be6894-52e9-428c-8f8c-adf380a5f980" ] } ], "mendeley" : { "formattedCitation" : "&lt;sup&gt;7,30&lt;/sup&gt;", "plainTextFormattedCitation" : "7,30", "previouslyFormattedCitation" : "&lt;sup&gt;7,30&lt;/sup&gt;" }, "properties" : { "noteIndex" : 0 }, "schema" : "https://github.com/citation-style-language/schema/raw/master/csl-citation.json" }</w:instrText>
      </w:r>
      <w:r>
        <w:rPr>
          <w:rFonts w:ascii="Arial" w:hAnsi="Arial" w:cs="Arial"/>
          <w:sz w:val="24"/>
        </w:rPr>
        <w:fldChar w:fldCharType="separate"/>
      </w:r>
      <w:r w:rsidR="001F649C" w:rsidRPr="001F649C">
        <w:rPr>
          <w:rFonts w:ascii="Arial" w:hAnsi="Arial" w:cs="Arial"/>
          <w:noProof/>
          <w:sz w:val="24"/>
          <w:vertAlign w:val="superscript"/>
        </w:rPr>
        <w:t>7,30</w:t>
      </w:r>
      <w:r>
        <w:rPr>
          <w:rFonts w:ascii="Arial" w:hAnsi="Arial" w:cs="Arial"/>
          <w:sz w:val="24"/>
        </w:rPr>
        <w:fldChar w:fldCharType="end"/>
      </w:r>
      <w:r>
        <w:rPr>
          <w:rFonts w:ascii="Arial" w:hAnsi="Arial" w:cs="Arial"/>
          <w:sz w:val="24"/>
        </w:rPr>
        <w:t>, da marcha</w:t>
      </w:r>
      <w:r>
        <w:rPr>
          <w:rFonts w:ascii="Arial" w:hAnsi="Arial" w:cs="Arial"/>
          <w:sz w:val="24"/>
        </w:rPr>
        <w:fldChar w:fldCharType="begin" w:fldLock="1"/>
      </w:r>
      <w:r w:rsidR="005C2E82">
        <w:rPr>
          <w:rFonts w:ascii="Arial" w:hAnsi="Arial" w:cs="Arial"/>
          <w:sz w:val="24"/>
        </w:rPr>
        <w:instrText>ADDIN CSL_CITATION { "citationItems" : [ { "id" : "ITEM-1", "itemData" : { "DOI" : "10.1186/1546-0096-12-32", "ISSN" : "1546-0096", "PMID" : "25110468", "abstract" : "BACKGROUND: Children with mucopolysaccharidoses (MPS) often have musculoskeletal (MSK) abnormalities. Paediatric Gait, Arms, Legs, and Spine (pGALS), is a simple MSK assessment validated in school-age children to detect abnormal joints. We aimed to identify MSK abnormalities in children with MPS performing pGALS.\\n\\nMETHODS: Videos of children with a spectrum of MPS performing pGALS were analysed. A piloted proforma to record abnormalities for each pGALS manoeuvre observed in the videos (scored as normal/abnormal/not assessable) was used by three observers blinded to MPS subtype. Videos were scored independently and rescored for intra- and inter-observer consistency. Data were pooled and analysed.\\n\\nRESULTS: Eighteen videos of children [12 boys, 6 girls, median age 11 years (4-19)] with MPS (13 type I [5 Hurler, 8 attenuated type I]; 4 type II; 1 mannosidosis) were assessed. The most common abnormalities detected using pGALS were restrictions of the shoulder, elbow, wrist, jaw (&gt;75% cases), and fingers (2/3 cases). Mean intra-observer \u039a 0.74 (range 0.65-0.88) and inter-observer \u039a 0.62 (range 0.51-0.77). Hip manoeuvres were not clearly demonstrated in the videos.\\n\\nCONCLUSIONS: In this observational study, pGALS identifies MSK abnormalities in children with MPS. Restricted joint movement (especially upper limb) was a consistent finding. Future work includes pGALS assessment of the hip and testing pGALS in further children with attenuated MPS type I. The use of pGALS and awareness of patterns of joint involvement may be a useful adjunct to facilitate earlier recognition of these rare conditions and ultimately access to specialist care.", "author" : [ { "dropping-particle" : "", "family" : "Chan", "given" : "Mercedes O", "non-dropping-particle" : "", "parse-names" : false, "suffix" : "" }, { "dropping-particle" : "", "family" : "Sen", "given" : "Ethan S", "non-dropping-particle" : "", "parse-names" : false, "suffix" : "" }, { "dropping-particle" : "", "family" : "Hardy", "given" : "Elizabeth", "non-dropping-particle" : "", "parse-names" : false, "suffix" : "" }, { "dropping-particle" : "", "family" : "Hensman", "given" : "Pauline", "non-dropping-particle" : "", "parse-names" : false, "suffix" : "" }, { "dropping-particle" : "", "family" : "Wraith", "given" : "Edmond", "non-dropping-particle" : "", "parse-names" : false, "suffix" : "" }, { "dropping-particle" : "", "family" : "Jones", "given" : "Simon", "non-dropping-particle" : "", "parse-names" : false, "suffix" : "" }, { "dropping-particle" : "", "family" : "Rapley", "given" : "Tim", "non-dropping-particle" : "", "parse-names" : false, "suffix" : "" }, { "dropping-particle" : "", "family" : "Foster", "given" : "Helen E", "non-dropping-particle" : "", "parse-names" : false, "suffix" : "" } ], "container-title" : "Pediatric rheumatology online journal", "id" : "ITEM-1", "issue" : "32", "issued" : { "date-parts" : [ [ "2014" ] ] }, "page" : "1-9", "title" : "Assessment of musculoskeletal abnormalities in children with mucopolysaccharidoses using pGALS.", "type" : "article-journal", "volume" : "12" }, "uris" : [ "http://www.mendeley.com/documents/?uuid=bdf88c63-89a0-4de5-baa7-b0b8491d126a" ] }, { "id" : "ITEM-2", "itemData" : { "DOI" : "10.1590/S1413-78522013000200009", "ISSN" : "1413-7852", "PMID" : "24453654", "abstract" : "Objective: The aim of this study is to evaluate energy expenditure in gait by mucopolysaccharidosis affected patients by means of a simple and adequate to the clinical environment methodology. Methods: A cross-sectional study was carried out comparing energy expenditure during gait in 19 patients suffering from mucopolysaccharidosis (MPS Group) with 19 asymptomatic control individuals (Control Group). Energy expenditure was measured in calories (cal) using a Polar telemetric watch (model FT7) during a 50 meter walk. Variables such as age, weight, height, body mass index (BMI), initial hart rate, final hart rate, and walking time, were recorded. Results: MPS Group showed a mean energy expenditure during gait of 2.84 cal (\u00b11,01), versus 1.42 cal (\u00b10,51), 100% higher than the Control Group; MPS also presented increased initial hart rate (22% higher), final hart rate (13% higher) and walking time (13% higher). Conclusions: Energy expenditure during gait in MPS patients was two times higher than control individuals; the methodology used showed to be a promising alternative, also adequate to the standard clinical environment.", "author" : [ { "dropping-particle" : "", "family" : "Matos", "given" : "Marcos Almeida", "non-dropping-particle" : "", "parse-names" : false, "suffix" : "" }, { "dropping-particle" : "", "family" : "Prado", "given" : "Andre", "non-dropping-particle" : "", "parse-names" : false, "suffix" : "" }, { "dropping-particle" : "", "family" : "Schenkel", "given" : "Gustavo", "non-dropping-particle" : "", "parse-names" : false, "suffix" : "" }, { "dropping-particle" : "", "family" : "Barreto", "given" : "Rosa", "non-dropping-particle" : "", "parse-names" : false, "suffix" : "" }, { "dropping-particle" : "", "family" : "Acosta", "given" : "Angelina Xavier", "non-dropping-particle" : "", "parse-names" : false, "suffix" : "" } ], "container-title" : "Acta Ortopedica Brasileira", "id" : "ITEM-2", "issue" : "2", "issued" : { "date-parts" : [ [ "2013" ] ] }, "page" : "116-119", "title" : "Energy expenditure during gait in patients with mucopolysaccharidosis", "type" : "article-journal", "volume" : "21" }, "uris" : [ "http://www.mendeley.com/documents/?uuid=3ad0096d-3832-47e5-a785-cf0597fdb2ca" ] }, { "id" : "ITEM-3", "itemData" : { "DOI" : "10.1177/0883073812438100", "ISBN" : "0883-0738", "ISSN" : "0883-0738", "abstract" : "Mucopolysaccharidoses are lysosomal storage disorders that are caused by a deficiency in the enzymes that degrade glycosaminoglycans. The accumulation of glycosaminoglycans affects multiple systems, resulting in coarse facial features, short stature, organomegaly, and variable neurological changes from normal intelligence to severe mental retardation and spasticity. Effects on the musculoskeletal system include dysostosis multiplex, joint stiffness, and muscle shortening. This article reports 2 patients with mucopolysaccharidosis type II (Hunter syndrome) who showed progressive equinus deformity of the feet. Both patients were treated with intramuscular botulinum toxin type A injections in the gastrocnemius and the soleus muscles, followed by serial casting. In both patients, passive range of motion, muscle tone, and gait performance were significantly improved. Botulinum toxin type A injections followed by serial casting are a therapeutic option for contractures in patients with mucopolysaccharidosis. However, the long-term effects and the effect of application in other muscles remain unknown. \u00a9 The Author(s) 2012.", "author" : [ { "dropping-particle" : "", "family" : "Nava E, Weber P, Gautschi M, Nuoffer JM", "given" : "Grunt S.", "non-dropping-particle" : "", "parse-names" : false, "suffix" : "" } ], "container-title" : "Journal of Child Neurology", "id" : "ITEM-3", "issue" : "12", "issued" : { "date-parts" : [ [ "2012" ] ] }, "page" : "1611-1615", "title" : "Botulinum toxin type A for the treatment of equinus deformity in patients with mucopolysaccharidosis type II", "type" : "article-journal", "volume" : "27" }, "uris" : [ "http://www.mendeley.com/documents/?uuid=fe084139-217b-4f6c-825f-c2e9ff97fa43" ] } ], "mendeley" : { "formattedCitation" : "&lt;sup&gt;7,9,31&lt;/sup&gt;", "plainTextFormattedCitation" : "7,9,31", "previouslyFormattedCitation" : "&lt;sup&gt;7,9,31&lt;/sup&gt;" }, "properties" : { "noteIndex" : 0 }, "schema" : "https://github.com/citation-style-language/schema/raw/master/csl-citation.json" }</w:instrText>
      </w:r>
      <w:r>
        <w:rPr>
          <w:rFonts w:ascii="Arial" w:hAnsi="Arial" w:cs="Arial"/>
          <w:sz w:val="24"/>
        </w:rPr>
        <w:fldChar w:fldCharType="separate"/>
      </w:r>
      <w:r w:rsidR="001F649C" w:rsidRPr="001F649C">
        <w:rPr>
          <w:rFonts w:ascii="Arial" w:hAnsi="Arial" w:cs="Arial"/>
          <w:noProof/>
          <w:sz w:val="24"/>
          <w:vertAlign w:val="superscript"/>
        </w:rPr>
        <w:t>7,9,31</w:t>
      </w:r>
      <w:r>
        <w:rPr>
          <w:rFonts w:ascii="Arial" w:hAnsi="Arial" w:cs="Arial"/>
          <w:sz w:val="24"/>
        </w:rPr>
        <w:fldChar w:fldCharType="end"/>
      </w:r>
      <w:r w:rsidR="00DE6523">
        <w:rPr>
          <w:rFonts w:ascii="Arial" w:hAnsi="Arial" w:cs="Arial"/>
          <w:sz w:val="24"/>
        </w:rPr>
        <w:t xml:space="preserve"> ou de</w:t>
      </w:r>
      <w:r>
        <w:rPr>
          <w:rFonts w:ascii="Arial" w:hAnsi="Arial" w:cs="Arial"/>
          <w:sz w:val="24"/>
        </w:rPr>
        <w:t xml:space="preserve"> atividades de vida diária</w:t>
      </w:r>
      <w:r w:rsidR="004D2725">
        <w:rPr>
          <w:rFonts w:ascii="Arial" w:hAnsi="Arial" w:cs="Arial"/>
          <w:sz w:val="24"/>
        </w:rPr>
        <w:t xml:space="preserve"> (AVD)</w:t>
      </w:r>
      <w:r>
        <w:rPr>
          <w:rFonts w:ascii="Arial" w:hAnsi="Arial" w:cs="Arial"/>
          <w:sz w:val="24"/>
        </w:rPr>
        <w:fldChar w:fldCharType="begin" w:fldLock="1"/>
      </w:r>
      <w:r w:rsidR="005C2E82">
        <w:rPr>
          <w:rFonts w:ascii="Arial" w:hAnsi="Arial" w:cs="Arial"/>
          <w:sz w:val="24"/>
        </w:rPr>
        <w:instrText>ADDIN CSL_CITATION { "citationItems" : [ { "id" : "ITEM-1", "itemData" : { "DOI" : "10.3233/PRM-2012-0194", "ISSN" : "18745393", "PMID" : "22543891", "abstract" : "The mucopolysaccharidoses (MPS) are rare genetic disorders caused by a deficiency in lysosomal enzymes that affect the catabolism of glycosaminoglycans and cause their accumulation, resulting in a multisystemic clinical picture. Their clinical manifestations result in limited ability to perform daily life tasks.", "author" : [ { "dropping-particle" : "", "family" : "Guarany", "given" : "Nicole Ruas", "non-dropping-particle" : "", "parse-names" : false, "suffix" : "" }, { "dropping-particle" : "", "family" : "Schwartz", "given" : "Ida Vanessa D", "non-dropping-particle" : "", "parse-names" : false, "suffix" : "" }, { "dropping-particle" : "", "family" : "Guarany", "given" : "F\u00e1bio Coelho", "non-dropping-particle" : "", "parse-names" : false, "suffix" : "" }, { "dropping-particle" : "", "family" : "Giugliani", "given" : "Roberto", "non-dropping-particle" : "", "parse-names" : false, "suffix" : "" } ], "container-title" : "Journal of Pediatric Rehabilitation Medicine", "id" : "ITEM-1", "issue" : "1", "issued" : { "date-parts" : [ [ "2012" ] ] }, "page" : "37-46", "title" : "Functional capacity evaluation of patients with mucopolysaccharidosis", "type" : "article-journal", "volume" : "5" }, "uris" : [ "http://www.mendeley.com/documents/?uuid=4129becd-066a-4258-a413-78a5846e72a7" ] }, { "id" : "ITEM-2", "itemData" : { "DOI" : "10.1016/j.braindev.2006.08.015", "ISSN" : "03877604", "PMID" : "17307320", "abstract" : "MPS type II (Hunter disease) results from deficiency of the lysosomal enzyme iduronate-2-sulfate sulfatase. Two forms of the disease have been recognized, based on absence or presence of progressive intellectual deterioration. This study aimed to assess activities of daily life (ADL) in 27 Hunter disease-affected Japanese patients, using a modified version of the functional independence measure (FIM). Scores of ADL for patients with a severe phenotype were significantly lower than those of control children. Total scores were highest around 5-7 years old, then progressively decreased, and scores &lt;40 were obtained with patients aged 9 years or more. In contrast to motor scores, cognitive scores decreased rapidly, generally reaching a minimum score at around 7 years old. On the other hand, in children with attenuated phenotype, total scores increased progressively with age similar to control children. Two children who had the highest grades at elementary school showed maximum scores. However, all adult patients did not show maximum total scores, and 3 of 4 patients over 25 years old showed decreasing scores. Two children and two adults showed significant lower scores compared with other patients, suggesting an intermediate form from the view of ADL. This study elucidated the precise clinical state of Hunter disease with distinct numerical scores, in addition to previously described narrative data. To maintain the QOL of the patients better, they and their family need to know what specific difficulties they encounter, in which period they encounter them, and what support can fix them. Further ADL investigations with larger populations and/or long-term sequential examination could help the patients and family to understand them well. ?? 2007 Elsevier B.V. All rights reserved.", "author" : [ { "dropping-particle" : "", "family" : "Kato", "given" : "Tomomi", "non-dropping-particle" : "", "parse-names" : false, "suffix" : "" }, { "dropping-particle" : "", "family" : "Kato", "given" : "Zenichiro", "non-dropping-particle" : "", "parse-names" : false, "suffix" : "" }, { "dropping-particle" : "", "family" : "Kuratsubo", "given" : "Izumi", "non-dropping-particle" : "", "parse-names" : false, "suffix" : "" }, { "dropping-particle" : "", "family" : "Ota", "given" : "Tetsuo", "non-dropping-particle" : "", "parse-names" : false, "suffix" : "" }, { "dropping-particle" : "", "family" : "Orii", "given" : "Tadao", "non-dropping-particle" : "", "parse-names" : false, "suffix" : "" }, { "dropping-particle" : "", "family" : "Kondo", "given" : "Naomi", "non-dropping-particle" : "", "parse-names" : false, "suffix" : "" }, { "dropping-particle" : "", "family" : "Suzuki", "given" : "Yasuyuki", "non-dropping-particle" : "", "parse-names" : false, "suffix" : "" } ], "container-title" : "Brain and Development", "id" : "ITEM-2", "issue" : "5", "issued" : { "date-parts" : [ [ "2007" ] ] }, "page" : "298-305", "title" : "Evaluation of ADL in patients with Hunter disease using FIM score", "type" : "article-journal", "volume" : "29" }, "uris" : [ "http://www.mendeley.com/documents/?uuid=54fdccb9-1aea-4226-b380-1addec026e0d" ] } ], "mendeley" : { "formattedCitation" : "&lt;sup&gt;28,32&lt;/sup&gt;", "plainTextFormattedCitation" : "28,32", "previouslyFormattedCitation" : "&lt;sup&gt;28,32&lt;/sup&gt;" }, "properties" : { "noteIndex" : 0 }, "schema" : "https://github.com/citation-style-language/schema/raw/master/csl-citation.json" }</w:instrText>
      </w:r>
      <w:r>
        <w:rPr>
          <w:rFonts w:ascii="Arial" w:hAnsi="Arial" w:cs="Arial"/>
          <w:sz w:val="24"/>
        </w:rPr>
        <w:fldChar w:fldCharType="separate"/>
      </w:r>
      <w:r w:rsidR="001F649C" w:rsidRPr="001F649C">
        <w:rPr>
          <w:rFonts w:ascii="Arial" w:hAnsi="Arial" w:cs="Arial"/>
          <w:noProof/>
          <w:sz w:val="24"/>
          <w:vertAlign w:val="superscript"/>
        </w:rPr>
        <w:t>28,32</w:t>
      </w:r>
      <w:r>
        <w:rPr>
          <w:rFonts w:ascii="Arial" w:hAnsi="Arial" w:cs="Arial"/>
          <w:sz w:val="24"/>
        </w:rPr>
        <w:fldChar w:fldCharType="end"/>
      </w:r>
      <w:r w:rsidR="007A75D8">
        <w:rPr>
          <w:rFonts w:ascii="Arial" w:hAnsi="Arial" w:cs="Arial"/>
          <w:sz w:val="24"/>
        </w:rPr>
        <w:t>. Desta forma,</w:t>
      </w:r>
      <w:r w:rsidR="00BA0BCE">
        <w:rPr>
          <w:rFonts w:ascii="Arial" w:hAnsi="Arial" w:cs="Arial"/>
          <w:sz w:val="24"/>
        </w:rPr>
        <w:t xml:space="preserve"> não </w:t>
      </w:r>
      <w:r>
        <w:rPr>
          <w:rFonts w:ascii="Arial" w:hAnsi="Arial" w:cs="Arial"/>
          <w:sz w:val="24"/>
        </w:rPr>
        <w:t>contempla</w:t>
      </w:r>
      <w:r w:rsidR="00564AA8">
        <w:rPr>
          <w:rFonts w:ascii="Arial" w:hAnsi="Arial" w:cs="Arial"/>
          <w:sz w:val="24"/>
        </w:rPr>
        <w:t>m</w:t>
      </w:r>
      <w:r w:rsidR="0022121D">
        <w:rPr>
          <w:rFonts w:ascii="Arial" w:hAnsi="Arial" w:cs="Arial"/>
          <w:sz w:val="24"/>
        </w:rPr>
        <w:t>, por exemplo,</w:t>
      </w:r>
      <w:r>
        <w:rPr>
          <w:rFonts w:ascii="Arial" w:hAnsi="Arial" w:cs="Arial"/>
          <w:sz w:val="24"/>
        </w:rPr>
        <w:t xml:space="preserve"> </w:t>
      </w:r>
      <w:r w:rsidR="00BA0BCE" w:rsidRPr="008C1FF4">
        <w:rPr>
          <w:rFonts w:ascii="Arial" w:hAnsi="Arial" w:cs="Arial"/>
          <w:sz w:val="24"/>
        </w:rPr>
        <w:t xml:space="preserve">a associação </w:t>
      </w:r>
      <w:r w:rsidR="0022121D" w:rsidRPr="008C1FF4">
        <w:rPr>
          <w:rFonts w:ascii="Arial" w:hAnsi="Arial" w:cs="Arial"/>
          <w:sz w:val="24"/>
        </w:rPr>
        <w:t xml:space="preserve">entre </w:t>
      </w:r>
      <w:r w:rsidRPr="008C1FF4">
        <w:rPr>
          <w:rFonts w:ascii="Arial" w:hAnsi="Arial" w:cs="Arial"/>
          <w:sz w:val="24"/>
        </w:rPr>
        <w:t>funcionalidade</w:t>
      </w:r>
      <w:r w:rsidR="0022121D" w:rsidRPr="008C1FF4">
        <w:rPr>
          <w:rFonts w:ascii="Arial" w:hAnsi="Arial" w:cs="Arial"/>
          <w:sz w:val="24"/>
        </w:rPr>
        <w:t xml:space="preserve"> </w:t>
      </w:r>
      <w:r w:rsidR="00090053" w:rsidRPr="008C1FF4">
        <w:rPr>
          <w:rFonts w:ascii="Arial" w:hAnsi="Arial" w:cs="Arial"/>
          <w:sz w:val="24"/>
        </w:rPr>
        <w:t xml:space="preserve">e </w:t>
      </w:r>
      <w:r w:rsidR="00D664A1" w:rsidRPr="008C1FF4">
        <w:rPr>
          <w:rFonts w:ascii="Arial" w:hAnsi="Arial" w:cs="Arial"/>
          <w:sz w:val="24"/>
        </w:rPr>
        <w:t xml:space="preserve">qualidade de vida </w:t>
      </w:r>
      <w:r w:rsidR="0022121D" w:rsidRPr="008C1FF4">
        <w:rPr>
          <w:rFonts w:ascii="Arial" w:hAnsi="Arial" w:cs="Arial"/>
          <w:sz w:val="24"/>
        </w:rPr>
        <w:t>de</w:t>
      </w:r>
      <w:r w:rsidR="00564AA8" w:rsidRPr="008C1FF4">
        <w:rPr>
          <w:rFonts w:ascii="Arial" w:hAnsi="Arial" w:cs="Arial"/>
          <w:sz w:val="24"/>
        </w:rPr>
        <w:t xml:space="preserve"> pacientes pediátricos acometidos por </w:t>
      </w:r>
      <w:r w:rsidR="00B369BB" w:rsidRPr="008C1FF4">
        <w:rPr>
          <w:rFonts w:ascii="Arial" w:hAnsi="Arial" w:cs="Arial"/>
          <w:sz w:val="24"/>
        </w:rPr>
        <w:t>MPS</w:t>
      </w:r>
      <w:r w:rsidRPr="008C1FF4">
        <w:rPr>
          <w:rFonts w:ascii="Arial" w:hAnsi="Arial" w:cs="Arial"/>
          <w:sz w:val="24"/>
        </w:rPr>
        <w:t>.</w:t>
      </w:r>
    </w:p>
    <w:p w:rsidR="00947039" w:rsidRDefault="00947039" w:rsidP="00491682">
      <w:pPr>
        <w:spacing w:after="0" w:line="360" w:lineRule="auto"/>
        <w:jc w:val="both"/>
        <w:rPr>
          <w:rFonts w:ascii="Arial" w:hAnsi="Arial" w:cs="Arial"/>
          <w:sz w:val="24"/>
        </w:rPr>
      </w:pPr>
    </w:p>
    <w:p w:rsidR="003F6C33" w:rsidRDefault="003F6C33" w:rsidP="00491682">
      <w:pPr>
        <w:spacing w:after="0" w:line="360" w:lineRule="auto"/>
        <w:jc w:val="both"/>
        <w:rPr>
          <w:rFonts w:ascii="Arial" w:hAnsi="Arial" w:cs="Arial"/>
          <w:sz w:val="24"/>
        </w:rPr>
      </w:pPr>
      <w:r>
        <w:rPr>
          <w:rFonts w:ascii="Arial" w:hAnsi="Arial" w:cs="Arial"/>
          <w:sz w:val="24"/>
        </w:rPr>
        <w:t>E</w:t>
      </w:r>
      <w:r w:rsidR="00B369BB">
        <w:rPr>
          <w:rFonts w:ascii="Arial" w:hAnsi="Arial" w:cs="Arial"/>
          <w:sz w:val="24"/>
        </w:rPr>
        <w:t>, e</w:t>
      </w:r>
      <w:r>
        <w:rPr>
          <w:rFonts w:ascii="Arial" w:hAnsi="Arial" w:cs="Arial"/>
          <w:sz w:val="24"/>
        </w:rPr>
        <w:t>mbora múltiplos estudos evidenciem que a limitação funcional corres</w:t>
      </w:r>
      <w:r w:rsidR="00D04BE6">
        <w:rPr>
          <w:rFonts w:ascii="Arial" w:hAnsi="Arial" w:cs="Arial"/>
          <w:sz w:val="24"/>
        </w:rPr>
        <w:t>ponde</w:t>
      </w:r>
      <w:r>
        <w:rPr>
          <w:rFonts w:ascii="Arial" w:hAnsi="Arial" w:cs="Arial"/>
          <w:sz w:val="24"/>
        </w:rPr>
        <w:t xml:space="preserve"> a um dos principais danos gerados p</w:t>
      </w:r>
      <w:r w:rsidR="00B369BB">
        <w:rPr>
          <w:rFonts w:ascii="Arial" w:hAnsi="Arial" w:cs="Arial"/>
          <w:sz w:val="24"/>
        </w:rPr>
        <w:t>or essa doença</w:t>
      </w:r>
      <w:r>
        <w:rPr>
          <w:rFonts w:ascii="Arial" w:hAnsi="Arial" w:cs="Arial"/>
          <w:sz w:val="24"/>
        </w:rPr>
        <w:fldChar w:fldCharType="begin" w:fldLock="1"/>
      </w:r>
      <w:r w:rsidR="005C2E82">
        <w:rPr>
          <w:rFonts w:ascii="Arial" w:hAnsi="Arial" w:cs="Arial"/>
          <w:sz w:val="24"/>
        </w:rPr>
        <w:instrText>ADDIN CSL_CITATION { "citationItems" : [ { "id" : "ITEM-1", "itemData" : { "DOI" : "10.3233/PRM-2012-0194", "ISSN" : "18745393", "PMID" : "22543891", "abstract" : "The mucopolysaccharidoses (MPS) are rare genetic disorders caused by a deficiency in lysosomal enzymes that affect the catabolism of glycosaminoglycans and cause their accumulation, resulting in a multisystemic clinical picture. Their clinical manifestations result in limited ability to perform daily life tasks.", "author" : [ { "dropping-particle" : "", "family" : "Guarany", "given" : "Nicole Ruas", "non-dropping-particle" : "", "parse-names" : false, "suffix" : "" }, { "dropping-particle" : "", "family" : "Schwartz", "given" : "Ida Vanessa D", "non-dropping-particle" : "", "parse-names" : false, "suffix" : "" }, { "dropping-particle" : "", "family" : "Guarany", "given" : "F\u00e1bio Coelho", "non-dropping-particle" : "", "parse-names" : false, "suffix" : "" }, { "dropping-particle" : "", "family" : "Giugliani", "given" : "Roberto", "non-dropping-particle" : "", "parse-names" : false, "suffix" : "" } ], "container-title" : "Journal of Pediatric Rehabilitation Medicine", "id" : "ITEM-1", "issue" : "1", "issued" : { "date-parts" : [ [ "2012" ] ] }, "page" : "37-46", "title" : "Functional capacity evaluation of patients with mucopolysaccharidosis", "type" : "article-journal", "volume" : "5" }, "uris" : [ "http://www.mendeley.com/documents/?uuid=4129becd-066a-4258-a413-78a5846e72a7" ] }, { "id" : "ITEM-2", "itemData" : { "DOI" : "10.1016/j.braindev.2006.08.015", "ISSN" : "03877604", "PMID" : "17307320", "abstract" : "MPS type II (Hunter disease) results from deficiency of the lysosomal enzyme iduronate-2-sulfate sulfatase. Two forms of the disease have been recognized, based on absence or presence of progressive intellectual deterioration. This study aimed to assess activities of daily life (ADL) in 27 Hunter disease-affected Japanese patients, using a modified version of the functional independence measure (FIM). Scores of ADL for patients with a severe phenotype were significantly lower than those of control children. Total scores were highest around 5-7 years old, then progressively decreased, and scores &lt;40 were obtained with patients aged 9 years or more. In contrast to motor scores, cognitive scores decreased rapidly, generally reaching a minimum score at around 7 years old. On the other hand, in children with attenuated phenotype, total scores increased progressively with age similar to control children. Two children who had the highest grades at elementary school showed maximum scores. However, all adult patients did not show maximum total scores, and 3 of 4 patients over 25 years old showed decreasing scores. Two children and two adults showed significant lower scores compared with other patients, suggesting an intermediate form from the view of ADL. This study elucidated the precise clinical state of Hunter disease with distinct numerical scores, in addition to previously described narrative data. To maintain the QOL of the patients better, they and their family need to know what specific difficulties they encounter, in which period they encounter them, and what support can fix them. Further ADL investigations with larger populations and/or long-term sequential examination could help the patients and family to understand them well. ?? 2007 Elsevier B.V. All rights reserved.", "author" : [ { "dropping-particle" : "", "family" : "Kato", "given" : "Tomomi", "non-dropping-particle" : "", "parse-names" : false, "suffix" : "" }, { "dropping-particle" : "", "family" : "Kato", "given" : "Zenichiro", "non-dropping-particle" : "", "parse-names" : false, "suffix" : "" }, { "dropping-particle" : "", "family" : "Kuratsubo", "given" : "Izumi", "non-dropping-particle" : "", "parse-names" : false, "suffix" : "" }, { "dropping-particle" : "", "family" : "Ota", "given" : "Tetsuo", "non-dropping-particle" : "", "parse-names" : false, "suffix" : "" }, { "dropping-particle" : "", "family" : "Orii", "given" : "Tadao", "non-dropping-particle" : "", "parse-names" : false, "suffix" : "" }, { "dropping-particle" : "", "family" : "Kondo", "given" : "Naomi", "non-dropping-particle" : "", "parse-names" : false, "suffix" : "" }, { "dropping-particle" : "", "family" : "Suzuki", "given" : "Yasuyuki", "non-dropping-particle" : "", "parse-names" : false, "suffix" : "" } ], "container-title" : "Brain and Development", "id" : "ITEM-2", "issue" : "5", "issued" : { "date-parts" : [ [ "2007" ] ] }, "page" : "298-305", "title" : "Evaluation of ADL in patients with Hunter disease using FIM score", "type" : "article-journal", "volume" : "29" }, "uris" : [ "http://www.mendeley.com/documents/?uuid=54fdccb9-1aea-4226-b380-1addec026e0d" ] }, { "id" : "ITEM-3", "itemData" : { "DOI" : "10.1016/j.ymgme.2016.04.005.Activity", "author" : [ { "dropping-particle" : "", "family" : "Yasuda", "given" : "Eriko", "non-dropping-particle" : "", "parse-names" : false, "suffix" : "" }, { "dropping-particle" : "", "family" : "Suzuki", "given" : "Yasuyuki", "non-dropping-particle" : "", "parse-names" : false, "suffix" : "" }, { "dropping-particle" : "", "family" : "Shimada", "given" : "Tsutomu", "non-dropping-particle" : "", "parse-names" : false, "suffix" : "" }, { "dropping-particle" : "", "family" : "Sawamoto", "given" : "Kazuki", "non-dropping-particle" : "", "parse-names" : false, "suffix" : "" }, { "dropping-particle" : "", "family" : "William", "given" : "G", "non-dropping-particle" : "", "parse-names" : false, "suffix" : "" }, { "dropping-particle" : "", "family" : "Theroux", "given" : "Mary C", "non-dropping-particle" : "", "parse-names" : false, "suffix" : "" }, { "dropping-particle" : "", "family" : "Pizarro", "given" : "Christian", "non-dropping-particle" : "", "parse-names" : false, "suffix" : "" }, { "dropping-particle" : "", "family" : "Xie", "given" : "Li", "non-dropping-particle" : "", "parse-names" : false, "suffix" : "" }, { "dropping-particle" : "", "family" : "Miller", "given" : "Freeman", "non-dropping-particle" : "", "parse-names" : false, "suffix" : "" }, { "dropping-particle" : "", "family" : "Rahman", "given" : "Tariq", "non-dropping-particle" : "", "parse-names" : false, "suffix" : "" }, { "dropping-particle" : "", "family" : "Kecskemethy", "given" : "Heidi H", "non-dropping-particle" : "", "parse-names" : false, "suffix" : "" }, { "dropping-particle" : "", "family" : "Nagao", "given" : "Kyoko", "non-dropping-particle" : "", "parse-names" : false, "suffix" : "" }, { "dropping-particle" : "", "family" : "Morlet", "given" : "Thierry", "non-dropping-particle" : "", "parse-names" : false, "suffix" : "" }, { "dropping-particle" : "", "family" : "Shaffer", "given" : "Thomas H", "non-dropping-particle" : "", "parse-names" : false, "suffix" : "" }, { "dropping-particle" : "", "family" : "Yabe", "given" : "Hiromasa", "non-dropping-particle" : "", "parse-names" : false, "suffix" : "" }, { "dropping-particle" : "", "family" : "Tanaka", "given" : "Akemi", "non-dropping-particle" : "", "parse-names" : false, "suffix" : "" }, { "dropping-particle" : "", "family" : "Shintaku", "given" : "Haruo", "non-dropping-particle" : "", "parse-names" : false, "suffix" : "" }, { "dropping-particle" : "", "family" : "Orii", "given" : "Kenji E", "non-dropping-particle" : "", "parse-names" : false, "suffix" : "" }, { "dropping-particle" : "", "family" : "Orii", "given" : "Koji O", "non-dropping-particle" : "", "parse-names" : false, "suffix" : "" }, { "dropping-particle" : "", "family" : "Mason", "given" : "Robert W", "non-dropping-particle" : "", "parse-names" : false, "suffix" : "" }, { "dropping-particle" : "", "family" : "Fukao", "given" : "Toshiyuki", "non-dropping-particle" : "", "parse-names" : false, "suffix" : "" }, { "dropping-particle" : "", "family" : "Orii", "given" : "Tadao", "non-dropping-particle" : "", "parse-names" : false, "suffix" : "" } ], "container-title" : "Mol Genet Metab", "id" : "ITEM-3", "issue" : "2", "issued" : { "date-parts" : [ [ "2016" ] ] }, "page" : "111-122", "title" : "Activity of daily living for Morquio A syndrome", "type" : "article-journal", "volume" : "118" }, "uris" : [ "http://www.mendeley.com/documents/?uuid=0b22010b-6f58-466a-938c-19b4cc158254" ] } ], "mendeley" : { "formattedCitation" : "&lt;sup&gt;28,29,32&lt;/sup&gt;", "plainTextFormattedCitation" : "28,29,32", "previouslyFormattedCitation" : "&lt;sup&gt;28,29,32&lt;/sup&gt;" }, "properties" : { "noteIndex" : 0 }, "schema" : "https://github.com/citation-style-language/schema/raw/master/csl-citation.json" }</w:instrText>
      </w:r>
      <w:r>
        <w:rPr>
          <w:rFonts w:ascii="Arial" w:hAnsi="Arial" w:cs="Arial"/>
          <w:sz w:val="24"/>
        </w:rPr>
        <w:fldChar w:fldCharType="separate"/>
      </w:r>
      <w:r w:rsidR="001F649C" w:rsidRPr="001F649C">
        <w:rPr>
          <w:rFonts w:ascii="Arial" w:hAnsi="Arial" w:cs="Arial"/>
          <w:noProof/>
          <w:sz w:val="24"/>
          <w:vertAlign w:val="superscript"/>
        </w:rPr>
        <w:t>28,29,32</w:t>
      </w:r>
      <w:r>
        <w:rPr>
          <w:rFonts w:ascii="Arial" w:hAnsi="Arial" w:cs="Arial"/>
          <w:sz w:val="24"/>
        </w:rPr>
        <w:fldChar w:fldCharType="end"/>
      </w:r>
      <w:r>
        <w:rPr>
          <w:rFonts w:ascii="Arial" w:hAnsi="Arial" w:cs="Arial"/>
          <w:sz w:val="24"/>
        </w:rPr>
        <w:t>,</w:t>
      </w:r>
      <w:r w:rsidR="00C274A5">
        <w:rPr>
          <w:rFonts w:ascii="Arial" w:hAnsi="Arial" w:cs="Arial"/>
          <w:sz w:val="24"/>
        </w:rPr>
        <w:t xml:space="preserve"> presume-se que</w:t>
      </w:r>
      <w:r>
        <w:rPr>
          <w:rFonts w:ascii="Arial" w:hAnsi="Arial" w:cs="Arial"/>
          <w:sz w:val="24"/>
        </w:rPr>
        <w:t xml:space="preserve"> muitos </w:t>
      </w:r>
      <w:r>
        <w:rPr>
          <w:rFonts w:ascii="Arial" w:hAnsi="Arial" w:cs="Arial"/>
          <w:sz w:val="24"/>
        </w:rPr>
        <w:lastRenderedPageBreak/>
        <w:t xml:space="preserve">profissionais de saúde, </w:t>
      </w:r>
      <w:r w:rsidR="00D04BE6">
        <w:rPr>
          <w:rFonts w:ascii="Arial" w:hAnsi="Arial" w:cs="Arial"/>
          <w:sz w:val="24"/>
        </w:rPr>
        <w:t>em especial,</w:t>
      </w:r>
      <w:r w:rsidR="006B222F">
        <w:rPr>
          <w:rFonts w:ascii="Arial" w:hAnsi="Arial" w:cs="Arial"/>
          <w:sz w:val="24"/>
        </w:rPr>
        <w:t xml:space="preserve"> </w:t>
      </w:r>
      <w:r>
        <w:rPr>
          <w:rFonts w:ascii="Arial" w:hAnsi="Arial" w:cs="Arial"/>
          <w:sz w:val="24"/>
        </w:rPr>
        <w:t xml:space="preserve">fisioterapeutas, ainda desconhecem a </w:t>
      </w:r>
      <w:r w:rsidR="00B369BB">
        <w:rPr>
          <w:rFonts w:ascii="Arial" w:hAnsi="Arial" w:cs="Arial"/>
          <w:sz w:val="24"/>
        </w:rPr>
        <w:t xml:space="preserve">MPS </w:t>
      </w:r>
      <w:r>
        <w:rPr>
          <w:rFonts w:ascii="Arial" w:hAnsi="Arial" w:cs="Arial"/>
          <w:sz w:val="24"/>
        </w:rPr>
        <w:t xml:space="preserve">e suas repercussões, </w:t>
      </w:r>
      <w:r w:rsidR="00947039">
        <w:rPr>
          <w:rFonts w:ascii="Arial" w:hAnsi="Arial" w:cs="Arial"/>
          <w:sz w:val="24"/>
        </w:rPr>
        <w:t xml:space="preserve">deixando evidente a </w:t>
      </w:r>
      <w:r>
        <w:rPr>
          <w:rFonts w:ascii="Arial" w:hAnsi="Arial" w:cs="Arial"/>
          <w:sz w:val="24"/>
        </w:rPr>
        <w:t>lacuna</w:t>
      </w:r>
      <w:r w:rsidR="00947039">
        <w:rPr>
          <w:rFonts w:ascii="Arial" w:hAnsi="Arial" w:cs="Arial"/>
          <w:sz w:val="24"/>
        </w:rPr>
        <w:t xml:space="preserve"> do conhecimento</w:t>
      </w:r>
      <w:r>
        <w:rPr>
          <w:rFonts w:ascii="Arial" w:hAnsi="Arial" w:cs="Arial"/>
          <w:sz w:val="24"/>
        </w:rPr>
        <w:t xml:space="preserve"> quanto às</w:t>
      </w:r>
      <w:r w:rsidR="007A6B3F">
        <w:rPr>
          <w:rFonts w:ascii="Arial" w:hAnsi="Arial" w:cs="Arial"/>
          <w:sz w:val="24"/>
        </w:rPr>
        <w:t xml:space="preserve"> possibilidades de intervenção </w:t>
      </w:r>
      <w:r w:rsidR="00726630">
        <w:rPr>
          <w:rFonts w:ascii="Arial" w:hAnsi="Arial" w:cs="Arial"/>
          <w:sz w:val="24"/>
        </w:rPr>
        <w:t>n</w:t>
      </w:r>
      <w:r>
        <w:rPr>
          <w:rFonts w:ascii="Arial" w:hAnsi="Arial" w:cs="Arial"/>
          <w:sz w:val="24"/>
        </w:rPr>
        <w:t>esta população.</w:t>
      </w:r>
    </w:p>
    <w:p w:rsidR="00947039" w:rsidRDefault="00947039" w:rsidP="00491682">
      <w:pPr>
        <w:spacing w:after="0" w:line="360" w:lineRule="auto"/>
        <w:jc w:val="both"/>
        <w:rPr>
          <w:rFonts w:ascii="Arial" w:hAnsi="Arial" w:cs="Arial"/>
          <w:sz w:val="24"/>
        </w:rPr>
      </w:pPr>
    </w:p>
    <w:p w:rsidR="00EE6023" w:rsidRDefault="00D04BE6" w:rsidP="00491682">
      <w:pPr>
        <w:spacing w:after="0" w:line="360" w:lineRule="auto"/>
        <w:jc w:val="both"/>
        <w:rPr>
          <w:rFonts w:ascii="Arial" w:hAnsi="Arial" w:cs="Arial"/>
          <w:sz w:val="24"/>
        </w:rPr>
      </w:pPr>
      <w:r>
        <w:rPr>
          <w:rFonts w:ascii="Arial" w:hAnsi="Arial" w:cs="Arial"/>
          <w:sz w:val="24"/>
        </w:rPr>
        <w:t xml:space="preserve">Acredita-se que </w:t>
      </w:r>
      <w:r w:rsidR="0056330E">
        <w:rPr>
          <w:rFonts w:ascii="Arial" w:hAnsi="Arial" w:cs="Arial"/>
          <w:sz w:val="24"/>
        </w:rPr>
        <w:t>a investigação</w:t>
      </w:r>
      <w:r w:rsidR="00602E94">
        <w:rPr>
          <w:rFonts w:ascii="Arial" w:hAnsi="Arial" w:cs="Arial"/>
          <w:sz w:val="24"/>
        </w:rPr>
        <w:t xml:space="preserve"> sobre a</w:t>
      </w:r>
      <w:r w:rsidR="00C57164">
        <w:rPr>
          <w:rFonts w:ascii="Arial" w:hAnsi="Arial" w:cs="Arial"/>
          <w:sz w:val="24"/>
        </w:rPr>
        <w:t xml:space="preserve"> associação </w:t>
      </w:r>
      <w:r w:rsidR="00602E94">
        <w:rPr>
          <w:rFonts w:ascii="Arial" w:hAnsi="Arial" w:cs="Arial"/>
          <w:sz w:val="24"/>
        </w:rPr>
        <w:t>entre independência funcional e</w:t>
      </w:r>
      <w:r>
        <w:rPr>
          <w:rFonts w:ascii="Arial" w:hAnsi="Arial" w:cs="Arial"/>
          <w:sz w:val="24"/>
        </w:rPr>
        <w:t xml:space="preserve"> </w:t>
      </w:r>
      <w:r w:rsidR="00DA5CDB">
        <w:rPr>
          <w:rFonts w:ascii="Arial" w:hAnsi="Arial" w:cs="Arial"/>
          <w:sz w:val="24"/>
        </w:rPr>
        <w:t>qualidade de vida relacionada à saúde (</w:t>
      </w:r>
      <w:r>
        <w:rPr>
          <w:rFonts w:ascii="Arial" w:hAnsi="Arial" w:cs="Arial"/>
          <w:sz w:val="24"/>
        </w:rPr>
        <w:t>QVRS</w:t>
      </w:r>
      <w:r w:rsidR="00DA5CDB">
        <w:rPr>
          <w:rFonts w:ascii="Arial" w:hAnsi="Arial" w:cs="Arial"/>
          <w:sz w:val="24"/>
        </w:rPr>
        <w:t>)</w:t>
      </w:r>
      <w:r w:rsidR="003F6C33">
        <w:rPr>
          <w:rFonts w:ascii="Arial" w:hAnsi="Arial" w:cs="Arial"/>
          <w:sz w:val="24"/>
        </w:rPr>
        <w:t xml:space="preserve"> possa embasar propostas terapêuticas na área de reabilitação</w:t>
      </w:r>
      <w:r w:rsidR="005D22C2">
        <w:rPr>
          <w:rFonts w:ascii="Arial" w:hAnsi="Arial" w:cs="Arial"/>
          <w:sz w:val="24"/>
        </w:rPr>
        <w:t>,</w:t>
      </w:r>
      <w:r w:rsidR="003F6C33">
        <w:rPr>
          <w:rFonts w:ascii="Arial" w:hAnsi="Arial" w:cs="Arial"/>
          <w:sz w:val="24"/>
        </w:rPr>
        <w:t xml:space="preserve"> direcionadas às necessidades específicas dos pacientes com MPS, de forma a </w:t>
      </w:r>
      <w:r w:rsidR="007D7901">
        <w:rPr>
          <w:rFonts w:ascii="Arial" w:hAnsi="Arial" w:cs="Arial"/>
          <w:sz w:val="24"/>
        </w:rPr>
        <w:t xml:space="preserve">oferecer suporte mais adequado e </w:t>
      </w:r>
      <w:r w:rsidR="003F6C33">
        <w:rPr>
          <w:rFonts w:ascii="Arial" w:hAnsi="Arial" w:cs="Arial"/>
          <w:sz w:val="24"/>
        </w:rPr>
        <w:t>amenizar a condição de limitação funcional entre estes indivíduos</w:t>
      </w:r>
      <w:r w:rsidR="00911A1B">
        <w:rPr>
          <w:rFonts w:ascii="Arial" w:hAnsi="Arial" w:cs="Arial"/>
          <w:sz w:val="24"/>
        </w:rPr>
        <w:t>.</w:t>
      </w:r>
    </w:p>
    <w:p w:rsidR="001544A2" w:rsidRDefault="001544A2" w:rsidP="00491682">
      <w:pPr>
        <w:spacing w:after="0" w:line="360" w:lineRule="auto"/>
        <w:jc w:val="both"/>
        <w:rPr>
          <w:rFonts w:ascii="Arial" w:hAnsi="Arial" w:cs="Arial"/>
          <w:sz w:val="24"/>
        </w:rPr>
      </w:pPr>
    </w:p>
    <w:p w:rsidR="00D04BE6" w:rsidRDefault="00D04BE6" w:rsidP="00491682">
      <w:pPr>
        <w:spacing w:after="0" w:line="360" w:lineRule="auto"/>
        <w:jc w:val="both"/>
        <w:rPr>
          <w:rFonts w:ascii="Arial" w:hAnsi="Arial" w:cs="Arial"/>
          <w:sz w:val="24"/>
        </w:rPr>
      </w:pPr>
      <w:r>
        <w:rPr>
          <w:rFonts w:ascii="Arial" w:hAnsi="Arial" w:cs="Arial"/>
          <w:sz w:val="24"/>
        </w:rPr>
        <w:t>Por este motivo,</w:t>
      </w:r>
      <w:r w:rsidR="00740253">
        <w:rPr>
          <w:rFonts w:ascii="Arial" w:hAnsi="Arial" w:cs="Arial"/>
          <w:sz w:val="24"/>
        </w:rPr>
        <w:t xml:space="preserve"> </w:t>
      </w:r>
      <w:r w:rsidR="00740253" w:rsidRPr="008C1FF4">
        <w:rPr>
          <w:rFonts w:ascii="Arial" w:hAnsi="Arial" w:cs="Arial"/>
          <w:sz w:val="24"/>
        </w:rPr>
        <w:t xml:space="preserve">o objetivo principal deste estudo foi verificar a existência </w:t>
      </w:r>
      <w:r w:rsidR="00525B32" w:rsidRPr="008C1FF4">
        <w:rPr>
          <w:rFonts w:ascii="Arial" w:hAnsi="Arial" w:cs="Arial"/>
          <w:sz w:val="24"/>
        </w:rPr>
        <w:t>de</w:t>
      </w:r>
      <w:r w:rsidRPr="008C1FF4">
        <w:rPr>
          <w:rFonts w:ascii="Arial" w:hAnsi="Arial" w:cs="Arial"/>
          <w:sz w:val="24"/>
        </w:rPr>
        <w:t xml:space="preserve"> correlação entre a independência funcional e a </w:t>
      </w:r>
      <w:r w:rsidR="008F0CDF" w:rsidRPr="008C1FF4">
        <w:rPr>
          <w:rFonts w:ascii="Arial" w:hAnsi="Arial" w:cs="Arial"/>
          <w:sz w:val="24"/>
        </w:rPr>
        <w:t>QVRS</w:t>
      </w:r>
      <w:r w:rsidRPr="008C1FF4">
        <w:rPr>
          <w:rFonts w:ascii="Arial" w:hAnsi="Arial" w:cs="Arial"/>
          <w:sz w:val="24"/>
        </w:rPr>
        <w:t xml:space="preserve"> de pacientes pediátricos </w:t>
      </w:r>
      <w:r w:rsidR="007A75D8" w:rsidRPr="008C1FF4">
        <w:rPr>
          <w:rFonts w:ascii="Arial" w:hAnsi="Arial" w:cs="Arial"/>
          <w:sz w:val="24"/>
        </w:rPr>
        <w:t>diagnosticados com</w:t>
      </w:r>
      <w:r w:rsidR="0013023E" w:rsidRPr="008C1FF4">
        <w:rPr>
          <w:rFonts w:ascii="Arial" w:hAnsi="Arial" w:cs="Arial"/>
          <w:sz w:val="24"/>
        </w:rPr>
        <w:t xml:space="preserve"> mucopolissacaridoses</w:t>
      </w:r>
      <w:r w:rsidR="00525B32" w:rsidRPr="008C1FF4">
        <w:rPr>
          <w:rFonts w:ascii="Arial" w:hAnsi="Arial" w:cs="Arial"/>
          <w:sz w:val="24"/>
        </w:rPr>
        <w:t xml:space="preserve"> </w:t>
      </w:r>
      <w:r w:rsidR="00A70767">
        <w:rPr>
          <w:rFonts w:ascii="Arial" w:hAnsi="Arial" w:cs="Arial"/>
          <w:sz w:val="24"/>
        </w:rPr>
        <w:t>na Bahia</w:t>
      </w:r>
      <w:r w:rsidR="00525B32">
        <w:rPr>
          <w:rFonts w:ascii="Arial" w:hAnsi="Arial" w:cs="Arial"/>
          <w:sz w:val="24"/>
        </w:rPr>
        <w:t>.</w:t>
      </w:r>
    </w:p>
    <w:p w:rsidR="00EE6023" w:rsidRDefault="00EE6023" w:rsidP="00856222">
      <w:pPr>
        <w:spacing w:after="0" w:line="360" w:lineRule="auto"/>
        <w:jc w:val="both"/>
        <w:rPr>
          <w:rFonts w:ascii="Arial" w:hAnsi="Arial" w:cs="Arial"/>
          <w:sz w:val="24"/>
        </w:rPr>
      </w:pPr>
    </w:p>
    <w:p w:rsidR="00EE6023" w:rsidRDefault="00EE6023" w:rsidP="00856222">
      <w:pPr>
        <w:spacing w:after="0" w:line="360" w:lineRule="auto"/>
        <w:jc w:val="both"/>
        <w:rPr>
          <w:rFonts w:ascii="Arial" w:hAnsi="Arial" w:cs="Arial"/>
          <w:sz w:val="24"/>
        </w:rPr>
      </w:pPr>
    </w:p>
    <w:p w:rsidR="00EE6023" w:rsidRDefault="00EE6023" w:rsidP="00856222">
      <w:pPr>
        <w:spacing w:after="0" w:line="360" w:lineRule="auto"/>
        <w:jc w:val="both"/>
        <w:rPr>
          <w:rFonts w:ascii="Arial" w:hAnsi="Arial" w:cs="Arial"/>
          <w:sz w:val="24"/>
        </w:rPr>
      </w:pPr>
    </w:p>
    <w:p w:rsidR="00947039" w:rsidRDefault="00947039" w:rsidP="00856222">
      <w:pPr>
        <w:spacing w:after="0" w:line="360" w:lineRule="auto"/>
        <w:jc w:val="both"/>
        <w:rPr>
          <w:rFonts w:ascii="Arial" w:hAnsi="Arial" w:cs="Arial"/>
          <w:sz w:val="24"/>
        </w:rPr>
      </w:pPr>
    </w:p>
    <w:p w:rsidR="00947039" w:rsidRDefault="00947039" w:rsidP="00856222">
      <w:pPr>
        <w:spacing w:after="0" w:line="360" w:lineRule="auto"/>
        <w:jc w:val="both"/>
        <w:rPr>
          <w:rFonts w:ascii="Arial" w:hAnsi="Arial" w:cs="Arial"/>
          <w:sz w:val="24"/>
        </w:rPr>
      </w:pPr>
    </w:p>
    <w:p w:rsidR="00947039" w:rsidRDefault="00947039" w:rsidP="00856222">
      <w:pPr>
        <w:spacing w:after="0" w:line="360" w:lineRule="auto"/>
        <w:jc w:val="both"/>
        <w:rPr>
          <w:rFonts w:ascii="Arial" w:hAnsi="Arial" w:cs="Arial"/>
          <w:sz w:val="24"/>
        </w:rPr>
      </w:pPr>
    </w:p>
    <w:p w:rsidR="00947039" w:rsidRDefault="00947039" w:rsidP="00856222">
      <w:pPr>
        <w:spacing w:after="0" w:line="360" w:lineRule="auto"/>
        <w:jc w:val="both"/>
        <w:rPr>
          <w:rFonts w:ascii="Arial" w:hAnsi="Arial" w:cs="Arial"/>
          <w:sz w:val="24"/>
        </w:rPr>
      </w:pPr>
    </w:p>
    <w:p w:rsidR="00947039" w:rsidRDefault="00947039" w:rsidP="00856222">
      <w:pPr>
        <w:spacing w:after="0" w:line="360" w:lineRule="auto"/>
        <w:jc w:val="both"/>
        <w:rPr>
          <w:rFonts w:ascii="Arial" w:hAnsi="Arial" w:cs="Arial"/>
          <w:sz w:val="24"/>
        </w:rPr>
      </w:pPr>
    </w:p>
    <w:p w:rsidR="00947039" w:rsidRDefault="00947039" w:rsidP="00856222">
      <w:pPr>
        <w:spacing w:after="0" w:line="360" w:lineRule="auto"/>
        <w:jc w:val="both"/>
        <w:rPr>
          <w:rFonts w:ascii="Arial" w:hAnsi="Arial" w:cs="Arial"/>
          <w:sz w:val="24"/>
        </w:rPr>
      </w:pPr>
    </w:p>
    <w:p w:rsidR="00947039" w:rsidRDefault="00947039" w:rsidP="00856222">
      <w:pPr>
        <w:spacing w:after="0" w:line="360" w:lineRule="auto"/>
        <w:jc w:val="both"/>
        <w:rPr>
          <w:rFonts w:ascii="Arial" w:hAnsi="Arial" w:cs="Arial"/>
          <w:sz w:val="24"/>
        </w:rPr>
      </w:pPr>
    </w:p>
    <w:p w:rsidR="00EE6023" w:rsidRDefault="00EE6023" w:rsidP="00856222">
      <w:pPr>
        <w:spacing w:after="0" w:line="360" w:lineRule="auto"/>
        <w:jc w:val="both"/>
        <w:rPr>
          <w:rFonts w:ascii="Arial" w:hAnsi="Arial" w:cs="Arial"/>
          <w:sz w:val="24"/>
        </w:rPr>
      </w:pPr>
    </w:p>
    <w:p w:rsidR="00EE6023" w:rsidRDefault="00EE6023" w:rsidP="00856222">
      <w:pPr>
        <w:spacing w:after="0" w:line="360" w:lineRule="auto"/>
        <w:jc w:val="both"/>
        <w:rPr>
          <w:rFonts w:ascii="Arial" w:hAnsi="Arial" w:cs="Arial"/>
          <w:sz w:val="24"/>
        </w:rPr>
      </w:pPr>
    </w:p>
    <w:p w:rsidR="00947039" w:rsidRDefault="00947039" w:rsidP="00856222">
      <w:pPr>
        <w:spacing w:after="0" w:line="360" w:lineRule="auto"/>
        <w:jc w:val="both"/>
        <w:rPr>
          <w:rFonts w:ascii="Arial" w:hAnsi="Arial" w:cs="Arial"/>
          <w:sz w:val="24"/>
        </w:rPr>
      </w:pPr>
    </w:p>
    <w:p w:rsidR="00947039" w:rsidRDefault="00947039" w:rsidP="00856222">
      <w:pPr>
        <w:spacing w:after="0" w:line="360" w:lineRule="auto"/>
        <w:jc w:val="both"/>
        <w:rPr>
          <w:rFonts w:ascii="Arial" w:hAnsi="Arial" w:cs="Arial"/>
          <w:sz w:val="24"/>
        </w:rPr>
      </w:pPr>
    </w:p>
    <w:p w:rsidR="00947039" w:rsidRDefault="00947039" w:rsidP="00856222">
      <w:pPr>
        <w:spacing w:after="0" w:line="360" w:lineRule="auto"/>
        <w:jc w:val="both"/>
        <w:rPr>
          <w:rFonts w:ascii="Arial" w:hAnsi="Arial" w:cs="Arial"/>
          <w:sz w:val="24"/>
        </w:rPr>
      </w:pPr>
    </w:p>
    <w:p w:rsidR="00947039" w:rsidRDefault="00947039" w:rsidP="00856222">
      <w:pPr>
        <w:spacing w:after="0" w:line="360" w:lineRule="auto"/>
        <w:jc w:val="both"/>
        <w:rPr>
          <w:rFonts w:ascii="Arial" w:hAnsi="Arial" w:cs="Arial"/>
          <w:sz w:val="24"/>
        </w:rPr>
      </w:pPr>
    </w:p>
    <w:p w:rsidR="00947039" w:rsidRDefault="00947039" w:rsidP="00856222">
      <w:pPr>
        <w:spacing w:after="0" w:line="360" w:lineRule="auto"/>
        <w:jc w:val="both"/>
        <w:rPr>
          <w:rFonts w:ascii="Arial" w:hAnsi="Arial" w:cs="Arial"/>
          <w:sz w:val="24"/>
        </w:rPr>
      </w:pPr>
    </w:p>
    <w:p w:rsidR="00947039" w:rsidRDefault="00947039" w:rsidP="00856222">
      <w:pPr>
        <w:spacing w:after="0" w:line="360" w:lineRule="auto"/>
        <w:jc w:val="both"/>
        <w:rPr>
          <w:rFonts w:ascii="Arial" w:hAnsi="Arial" w:cs="Arial"/>
          <w:sz w:val="24"/>
        </w:rPr>
      </w:pPr>
    </w:p>
    <w:p w:rsidR="00491682" w:rsidRDefault="00491682" w:rsidP="00856222">
      <w:pPr>
        <w:spacing w:after="0" w:line="360" w:lineRule="auto"/>
        <w:jc w:val="both"/>
        <w:rPr>
          <w:rFonts w:ascii="Arial" w:hAnsi="Arial" w:cs="Arial"/>
          <w:sz w:val="24"/>
        </w:rPr>
      </w:pPr>
    </w:p>
    <w:p w:rsidR="0013023E" w:rsidRDefault="0013023E" w:rsidP="00856222">
      <w:pPr>
        <w:spacing w:after="0" w:line="360" w:lineRule="auto"/>
        <w:jc w:val="both"/>
        <w:rPr>
          <w:rFonts w:ascii="Arial" w:hAnsi="Arial" w:cs="Arial"/>
          <w:sz w:val="24"/>
        </w:rPr>
      </w:pPr>
    </w:p>
    <w:p w:rsidR="00491682" w:rsidRDefault="00491682" w:rsidP="00856222">
      <w:pPr>
        <w:spacing w:after="0" w:line="360" w:lineRule="auto"/>
        <w:jc w:val="both"/>
        <w:rPr>
          <w:rFonts w:ascii="Arial" w:hAnsi="Arial" w:cs="Arial"/>
          <w:sz w:val="24"/>
        </w:rPr>
      </w:pPr>
    </w:p>
    <w:p w:rsidR="00571652" w:rsidRPr="00571652" w:rsidRDefault="007A75D8" w:rsidP="000E4ED3">
      <w:pPr>
        <w:pStyle w:val="Ttulo1"/>
      </w:pPr>
      <w:bookmarkStart w:id="2" w:name="_Toc496749597"/>
      <w:r>
        <w:lastRenderedPageBreak/>
        <w:t>2 OBJETIVO</w:t>
      </w:r>
      <w:bookmarkEnd w:id="2"/>
    </w:p>
    <w:p w:rsidR="00571652" w:rsidRDefault="00571652" w:rsidP="00571652">
      <w:pPr>
        <w:spacing w:after="0" w:line="360" w:lineRule="auto"/>
        <w:jc w:val="both"/>
        <w:rPr>
          <w:rFonts w:ascii="Arial" w:hAnsi="Arial" w:cs="Arial"/>
          <w:sz w:val="24"/>
        </w:rPr>
      </w:pPr>
    </w:p>
    <w:p w:rsidR="00571652" w:rsidRDefault="00571652" w:rsidP="00491682">
      <w:pPr>
        <w:spacing w:after="0" w:line="360" w:lineRule="auto"/>
        <w:jc w:val="both"/>
        <w:rPr>
          <w:rFonts w:ascii="Arial" w:hAnsi="Arial" w:cs="Arial"/>
          <w:sz w:val="24"/>
        </w:rPr>
      </w:pPr>
      <w:r>
        <w:rPr>
          <w:rFonts w:ascii="Arial" w:hAnsi="Arial" w:cs="Arial"/>
          <w:sz w:val="24"/>
        </w:rPr>
        <w:t xml:space="preserve">Verificar se </w:t>
      </w:r>
      <w:r w:rsidR="00A25995">
        <w:rPr>
          <w:rFonts w:ascii="Arial" w:hAnsi="Arial" w:cs="Arial"/>
          <w:sz w:val="24"/>
        </w:rPr>
        <w:t>existe correlação entre a independência funcional</w:t>
      </w:r>
      <w:r w:rsidR="00911A1B">
        <w:rPr>
          <w:rFonts w:ascii="Arial" w:hAnsi="Arial" w:cs="Arial"/>
          <w:sz w:val="24"/>
        </w:rPr>
        <w:t xml:space="preserve"> para</w:t>
      </w:r>
      <w:r w:rsidR="00C465F0">
        <w:rPr>
          <w:rFonts w:ascii="Arial" w:hAnsi="Arial" w:cs="Arial"/>
          <w:sz w:val="24"/>
        </w:rPr>
        <w:t xml:space="preserve"> realização de atividades de vida diária</w:t>
      </w:r>
      <w:r w:rsidR="00A25995">
        <w:rPr>
          <w:rFonts w:ascii="Arial" w:hAnsi="Arial" w:cs="Arial"/>
          <w:sz w:val="24"/>
        </w:rPr>
        <w:t xml:space="preserve"> e a qualidade de vida relacionada à saúde</w:t>
      </w:r>
      <w:r w:rsidR="00F72E8C">
        <w:rPr>
          <w:rFonts w:ascii="Arial" w:hAnsi="Arial" w:cs="Arial"/>
          <w:sz w:val="24"/>
        </w:rPr>
        <w:t xml:space="preserve"> </w:t>
      </w:r>
      <w:r w:rsidR="00A25995">
        <w:rPr>
          <w:rFonts w:ascii="Arial" w:hAnsi="Arial" w:cs="Arial"/>
          <w:sz w:val="24"/>
        </w:rPr>
        <w:t xml:space="preserve">de pacientes </w:t>
      </w:r>
      <w:r w:rsidR="002717CB">
        <w:rPr>
          <w:rFonts w:ascii="Arial" w:hAnsi="Arial" w:cs="Arial"/>
          <w:sz w:val="24"/>
        </w:rPr>
        <w:t xml:space="preserve">pediátricos </w:t>
      </w:r>
      <w:r w:rsidR="007A75D8">
        <w:rPr>
          <w:rFonts w:ascii="Arial" w:hAnsi="Arial" w:cs="Arial"/>
          <w:sz w:val="24"/>
        </w:rPr>
        <w:t>diagnosticados com</w:t>
      </w:r>
      <w:r w:rsidR="00A25995">
        <w:rPr>
          <w:rFonts w:ascii="Arial" w:hAnsi="Arial" w:cs="Arial"/>
          <w:sz w:val="24"/>
        </w:rPr>
        <w:t xml:space="preserve"> mucopolissacaridose</w:t>
      </w:r>
      <w:r w:rsidR="005D22C2">
        <w:rPr>
          <w:rFonts w:ascii="Arial" w:hAnsi="Arial" w:cs="Arial"/>
          <w:sz w:val="24"/>
        </w:rPr>
        <w:t>s</w:t>
      </w:r>
      <w:r w:rsidR="00A25995">
        <w:rPr>
          <w:rFonts w:ascii="Arial" w:hAnsi="Arial" w:cs="Arial"/>
          <w:sz w:val="24"/>
        </w:rPr>
        <w:t>.</w:t>
      </w:r>
    </w:p>
    <w:p w:rsidR="00571652" w:rsidRDefault="00571652" w:rsidP="00571652">
      <w:pPr>
        <w:spacing w:after="0" w:line="360" w:lineRule="auto"/>
        <w:jc w:val="both"/>
        <w:rPr>
          <w:rFonts w:ascii="Arial" w:hAnsi="Arial" w:cs="Arial"/>
          <w:sz w:val="24"/>
        </w:rPr>
      </w:pPr>
    </w:p>
    <w:p w:rsidR="00571652" w:rsidRDefault="00571652" w:rsidP="00491682">
      <w:pPr>
        <w:spacing w:after="0" w:line="360" w:lineRule="auto"/>
        <w:jc w:val="both"/>
        <w:rPr>
          <w:rFonts w:ascii="Arial" w:hAnsi="Arial" w:cs="Arial"/>
          <w:sz w:val="24"/>
        </w:rPr>
      </w:pPr>
    </w:p>
    <w:p w:rsidR="005A1D16" w:rsidRDefault="005A1D16" w:rsidP="005A1D16">
      <w:pPr>
        <w:spacing w:after="0" w:line="360" w:lineRule="auto"/>
        <w:jc w:val="both"/>
        <w:rPr>
          <w:rFonts w:ascii="Arial" w:hAnsi="Arial" w:cs="Arial"/>
          <w:sz w:val="24"/>
        </w:rPr>
      </w:pPr>
    </w:p>
    <w:p w:rsidR="005A1D16" w:rsidRDefault="005A1D16" w:rsidP="005A1D16">
      <w:pPr>
        <w:spacing w:after="0" w:line="360" w:lineRule="auto"/>
        <w:jc w:val="both"/>
        <w:rPr>
          <w:rFonts w:ascii="Arial" w:hAnsi="Arial" w:cs="Arial"/>
          <w:sz w:val="24"/>
        </w:rPr>
      </w:pPr>
    </w:p>
    <w:p w:rsidR="005A1D16" w:rsidRDefault="005A1D16" w:rsidP="005A1D16">
      <w:pPr>
        <w:spacing w:after="0" w:line="360" w:lineRule="auto"/>
        <w:jc w:val="both"/>
        <w:rPr>
          <w:rFonts w:ascii="Arial" w:hAnsi="Arial" w:cs="Arial"/>
          <w:sz w:val="24"/>
        </w:rPr>
      </w:pPr>
    </w:p>
    <w:p w:rsidR="005A1D16" w:rsidRDefault="005A1D16" w:rsidP="005A1D16">
      <w:pPr>
        <w:spacing w:after="0" w:line="360" w:lineRule="auto"/>
        <w:jc w:val="both"/>
        <w:rPr>
          <w:rFonts w:ascii="Arial" w:hAnsi="Arial" w:cs="Arial"/>
          <w:sz w:val="24"/>
        </w:rPr>
      </w:pPr>
    </w:p>
    <w:p w:rsidR="005A1D16" w:rsidRDefault="005A1D16" w:rsidP="005A1D16">
      <w:pPr>
        <w:spacing w:after="0" w:line="360" w:lineRule="auto"/>
        <w:jc w:val="both"/>
        <w:rPr>
          <w:rFonts w:ascii="Arial" w:hAnsi="Arial" w:cs="Arial"/>
          <w:sz w:val="24"/>
        </w:rPr>
      </w:pPr>
    </w:p>
    <w:p w:rsidR="005A1D16" w:rsidRDefault="005A1D16" w:rsidP="005A1D16">
      <w:pPr>
        <w:spacing w:after="0" w:line="360" w:lineRule="auto"/>
        <w:jc w:val="both"/>
        <w:rPr>
          <w:rFonts w:ascii="Arial" w:hAnsi="Arial" w:cs="Arial"/>
          <w:sz w:val="24"/>
        </w:rPr>
      </w:pPr>
    </w:p>
    <w:p w:rsidR="005A1D16" w:rsidRDefault="005A1D16" w:rsidP="005A1D16">
      <w:pPr>
        <w:spacing w:after="0" w:line="360" w:lineRule="auto"/>
        <w:jc w:val="both"/>
        <w:rPr>
          <w:rFonts w:ascii="Arial" w:hAnsi="Arial" w:cs="Arial"/>
          <w:sz w:val="24"/>
        </w:rPr>
      </w:pPr>
    </w:p>
    <w:p w:rsidR="005A1D16" w:rsidRDefault="005A1D16" w:rsidP="005A1D16">
      <w:pPr>
        <w:spacing w:after="0" w:line="360" w:lineRule="auto"/>
        <w:jc w:val="both"/>
        <w:rPr>
          <w:rFonts w:ascii="Arial" w:hAnsi="Arial" w:cs="Arial"/>
          <w:sz w:val="24"/>
        </w:rPr>
      </w:pPr>
    </w:p>
    <w:p w:rsidR="005A1D16" w:rsidRDefault="005A1D16" w:rsidP="005A1D16">
      <w:pPr>
        <w:spacing w:after="0" w:line="360" w:lineRule="auto"/>
        <w:jc w:val="both"/>
        <w:rPr>
          <w:rFonts w:ascii="Arial" w:hAnsi="Arial" w:cs="Arial"/>
          <w:sz w:val="24"/>
        </w:rPr>
      </w:pPr>
    </w:p>
    <w:p w:rsidR="005A1D16" w:rsidRDefault="005A1D16" w:rsidP="005A1D16">
      <w:pPr>
        <w:spacing w:after="0" w:line="360" w:lineRule="auto"/>
        <w:jc w:val="both"/>
        <w:rPr>
          <w:rFonts w:ascii="Arial" w:hAnsi="Arial" w:cs="Arial"/>
          <w:sz w:val="24"/>
        </w:rPr>
      </w:pPr>
    </w:p>
    <w:p w:rsidR="005A1D16" w:rsidRDefault="005A1D16" w:rsidP="005A1D16">
      <w:pPr>
        <w:spacing w:after="0" w:line="360" w:lineRule="auto"/>
        <w:jc w:val="both"/>
        <w:rPr>
          <w:rFonts w:ascii="Arial" w:hAnsi="Arial" w:cs="Arial"/>
          <w:sz w:val="24"/>
        </w:rPr>
      </w:pPr>
    </w:p>
    <w:p w:rsidR="005A1D16" w:rsidRDefault="005A1D16" w:rsidP="005A1D16">
      <w:pPr>
        <w:spacing w:after="0" w:line="360" w:lineRule="auto"/>
        <w:jc w:val="both"/>
        <w:rPr>
          <w:rFonts w:ascii="Arial" w:hAnsi="Arial" w:cs="Arial"/>
          <w:sz w:val="24"/>
        </w:rPr>
      </w:pPr>
    </w:p>
    <w:p w:rsidR="005A1D16" w:rsidRDefault="005A1D16" w:rsidP="005A1D16">
      <w:pPr>
        <w:spacing w:after="0" w:line="360" w:lineRule="auto"/>
        <w:jc w:val="both"/>
        <w:rPr>
          <w:rFonts w:ascii="Arial" w:hAnsi="Arial" w:cs="Arial"/>
          <w:sz w:val="24"/>
        </w:rPr>
      </w:pPr>
    </w:p>
    <w:p w:rsidR="005A1D16" w:rsidRDefault="005A1D16" w:rsidP="005A1D16">
      <w:pPr>
        <w:spacing w:after="0" w:line="360" w:lineRule="auto"/>
        <w:jc w:val="both"/>
        <w:rPr>
          <w:rFonts w:ascii="Arial" w:hAnsi="Arial" w:cs="Arial"/>
          <w:sz w:val="24"/>
        </w:rPr>
      </w:pPr>
    </w:p>
    <w:p w:rsidR="007004E0" w:rsidRDefault="007004E0" w:rsidP="005A1D16">
      <w:pPr>
        <w:spacing w:after="0" w:line="360" w:lineRule="auto"/>
        <w:jc w:val="both"/>
        <w:rPr>
          <w:rFonts w:ascii="Arial" w:hAnsi="Arial" w:cs="Arial"/>
          <w:sz w:val="24"/>
        </w:rPr>
      </w:pPr>
    </w:p>
    <w:p w:rsidR="005A1D16" w:rsidRDefault="005A1D16" w:rsidP="005A1D16">
      <w:pPr>
        <w:spacing w:after="0" w:line="360" w:lineRule="auto"/>
        <w:jc w:val="both"/>
        <w:rPr>
          <w:rFonts w:ascii="Arial" w:hAnsi="Arial" w:cs="Arial"/>
          <w:sz w:val="24"/>
        </w:rPr>
      </w:pPr>
    </w:p>
    <w:p w:rsidR="005A1D16" w:rsidRDefault="005A1D16" w:rsidP="005A1D16">
      <w:pPr>
        <w:spacing w:after="0" w:line="360" w:lineRule="auto"/>
        <w:jc w:val="both"/>
        <w:rPr>
          <w:rFonts w:ascii="Arial" w:hAnsi="Arial" w:cs="Arial"/>
          <w:sz w:val="24"/>
        </w:rPr>
      </w:pPr>
    </w:p>
    <w:p w:rsidR="00C47838" w:rsidRDefault="00C47838" w:rsidP="005A1D16">
      <w:pPr>
        <w:spacing w:after="0" w:line="360" w:lineRule="auto"/>
        <w:jc w:val="both"/>
        <w:rPr>
          <w:rFonts w:ascii="Arial" w:hAnsi="Arial" w:cs="Arial"/>
          <w:sz w:val="24"/>
        </w:rPr>
      </w:pPr>
    </w:p>
    <w:p w:rsidR="00C47838" w:rsidRDefault="00C47838" w:rsidP="005A1D16">
      <w:pPr>
        <w:spacing w:after="0" w:line="360" w:lineRule="auto"/>
        <w:jc w:val="both"/>
        <w:rPr>
          <w:rFonts w:ascii="Arial" w:hAnsi="Arial" w:cs="Arial"/>
          <w:sz w:val="24"/>
        </w:rPr>
      </w:pPr>
    </w:p>
    <w:p w:rsidR="005A1D16" w:rsidRDefault="005A1D16" w:rsidP="005A1D16">
      <w:pPr>
        <w:spacing w:after="0" w:line="360" w:lineRule="auto"/>
        <w:jc w:val="both"/>
        <w:rPr>
          <w:rFonts w:ascii="Arial" w:hAnsi="Arial" w:cs="Arial"/>
          <w:sz w:val="24"/>
        </w:rPr>
      </w:pPr>
    </w:p>
    <w:p w:rsidR="006C0A4D" w:rsidRDefault="006C0A4D" w:rsidP="005A1D16">
      <w:pPr>
        <w:spacing w:after="0" w:line="360" w:lineRule="auto"/>
        <w:jc w:val="both"/>
        <w:rPr>
          <w:rFonts w:ascii="Arial" w:hAnsi="Arial" w:cs="Arial"/>
          <w:sz w:val="24"/>
        </w:rPr>
      </w:pPr>
    </w:p>
    <w:p w:rsidR="006C0A4D" w:rsidRDefault="006C0A4D" w:rsidP="005A1D16">
      <w:pPr>
        <w:spacing w:after="0" w:line="360" w:lineRule="auto"/>
        <w:jc w:val="both"/>
        <w:rPr>
          <w:rFonts w:ascii="Arial" w:hAnsi="Arial" w:cs="Arial"/>
          <w:sz w:val="24"/>
        </w:rPr>
      </w:pPr>
    </w:p>
    <w:p w:rsidR="0074290F" w:rsidRDefault="0074290F" w:rsidP="005A1D16">
      <w:pPr>
        <w:spacing w:after="0" w:line="360" w:lineRule="auto"/>
        <w:jc w:val="both"/>
        <w:rPr>
          <w:rFonts w:ascii="Arial" w:hAnsi="Arial" w:cs="Arial"/>
          <w:sz w:val="24"/>
        </w:rPr>
      </w:pPr>
    </w:p>
    <w:p w:rsidR="0074290F" w:rsidRDefault="0074290F" w:rsidP="005A1D16">
      <w:pPr>
        <w:spacing w:after="0" w:line="360" w:lineRule="auto"/>
        <w:jc w:val="both"/>
        <w:rPr>
          <w:rFonts w:ascii="Arial" w:hAnsi="Arial" w:cs="Arial"/>
          <w:sz w:val="24"/>
        </w:rPr>
      </w:pPr>
    </w:p>
    <w:p w:rsidR="0074290F" w:rsidRDefault="0074290F" w:rsidP="005A1D16">
      <w:pPr>
        <w:spacing w:after="0" w:line="360" w:lineRule="auto"/>
        <w:jc w:val="both"/>
        <w:rPr>
          <w:rFonts w:ascii="Arial" w:hAnsi="Arial" w:cs="Arial"/>
          <w:sz w:val="24"/>
        </w:rPr>
      </w:pPr>
    </w:p>
    <w:p w:rsidR="0074290F" w:rsidRDefault="0074290F" w:rsidP="005A1D16">
      <w:pPr>
        <w:spacing w:after="0" w:line="360" w:lineRule="auto"/>
        <w:jc w:val="both"/>
        <w:rPr>
          <w:rFonts w:ascii="Arial" w:hAnsi="Arial" w:cs="Arial"/>
          <w:sz w:val="24"/>
        </w:rPr>
      </w:pPr>
    </w:p>
    <w:p w:rsidR="0074290F" w:rsidRDefault="0074290F" w:rsidP="005A1D16">
      <w:pPr>
        <w:spacing w:after="0" w:line="360" w:lineRule="auto"/>
        <w:jc w:val="both"/>
        <w:rPr>
          <w:rFonts w:ascii="Arial" w:hAnsi="Arial" w:cs="Arial"/>
          <w:sz w:val="24"/>
        </w:rPr>
      </w:pPr>
    </w:p>
    <w:p w:rsidR="005A1D16" w:rsidRPr="005A1D16" w:rsidRDefault="005A1D16" w:rsidP="004D4A6B">
      <w:pPr>
        <w:pStyle w:val="Ttulo1"/>
      </w:pPr>
      <w:bookmarkStart w:id="3" w:name="_Toc496749598"/>
      <w:r w:rsidRPr="005A1D16">
        <w:lastRenderedPageBreak/>
        <w:t>3 REVISÃO DA LITERATURA</w:t>
      </w:r>
      <w:bookmarkEnd w:id="3"/>
    </w:p>
    <w:p w:rsidR="005A1D16" w:rsidRDefault="005A1D16" w:rsidP="005A1D16">
      <w:pPr>
        <w:spacing w:after="0" w:line="360" w:lineRule="auto"/>
        <w:jc w:val="both"/>
        <w:rPr>
          <w:rFonts w:ascii="Arial" w:hAnsi="Arial" w:cs="Arial"/>
          <w:sz w:val="24"/>
        </w:rPr>
      </w:pPr>
    </w:p>
    <w:p w:rsidR="006418D0" w:rsidRDefault="00EB34BF" w:rsidP="004D4A6B">
      <w:pPr>
        <w:pStyle w:val="Ttulo1"/>
      </w:pPr>
      <w:bookmarkStart w:id="4" w:name="_Toc496749599"/>
      <w:r w:rsidRPr="003F585B">
        <w:t xml:space="preserve">3.1 </w:t>
      </w:r>
      <w:r w:rsidR="006418D0">
        <w:t>Mucopolissacaridoses</w:t>
      </w:r>
      <w:bookmarkEnd w:id="4"/>
    </w:p>
    <w:p w:rsidR="006418D0" w:rsidRDefault="006418D0" w:rsidP="00EB34BF">
      <w:pPr>
        <w:spacing w:after="0" w:line="360" w:lineRule="auto"/>
        <w:jc w:val="both"/>
        <w:rPr>
          <w:rFonts w:ascii="Arial" w:hAnsi="Arial" w:cs="Arial"/>
          <w:sz w:val="24"/>
          <w:szCs w:val="24"/>
        </w:rPr>
      </w:pPr>
    </w:p>
    <w:p w:rsidR="008B7849" w:rsidRDefault="009B2371" w:rsidP="00491682">
      <w:pPr>
        <w:spacing w:after="0" w:line="360" w:lineRule="auto"/>
        <w:jc w:val="both"/>
        <w:rPr>
          <w:rFonts w:ascii="Arial" w:hAnsi="Arial" w:cs="Arial"/>
          <w:sz w:val="24"/>
          <w:szCs w:val="24"/>
        </w:rPr>
      </w:pPr>
      <w:r>
        <w:rPr>
          <w:rFonts w:ascii="Arial" w:hAnsi="Arial" w:cs="Arial"/>
          <w:sz w:val="24"/>
          <w:szCs w:val="24"/>
        </w:rPr>
        <w:t>As M</w:t>
      </w:r>
      <w:r w:rsidR="00F97964">
        <w:rPr>
          <w:rFonts w:ascii="Arial" w:hAnsi="Arial" w:cs="Arial"/>
          <w:sz w:val="24"/>
          <w:szCs w:val="24"/>
        </w:rPr>
        <w:t>ucopolissacaridoses</w:t>
      </w:r>
      <w:r w:rsidR="009F3EE3">
        <w:rPr>
          <w:rFonts w:ascii="Arial" w:hAnsi="Arial" w:cs="Arial"/>
          <w:sz w:val="24"/>
          <w:szCs w:val="24"/>
        </w:rPr>
        <w:t xml:space="preserve"> (MPS) são</w:t>
      </w:r>
      <w:r w:rsidR="00F97964">
        <w:rPr>
          <w:rFonts w:ascii="Arial" w:hAnsi="Arial" w:cs="Arial"/>
          <w:sz w:val="24"/>
          <w:szCs w:val="24"/>
        </w:rPr>
        <w:t xml:space="preserve"> um grupo de doenças </w:t>
      </w:r>
      <w:r w:rsidR="00DB2A60">
        <w:rPr>
          <w:rFonts w:ascii="Arial" w:hAnsi="Arial" w:cs="Arial"/>
          <w:sz w:val="24"/>
          <w:szCs w:val="24"/>
        </w:rPr>
        <w:t>metabólicas, hereditárias,</w:t>
      </w:r>
      <w:r w:rsidR="00051EE5">
        <w:rPr>
          <w:rFonts w:ascii="Arial" w:hAnsi="Arial" w:cs="Arial"/>
          <w:sz w:val="24"/>
          <w:szCs w:val="24"/>
        </w:rPr>
        <w:t xml:space="preserve"> raras,</w:t>
      </w:r>
      <w:r w:rsidR="00DB2A60">
        <w:rPr>
          <w:rFonts w:ascii="Arial" w:hAnsi="Arial" w:cs="Arial"/>
          <w:sz w:val="24"/>
          <w:szCs w:val="24"/>
        </w:rPr>
        <w:t xml:space="preserve"> </w:t>
      </w:r>
      <w:r w:rsidR="009F3EE3">
        <w:rPr>
          <w:rFonts w:ascii="Arial" w:hAnsi="Arial" w:cs="Arial"/>
          <w:sz w:val="24"/>
          <w:szCs w:val="24"/>
        </w:rPr>
        <w:t>caracterizadas por defeito do metabolismo de glicosaminoglicanos (GAG</w:t>
      </w:r>
      <w:r w:rsidR="00EB492D">
        <w:rPr>
          <w:rFonts w:ascii="Arial" w:hAnsi="Arial" w:cs="Arial"/>
          <w:sz w:val="24"/>
          <w:szCs w:val="24"/>
        </w:rPr>
        <w:t>s</w:t>
      </w:r>
      <w:r w:rsidR="009F3EE3">
        <w:rPr>
          <w:rFonts w:ascii="Arial" w:hAnsi="Arial" w:cs="Arial"/>
          <w:sz w:val="24"/>
          <w:szCs w:val="24"/>
        </w:rPr>
        <w:t>)</w:t>
      </w:r>
      <w:r w:rsidR="00091E66">
        <w:rPr>
          <w:rFonts w:ascii="Arial" w:hAnsi="Arial" w:cs="Arial"/>
          <w:sz w:val="24"/>
          <w:szCs w:val="24"/>
        </w:rPr>
        <w:t>,</w:t>
      </w:r>
      <w:r w:rsidR="009F3EE3">
        <w:rPr>
          <w:rFonts w:ascii="Arial" w:hAnsi="Arial" w:cs="Arial"/>
          <w:sz w:val="24"/>
          <w:szCs w:val="24"/>
        </w:rPr>
        <w:t xml:space="preserve"> </w:t>
      </w:r>
      <w:r w:rsidR="00CA05C4">
        <w:rPr>
          <w:rFonts w:ascii="Arial" w:hAnsi="Arial" w:cs="Arial"/>
          <w:sz w:val="24"/>
          <w:szCs w:val="24"/>
        </w:rPr>
        <w:t>secundário à</w:t>
      </w:r>
      <w:r w:rsidR="009F3EE3">
        <w:rPr>
          <w:rFonts w:ascii="Arial" w:hAnsi="Arial" w:cs="Arial"/>
          <w:sz w:val="24"/>
          <w:szCs w:val="24"/>
        </w:rPr>
        <w:t xml:space="preserve"> deficiência de e</w:t>
      </w:r>
      <w:r w:rsidR="00CA05C4">
        <w:rPr>
          <w:rFonts w:ascii="Arial" w:hAnsi="Arial" w:cs="Arial"/>
          <w:sz w:val="24"/>
          <w:szCs w:val="24"/>
        </w:rPr>
        <w:t>nzimas específicas necessárias para</w:t>
      </w:r>
      <w:r w:rsidR="009F3EE3">
        <w:rPr>
          <w:rFonts w:ascii="Arial" w:hAnsi="Arial" w:cs="Arial"/>
          <w:sz w:val="24"/>
          <w:szCs w:val="24"/>
        </w:rPr>
        <w:t xml:space="preserve"> sua degradação.</w:t>
      </w:r>
      <w:r w:rsidR="00290603">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"10.1007/s10545-014-9737-0", "ISBN" : "1573-2665; 0141-8955", "ISSN" : "15732665", "PMID" : "25048386", "abstract" : "BACKGROUND: While clinical observations suggest that many patients with mucopolysaccharidosis (MPS) experience chronic pain, few studies have assessed its extent and impact. We therefore investigated its prevalence in patients with all types of MPS in the Netherlands. We also examined the association between pain and health related quality of life (HRQoL) and other clinical variables.\\n\\nMETHODS: We conducted a nationwide MPS survey that used questionnaires on MPS and disease-related symptoms (MPS-specific questionnaire), developmental level (Vineland Screener 0-6 years), quality of life (PedsQl and SF-36), and disability (Childhood Health Assessment Questionnaire). Depending on their age and developmental level, patients or their parents were asked to assess pain by keeping a pain diary for five consecutive days: either the Non-communicating Children's Pain Checklist - Revised (3-18 years intellectually disabled and children &lt;8 years), the VAS-score (&gt; 18 years), or the Faces Pain Scale - Revised (8-18 years).\\n\\nRESULTS: Eighty-nine MPS patients were invited, 55 of whom agreed to participate (response rate 62 %; median age 10.9 years, range 2.9-47.2 years). They covered a wide spectrum in all age groups, ranging from no pain to severe pain. Forty percent scored above the cut-off value for pain. Most reported pain sites were the back and hips. While the MPS III group experienced the highest frequency of pain (52.9 %), 50 % of patients with an intellectual disability seemed to experience pain, versus 30 % of patients with a normal intelligence. MPS patients scored much lower (i.e., more pain) than a random sample of the Dutch population on the bodily pain domain of the SF-36 scale and the PedsQl.\\n\\nCONCLUSION: With or without intellectual disabilities, many MPS patients experience pain. We recommend that standardized pain assessments are included in the regular follow-up program of patients with MPS.", "author" : [ { "dropping-particle" : "", "family" : "Brands", "given" : "Marion M G", "non-dropping-particle" : "", "parse-names" : false, "suffix" : "" }, { "dropping-particle" : "", "family" : "G\u00fcng\u00f6r", "given" : "Deniz", "non-dropping-particle" : "", "parse-names" : false, "suffix" : "" }, { "dropping-particle" : "", "family" : "Hout", "given" : "Johanna M P", "non-dropping-particle" : "van den", "parse-names" : false, "suffix" : "" }, { "dropping-particle" : "", "family" : "Karstens", "given" : "Francois P J", "non-dropping-particle" : "", "parse-names" : false, "suffix" : "" }, { "dropping-particle" : "", "family" : "Oussoren", "given" : "Esmee", "non-dropping-particle" : "", "parse-names" : false, "suffix" : "" }, { "dropping-particle" : "", "family" : "Plug", "given" : "Iris", "non-dropping-particle" : "", "parse-names" : false, "suffix" : "" }, { "dropping-particle" : "", "family" : "Boelens", "given" : "Jaap Jan", "non-dropping-particle" : "", "parse-names" : false, "suffix" : "" }, { "dropping-particle" : "", "family" : "Hasselt", "given" : "Peter M.", "non-dropping-particle" : "van", "parse-names" : false, "suffix" : "" }, { "dropping-particle" : "", "family" : "Hollak", "given" : "Carla E M", "non-dropping-particle" : "", "parse-names" : false, "suffix" : "" }, { "dropping-particle" : "", "family" : "Mulder", "given" : "Margot F.", "non-dropping-particle" : "", "parse-names" : false, "suffix" : "" }, { "dropping-particle" : "", "family" : "Gozalbo", "given" : "Estela Rubio", "non-dropping-particle" : "", "parse-names" : false, "suffix" : "" }, { "dropping-particle" : "", "family" : "Smeitink", "given" : "Jan A.", "non-dropping-particle" : "", "parse-names" : false, "suffix" : "" }, { "dropping-particle" : "", "family" : "Smit", "given" : "G. Peter A", "non-dropping-particle" : "", "parse-names" : false, "suffix" : "" }, { "dropping-particle" : "", "family" : "Wijburg", "given" : "Frits A.", "non-dropping-particle" : "", "parse-names" : false, "suffix" : "" }, { "dropping-particle" : "", "family" : "Meutgeert", "given" : "Hanka", "non-dropping-particle" : "", "parse-names" : false, "suffix" : "" }, { "dropping-particle" : "", "family" : "Ploeg", "given" : "Ans T.", "non-dropping-particle" : "van der", "parse-names" : false, "suffix" : "" } ], "container-title" : "Journal of Inherited Metabolic Disease", "id" : "ITEM-1", "issue" : "2", "issued" : { "date-parts" : [ [ "2015" ] ] }, "page" : "323-331", "title" : "Pain: a prevalent feature in patients with mucopolysaccharidosis. Results of a cross-sectional national survey", "type" : "article-journal", "volume" : "38" }, "uris" : [ "http://www.mendeley.com/documents/?uuid=cdd25880-97d6-4726-89b5-ca089c99d649" ] }, { "id" : "ITEM-2",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"ITEM-2", "issue" : "SUPPL. 5", "issued" : { "date-parts" : [ [ "2011" ] ] }, "page" : "4-12", "title" : "Overview of the mucopolysaccharidoses", "type" : "article-journal", "volume" : "50" }, "uris" : [ "http://www.mendeley.com/documents/?uuid=ef31dc0e-37ce-466a-9441-79a35f9139e5" ] } ], "mendeley" : { "formattedCitation" : "&lt;sup&gt;4,33&lt;/sup&gt;", "plainTextFormattedCitation" : "4,33", "previouslyFormattedCitation" : "&lt;sup&gt;4,33&lt;/sup&gt;" }, "properties" : { "noteIndex" : 0 }, "schema" : "https://github.com/citation-style-language/schema/raw/master/csl-citation.json" }</w:instrText>
      </w:r>
      <w:r w:rsidR="00290603">
        <w:rPr>
          <w:rFonts w:ascii="Arial" w:hAnsi="Arial" w:cs="Arial"/>
          <w:sz w:val="24"/>
          <w:szCs w:val="24"/>
        </w:rPr>
        <w:fldChar w:fldCharType="separate"/>
      </w:r>
      <w:r w:rsidR="001F649C" w:rsidRPr="001F649C">
        <w:rPr>
          <w:rFonts w:ascii="Arial" w:hAnsi="Arial" w:cs="Arial"/>
          <w:noProof/>
          <w:sz w:val="24"/>
          <w:szCs w:val="24"/>
          <w:vertAlign w:val="superscript"/>
        </w:rPr>
        <w:t>4,33</w:t>
      </w:r>
      <w:r w:rsidR="00290603">
        <w:rPr>
          <w:rFonts w:ascii="Arial" w:hAnsi="Arial" w:cs="Arial"/>
          <w:sz w:val="24"/>
          <w:szCs w:val="24"/>
        </w:rPr>
        <w:fldChar w:fldCharType="end"/>
      </w:r>
      <w:r w:rsidR="008B7849">
        <w:rPr>
          <w:rFonts w:ascii="Arial" w:hAnsi="Arial" w:cs="Arial"/>
          <w:sz w:val="24"/>
          <w:szCs w:val="24"/>
        </w:rPr>
        <w:t xml:space="preserve"> </w:t>
      </w:r>
      <w:r w:rsidR="00DB2A60">
        <w:rPr>
          <w:rFonts w:ascii="Arial" w:hAnsi="Arial" w:cs="Arial"/>
          <w:sz w:val="24"/>
          <w:szCs w:val="24"/>
        </w:rPr>
        <w:t>Os GAG</w:t>
      </w:r>
      <w:r w:rsidR="00EB492D">
        <w:rPr>
          <w:rFonts w:ascii="Arial" w:hAnsi="Arial" w:cs="Arial"/>
          <w:sz w:val="24"/>
          <w:szCs w:val="24"/>
        </w:rPr>
        <w:t>s</w:t>
      </w:r>
      <w:r w:rsidR="00DB2A60">
        <w:rPr>
          <w:rFonts w:ascii="Arial" w:hAnsi="Arial" w:cs="Arial"/>
          <w:sz w:val="24"/>
          <w:szCs w:val="24"/>
        </w:rPr>
        <w:t xml:space="preserve"> são considerados componentes </w:t>
      </w:r>
      <w:r w:rsidR="00091E66">
        <w:rPr>
          <w:rFonts w:ascii="Arial" w:hAnsi="Arial" w:cs="Arial"/>
          <w:sz w:val="24"/>
          <w:szCs w:val="24"/>
        </w:rPr>
        <w:t xml:space="preserve">importantes </w:t>
      </w:r>
      <w:r w:rsidR="00DB2A60">
        <w:rPr>
          <w:rFonts w:ascii="Arial" w:hAnsi="Arial" w:cs="Arial"/>
          <w:sz w:val="24"/>
          <w:szCs w:val="24"/>
        </w:rPr>
        <w:t>da matriz extracelular e participam da constituição de ossos, cartilagens, tecido conjuntivo, tendõ</w:t>
      </w:r>
      <w:r w:rsidR="008B7849">
        <w:rPr>
          <w:rFonts w:ascii="Arial" w:hAnsi="Arial" w:cs="Arial"/>
          <w:sz w:val="24"/>
          <w:szCs w:val="24"/>
        </w:rPr>
        <w:t>es, líquido sinovial e córneas.</w:t>
      </w:r>
      <w:r w:rsidR="00350D7A">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"id" : "ITEM-2", "itemData" : { "DOI" : "10.1021/pr300640h", "author" : [ { "dropping-particle" : "", "family" : "Kliemt", "given" : "S.", "non-dropping-particle" : "", "parse-names" : false, "suffix" : "" }, { "dropping-particle" : "", "family" : "Lange", "given" : "Cl.", "non-dropping-particle" : "", "parse-names" : false, "suffix" : "" }, { "dropping-particle" : "", "family" : "Otto", "given" : "W.", "non-dropping-particle" : "", "parse-names" : false, "suffix" : "" }, { "dropping-particle" : "", "family" : "Hintze", "given" : "V.", "non-dropping-particle" : "", "parse-names" : false, "suffix" : "" }, { "dropping-particle" : "", "family" : "Mo", "given" : "S.", "non-dropping-particle" : "", "parse-names" : false, "suffix" : "" }, { "dropping-particle" : "", "family" : "Bergen", "given" : "M.", "non-dropping-particle" : "", "parse-names" : false, "suffix" : "" }, { "dropping-particle" : "", "family" : "Hempel", "given" : "U.", "non-dropping-particle" : "", "parse-names" : false, "suffix" : "" }, { "dropping-particle" : "", "family" : "Kalkhof", "given" : "S.", "non-dropping-particle" : "", "parse-names" : false, "suffix" : "" } ], "container-title" : "J Proteome Res", "id" : "ITEM-2", "issue" : "1", "issued" : { "date-parts" : [ [ "2013" ] ] }, "page" : "378-389", "title" : "Sulfated hyaluronan containing collagen matrices enhance cell-matrix-interaction, endocytosis, and osteogenic differentiation of human mesenchymal stromal cells", "type" : "article-journal", "volume" : "12" }, "uris" : [ "http://www.mendeley.com/documents/?uuid=49c2625e-5095-4705-8c78-6dffc57839fc" ] } ], "mendeley" : { "formattedCitation" : "&lt;sup&gt;4,34&lt;/sup&gt;", "plainTextFormattedCitation" : "4,34", "previouslyFormattedCitation" : "&lt;sup&gt;4,34&lt;/sup&gt;" }, "properties" : { "noteIndex" : 0 }, "schema" : "https://github.com/citation-style-language/schema/raw/master/csl-citation.json" }</w:instrText>
      </w:r>
      <w:r w:rsidR="00350D7A">
        <w:rPr>
          <w:rFonts w:ascii="Arial" w:hAnsi="Arial" w:cs="Arial"/>
          <w:sz w:val="24"/>
          <w:szCs w:val="24"/>
        </w:rPr>
        <w:fldChar w:fldCharType="separate"/>
      </w:r>
      <w:r w:rsidR="001F649C" w:rsidRPr="001F649C">
        <w:rPr>
          <w:rFonts w:ascii="Arial" w:hAnsi="Arial" w:cs="Arial"/>
          <w:noProof/>
          <w:sz w:val="24"/>
          <w:szCs w:val="24"/>
          <w:vertAlign w:val="superscript"/>
        </w:rPr>
        <w:t>4,34</w:t>
      </w:r>
      <w:r w:rsidR="00350D7A">
        <w:rPr>
          <w:rFonts w:ascii="Arial" w:hAnsi="Arial" w:cs="Arial"/>
          <w:sz w:val="24"/>
          <w:szCs w:val="24"/>
        </w:rPr>
        <w:fldChar w:fldCharType="end"/>
      </w:r>
    </w:p>
    <w:p w:rsidR="00A62F69" w:rsidRDefault="00A62F69" w:rsidP="00491682">
      <w:pPr>
        <w:spacing w:after="0" w:line="360" w:lineRule="auto"/>
        <w:jc w:val="both"/>
        <w:rPr>
          <w:rFonts w:ascii="Arial" w:hAnsi="Arial" w:cs="Arial"/>
          <w:sz w:val="24"/>
          <w:szCs w:val="24"/>
        </w:rPr>
      </w:pPr>
    </w:p>
    <w:p w:rsidR="0083152F" w:rsidRDefault="00DB2A60" w:rsidP="00491682">
      <w:pPr>
        <w:spacing w:after="0" w:line="360" w:lineRule="auto"/>
        <w:jc w:val="both"/>
        <w:rPr>
          <w:rFonts w:ascii="Arial" w:hAnsi="Arial" w:cs="Arial"/>
          <w:sz w:val="24"/>
          <w:szCs w:val="24"/>
        </w:rPr>
      </w:pPr>
      <w:r>
        <w:rPr>
          <w:rFonts w:ascii="Arial" w:hAnsi="Arial" w:cs="Arial"/>
          <w:sz w:val="24"/>
          <w:szCs w:val="24"/>
        </w:rPr>
        <w:t xml:space="preserve">A degradação incompleta </w:t>
      </w:r>
      <w:r w:rsidR="00CA3039">
        <w:rPr>
          <w:rFonts w:ascii="Arial" w:hAnsi="Arial" w:cs="Arial"/>
          <w:sz w:val="24"/>
          <w:szCs w:val="24"/>
        </w:rPr>
        <w:t>das moléculas de</w:t>
      </w:r>
      <w:r>
        <w:rPr>
          <w:rFonts w:ascii="Arial" w:hAnsi="Arial" w:cs="Arial"/>
          <w:sz w:val="24"/>
          <w:szCs w:val="24"/>
        </w:rPr>
        <w:t xml:space="preserve"> GAG</w:t>
      </w:r>
      <w:r w:rsidR="00EB492D">
        <w:rPr>
          <w:rFonts w:ascii="Arial" w:hAnsi="Arial" w:cs="Arial"/>
          <w:sz w:val="24"/>
          <w:szCs w:val="24"/>
        </w:rPr>
        <w:t>s</w:t>
      </w:r>
      <w:r>
        <w:rPr>
          <w:rFonts w:ascii="Arial" w:hAnsi="Arial" w:cs="Arial"/>
          <w:sz w:val="24"/>
          <w:szCs w:val="24"/>
        </w:rPr>
        <w:t xml:space="preserve"> gera acúmulo </w:t>
      </w:r>
      <w:r w:rsidR="00BF29D2">
        <w:rPr>
          <w:rFonts w:ascii="Arial" w:hAnsi="Arial" w:cs="Arial"/>
          <w:sz w:val="24"/>
          <w:szCs w:val="24"/>
        </w:rPr>
        <w:t xml:space="preserve">intralisossomal </w:t>
      </w:r>
      <w:r>
        <w:rPr>
          <w:rFonts w:ascii="Arial" w:hAnsi="Arial" w:cs="Arial"/>
          <w:sz w:val="24"/>
          <w:szCs w:val="24"/>
        </w:rPr>
        <w:t>de substratos</w:t>
      </w:r>
      <w:r w:rsidR="006F62B4">
        <w:rPr>
          <w:rFonts w:ascii="Arial" w:hAnsi="Arial" w:cs="Arial"/>
          <w:sz w:val="24"/>
          <w:szCs w:val="24"/>
        </w:rPr>
        <w:t xml:space="preserve"> (</w:t>
      </w:r>
      <w:r w:rsidR="008906C3">
        <w:rPr>
          <w:rFonts w:ascii="Arial" w:hAnsi="Arial" w:cs="Arial"/>
          <w:sz w:val="24"/>
          <w:szCs w:val="24"/>
        </w:rPr>
        <w:t xml:space="preserve">como </w:t>
      </w:r>
      <w:r w:rsidR="00354F04">
        <w:rPr>
          <w:rFonts w:ascii="Arial" w:hAnsi="Arial" w:cs="Arial"/>
          <w:sz w:val="24"/>
          <w:szCs w:val="24"/>
        </w:rPr>
        <w:t xml:space="preserve">dermatan </w:t>
      </w:r>
      <w:r>
        <w:rPr>
          <w:rFonts w:ascii="Arial" w:hAnsi="Arial" w:cs="Arial"/>
          <w:sz w:val="24"/>
          <w:szCs w:val="24"/>
        </w:rPr>
        <w:t>sulfato</w:t>
      </w:r>
      <w:r w:rsidR="00AA4701">
        <w:rPr>
          <w:rFonts w:ascii="Arial" w:hAnsi="Arial" w:cs="Arial"/>
          <w:sz w:val="24"/>
          <w:szCs w:val="24"/>
        </w:rPr>
        <w:t xml:space="preserve"> – DS</w:t>
      </w:r>
      <w:r w:rsidR="00354F04">
        <w:rPr>
          <w:rFonts w:ascii="Arial" w:hAnsi="Arial" w:cs="Arial"/>
          <w:sz w:val="24"/>
          <w:szCs w:val="24"/>
        </w:rPr>
        <w:t>, heparan sulfato</w:t>
      </w:r>
      <w:r w:rsidR="00AA4701">
        <w:rPr>
          <w:rFonts w:ascii="Arial" w:hAnsi="Arial" w:cs="Arial"/>
          <w:sz w:val="24"/>
          <w:szCs w:val="24"/>
        </w:rPr>
        <w:t xml:space="preserve"> – HS </w:t>
      </w:r>
      <w:r w:rsidR="00354F04">
        <w:rPr>
          <w:rFonts w:ascii="Arial" w:hAnsi="Arial" w:cs="Arial"/>
          <w:sz w:val="24"/>
          <w:szCs w:val="24"/>
        </w:rPr>
        <w:t xml:space="preserve"> e</w:t>
      </w:r>
      <w:r w:rsidR="006F62B4">
        <w:rPr>
          <w:rFonts w:ascii="Arial" w:hAnsi="Arial" w:cs="Arial"/>
          <w:sz w:val="24"/>
          <w:szCs w:val="24"/>
        </w:rPr>
        <w:t>/ou</w:t>
      </w:r>
      <w:r w:rsidR="00354F04">
        <w:rPr>
          <w:rFonts w:ascii="Arial" w:hAnsi="Arial" w:cs="Arial"/>
          <w:sz w:val="24"/>
          <w:szCs w:val="24"/>
        </w:rPr>
        <w:t xml:space="preserve"> queratan sulfato</w:t>
      </w:r>
      <w:r w:rsidR="00AA4701">
        <w:rPr>
          <w:rFonts w:ascii="Arial" w:hAnsi="Arial" w:cs="Arial"/>
          <w:sz w:val="24"/>
          <w:szCs w:val="24"/>
        </w:rPr>
        <w:t xml:space="preserve"> – QS</w:t>
      </w:r>
      <w:r>
        <w:rPr>
          <w:rFonts w:ascii="Arial" w:hAnsi="Arial" w:cs="Arial"/>
          <w:sz w:val="24"/>
          <w:szCs w:val="24"/>
        </w:rPr>
        <w:t>)</w:t>
      </w:r>
      <w:r w:rsidR="00161C00">
        <w:rPr>
          <w:rFonts w:ascii="Arial" w:hAnsi="Arial" w:cs="Arial"/>
          <w:sz w:val="24"/>
          <w:szCs w:val="24"/>
        </w:rPr>
        <w:t>,</w:t>
      </w:r>
      <w:r>
        <w:rPr>
          <w:rFonts w:ascii="Arial" w:hAnsi="Arial" w:cs="Arial"/>
          <w:sz w:val="24"/>
          <w:szCs w:val="24"/>
        </w:rPr>
        <w:t xml:space="preserve"> em diferentes órgãos e tecidos</w:t>
      </w:r>
      <w:r w:rsidR="00BF29D2">
        <w:rPr>
          <w:rFonts w:ascii="Arial" w:hAnsi="Arial" w:cs="Arial"/>
          <w:sz w:val="24"/>
          <w:szCs w:val="24"/>
        </w:rPr>
        <w:t>.</w:t>
      </w:r>
      <w:r w:rsidR="00E43B08">
        <w:rPr>
          <w:rFonts w:ascii="Arial" w:hAnsi="Arial" w:cs="Arial"/>
          <w:sz w:val="24"/>
          <w:szCs w:val="24"/>
        </w:rPr>
        <w:t xml:space="preserve"> </w:t>
      </w:r>
      <w:r w:rsidR="0059117D">
        <w:rPr>
          <w:rFonts w:ascii="Arial" w:hAnsi="Arial" w:cs="Arial"/>
          <w:sz w:val="24"/>
          <w:szCs w:val="24"/>
        </w:rPr>
        <w:t xml:space="preserve">E, como consequência do metabolismo deficiente, os GAGs não degradados são excretados na urina ou encontram-se presentes no sangue e no líquor. Desta forma, o acúmulo desses compostos nos lisossomos e no espaço extracelular origina </w:t>
      </w:r>
      <w:r w:rsidR="00CA3039">
        <w:rPr>
          <w:rFonts w:ascii="Arial" w:hAnsi="Arial" w:cs="Arial"/>
          <w:sz w:val="24"/>
          <w:szCs w:val="24"/>
        </w:rPr>
        <w:t>diversas alterações</w:t>
      </w:r>
      <w:r w:rsidR="00113869">
        <w:rPr>
          <w:rFonts w:ascii="Arial" w:hAnsi="Arial" w:cs="Arial"/>
          <w:sz w:val="24"/>
          <w:szCs w:val="24"/>
        </w:rPr>
        <w:t xml:space="preserve"> progressivas</w:t>
      </w:r>
      <w:r w:rsidR="00F07D30">
        <w:rPr>
          <w:rFonts w:ascii="Arial" w:hAnsi="Arial" w:cs="Arial"/>
          <w:sz w:val="24"/>
          <w:szCs w:val="24"/>
        </w:rPr>
        <w:t>, crônicas</w:t>
      </w:r>
      <w:r w:rsidR="00113869">
        <w:rPr>
          <w:rFonts w:ascii="Arial" w:hAnsi="Arial" w:cs="Arial"/>
          <w:sz w:val="24"/>
          <w:szCs w:val="24"/>
        </w:rPr>
        <w:t xml:space="preserve"> e com ampla heterogeneidade</w:t>
      </w:r>
      <w:r w:rsidR="00CA3039">
        <w:rPr>
          <w:rFonts w:ascii="Arial" w:hAnsi="Arial" w:cs="Arial"/>
          <w:sz w:val="24"/>
          <w:szCs w:val="24"/>
        </w:rPr>
        <w:t xml:space="preserve"> clínica, incluindo </w:t>
      </w:r>
      <w:r w:rsidR="001003E0">
        <w:rPr>
          <w:rFonts w:ascii="Arial" w:hAnsi="Arial" w:cs="Arial"/>
          <w:sz w:val="24"/>
          <w:szCs w:val="24"/>
        </w:rPr>
        <w:t>anormalidades esqueléticas, articulares, respiratórias, cardíacas, visuais, auditivas e neurol</w:t>
      </w:r>
      <w:r w:rsidR="00E43B08">
        <w:rPr>
          <w:rFonts w:ascii="Arial" w:hAnsi="Arial" w:cs="Arial"/>
          <w:sz w:val="24"/>
          <w:szCs w:val="24"/>
        </w:rPr>
        <w:t>ógicas</w:t>
      </w:r>
      <w:r w:rsidR="00A95637">
        <w:rPr>
          <w:rFonts w:ascii="Arial" w:hAnsi="Arial" w:cs="Arial"/>
          <w:sz w:val="24"/>
          <w:szCs w:val="24"/>
        </w:rPr>
        <w:t xml:space="preserve">, </w:t>
      </w:r>
      <w:r w:rsidR="00A95637" w:rsidRPr="00961410">
        <w:rPr>
          <w:rFonts w:ascii="Arial" w:hAnsi="Arial" w:cs="Arial"/>
          <w:sz w:val="24"/>
          <w:szCs w:val="24"/>
        </w:rPr>
        <w:t xml:space="preserve">que variam </w:t>
      </w:r>
      <w:r w:rsidR="00457FC9" w:rsidRPr="00961410">
        <w:rPr>
          <w:rFonts w:ascii="Arial" w:hAnsi="Arial" w:cs="Arial"/>
          <w:sz w:val="24"/>
          <w:szCs w:val="24"/>
        </w:rPr>
        <w:t>de acordo com</w:t>
      </w:r>
      <w:r w:rsidR="00961410" w:rsidRPr="00961410">
        <w:rPr>
          <w:rFonts w:ascii="Arial" w:hAnsi="Arial" w:cs="Arial"/>
          <w:sz w:val="24"/>
          <w:szCs w:val="24"/>
        </w:rPr>
        <w:t xml:space="preserve"> </w:t>
      </w:r>
      <w:r w:rsidR="00457FC9" w:rsidRPr="00961410">
        <w:rPr>
          <w:rFonts w:ascii="Arial" w:hAnsi="Arial" w:cs="Arial"/>
          <w:sz w:val="24"/>
          <w:szCs w:val="24"/>
        </w:rPr>
        <w:t>o tipo</w:t>
      </w:r>
      <w:r w:rsidR="00961410" w:rsidRPr="00961410">
        <w:rPr>
          <w:rFonts w:ascii="Arial" w:hAnsi="Arial" w:cs="Arial"/>
          <w:sz w:val="24"/>
          <w:szCs w:val="24"/>
        </w:rPr>
        <w:t xml:space="preserve"> de MPS</w:t>
      </w:r>
      <w:r w:rsidR="006D08D5">
        <w:rPr>
          <w:rFonts w:ascii="Arial" w:hAnsi="Arial" w:cs="Arial"/>
          <w:sz w:val="24"/>
          <w:szCs w:val="24"/>
        </w:rPr>
        <w:t xml:space="preserve"> e o fenótipo</w:t>
      </w:r>
      <w:r w:rsidR="00294D1A">
        <w:rPr>
          <w:rFonts w:ascii="Arial" w:hAnsi="Arial" w:cs="Arial"/>
          <w:sz w:val="24"/>
          <w:szCs w:val="24"/>
        </w:rPr>
        <w:t xml:space="preserve"> da doença</w:t>
      </w:r>
      <w:r w:rsidR="0059117D">
        <w:rPr>
          <w:rFonts w:ascii="Arial" w:hAnsi="Arial" w:cs="Arial"/>
          <w:sz w:val="24"/>
          <w:szCs w:val="24"/>
        </w:rPr>
        <w:t>. Tem-se, portanto, uma similaridade clínica entre as diferentes deficiências enzimáticas, porém um amplo espectro de gravidade</w:t>
      </w:r>
      <w:r w:rsidR="00961410" w:rsidRPr="00961410">
        <w:rPr>
          <w:rFonts w:ascii="Arial" w:hAnsi="Arial" w:cs="Arial"/>
          <w:sz w:val="24"/>
          <w:szCs w:val="24"/>
        </w:rPr>
        <w:t>.</w:t>
      </w:r>
      <w:r w:rsidR="008906C3">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"id" : "ITEM-2", "itemData" : { "DOI" : "10.1186/s13023-015-0259-0", "ISSN" : "???", "author" : [ { "dropping-particle" : "", "family" : "Guffon", "given" : "Nathalie", "non-dropping-particle" : "", "parse-names" : false, "suffix" : "" }, { "dropping-particle" : "", "family" : "Heron", "given" : "B\u00e9n\u00e9dicte", "non-dropping-particle" : "", "parse-names" : false, "suffix" : "" }, { "dropping-particle" : "", "family" : "Chabrol", "given" : "Brigitte", "non-dropping-particle" : "", "parse-names" : false, "suffix" : "" }, { "dropping-particle" : "", "family" : "Feillet", "given" : "Fran\u00e7ois", "non-dropping-particle" : "", "parse-names" : false, "suffix" : "" }, { "dropping-particle" : "", "family" : "Montauban", "given" : "Vincent", "non-dropping-particle" : "", "parse-names" : false, "suffix" : "" }, { "dropping-particle" : "", "family" : "Valayannopoulos", "given" : "Vassili", "non-dropping-particle" : "", "parse-names" : false, "suffix" : "" } ], "container-title" : "Orphanet Journal of Rare Diseases", "id" : "ITEM-2", "issue" : "43", "issued" : { "date-parts" : [ [ "2015" ] ] }, "page" : "1-13", "publisher" : "???", "title" : "Diagnosis , quality of life , and treatment of patients with Hunter syndrome in the French healthcare system : a retrospective observational study", "type" : "article-journal", "volume" : "10" }, "uris" : [ "http://www.mendeley.com/documents/?uuid=dd6c1c93-f494-4d90-804e-e403ee1477fb" ] } ], "mendeley" : { "formattedCitation" : "&lt;sup&gt;4,35&lt;/sup&gt;", "plainTextFormattedCitation" : "4,35", "previouslyFormattedCitation" : "&lt;sup&gt;4,35&lt;/sup&gt;" }, "properties" : { "noteIndex" : 0 }, "schema" : "https://github.com/citation-style-language/schema/raw/master/csl-citation.json" }</w:instrText>
      </w:r>
      <w:r w:rsidR="008906C3">
        <w:rPr>
          <w:rFonts w:ascii="Arial" w:hAnsi="Arial" w:cs="Arial"/>
          <w:sz w:val="24"/>
          <w:szCs w:val="24"/>
        </w:rPr>
        <w:fldChar w:fldCharType="separate"/>
      </w:r>
      <w:r w:rsidR="001F649C" w:rsidRPr="001F649C">
        <w:rPr>
          <w:rFonts w:ascii="Arial" w:hAnsi="Arial" w:cs="Arial"/>
          <w:noProof/>
          <w:sz w:val="24"/>
          <w:szCs w:val="24"/>
          <w:vertAlign w:val="superscript"/>
        </w:rPr>
        <w:t>4,35</w:t>
      </w:r>
      <w:r w:rsidR="008906C3">
        <w:rPr>
          <w:rFonts w:ascii="Arial" w:hAnsi="Arial" w:cs="Arial"/>
          <w:sz w:val="24"/>
          <w:szCs w:val="24"/>
        </w:rPr>
        <w:fldChar w:fldCharType="end"/>
      </w:r>
      <w:r w:rsidR="0083152F">
        <w:rPr>
          <w:rFonts w:ascii="Arial" w:hAnsi="Arial" w:cs="Arial"/>
          <w:sz w:val="24"/>
          <w:szCs w:val="24"/>
        </w:rPr>
        <w:t xml:space="preserve"> </w:t>
      </w:r>
    </w:p>
    <w:p w:rsidR="00A62F69" w:rsidRDefault="00A62F69" w:rsidP="00491682">
      <w:pPr>
        <w:spacing w:after="0" w:line="360" w:lineRule="auto"/>
        <w:jc w:val="both"/>
        <w:rPr>
          <w:rFonts w:ascii="Arial" w:hAnsi="Arial" w:cs="Arial"/>
          <w:sz w:val="24"/>
          <w:szCs w:val="24"/>
        </w:rPr>
      </w:pPr>
    </w:p>
    <w:p w:rsidR="00DB6B36" w:rsidRDefault="008B7849" w:rsidP="00491682">
      <w:pPr>
        <w:spacing w:after="0" w:line="360" w:lineRule="auto"/>
        <w:jc w:val="both"/>
        <w:rPr>
          <w:rFonts w:ascii="Arial" w:hAnsi="Arial" w:cs="Arial"/>
          <w:sz w:val="24"/>
          <w:szCs w:val="24"/>
        </w:rPr>
      </w:pPr>
      <w:r>
        <w:rPr>
          <w:rFonts w:ascii="Arial" w:hAnsi="Arial" w:cs="Arial"/>
          <w:sz w:val="24"/>
          <w:szCs w:val="24"/>
        </w:rPr>
        <w:t>M</w:t>
      </w:r>
      <w:r w:rsidR="009A66B5">
        <w:rPr>
          <w:rFonts w:ascii="Arial" w:hAnsi="Arial" w:cs="Arial"/>
          <w:sz w:val="24"/>
          <w:szCs w:val="24"/>
        </w:rPr>
        <w:t xml:space="preserve">anifestações </w:t>
      </w:r>
      <w:r w:rsidR="006F62B4">
        <w:rPr>
          <w:rFonts w:ascii="Arial" w:hAnsi="Arial" w:cs="Arial"/>
          <w:sz w:val="24"/>
          <w:szCs w:val="24"/>
        </w:rPr>
        <w:t xml:space="preserve">clínicas </w:t>
      </w:r>
      <w:r w:rsidR="009A66B5">
        <w:rPr>
          <w:rFonts w:ascii="Arial" w:hAnsi="Arial" w:cs="Arial"/>
          <w:sz w:val="24"/>
          <w:szCs w:val="24"/>
        </w:rPr>
        <w:t>como características faci</w:t>
      </w:r>
      <w:r w:rsidR="006015E2">
        <w:rPr>
          <w:rFonts w:ascii="Arial" w:hAnsi="Arial" w:cs="Arial"/>
          <w:sz w:val="24"/>
          <w:szCs w:val="24"/>
        </w:rPr>
        <w:t>ais grosseiras, baixa estatura, alteraç</w:t>
      </w:r>
      <w:r w:rsidR="009A66B5">
        <w:rPr>
          <w:rFonts w:ascii="Arial" w:hAnsi="Arial" w:cs="Arial"/>
          <w:sz w:val="24"/>
          <w:szCs w:val="24"/>
        </w:rPr>
        <w:t>ão da amplitude de movimento</w:t>
      </w:r>
      <w:r w:rsidR="0041579D">
        <w:rPr>
          <w:rFonts w:ascii="Arial" w:hAnsi="Arial" w:cs="Arial"/>
          <w:sz w:val="24"/>
          <w:szCs w:val="24"/>
        </w:rPr>
        <w:t>,</w:t>
      </w:r>
      <w:r w:rsidR="009A66B5">
        <w:rPr>
          <w:rFonts w:ascii="Arial" w:hAnsi="Arial" w:cs="Arial"/>
          <w:sz w:val="24"/>
          <w:szCs w:val="24"/>
        </w:rPr>
        <w:t xml:space="preserve"> deformidades ósseas</w:t>
      </w:r>
      <w:r w:rsidR="008F4968">
        <w:rPr>
          <w:rFonts w:ascii="Arial" w:hAnsi="Arial" w:cs="Arial"/>
          <w:sz w:val="24"/>
          <w:szCs w:val="24"/>
        </w:rPr>
        <w:t xml:space="preserve"> e</w:t>
      </w:r>
      <w:r w:rsidR="000A1BA3">
        <w:rPr>
          <w:rFonts w:ascii="Arial" w:hAnsi="Arial" w:cs="Arial"/>
          <w:sz w:val="24"/>
          <w:szCs w:val="24"/>
        </w:rPr>
        <w:t xml:space="preserve"> organomegalia </w:t>
      </w:r>
      <w:r w:rsidR="0041579D">
        <w:rPr>
          <w:rFonts w:ascii="Arial" w:hAnsi="Arial" w:cs="Arial"/>
          <w:sz w:val="24"/>
          <w:szCs w:val="24"/>
        </w:rPr>
        <w:t>incid</w:t>
      </w:r>
      <w:r w:rsidR="007F0BD6">
        <w:rPr>
          <w:rFonts w:ascii="Arial" w:hAnsi="Arial" w:cs="Arial"/>
          <w:sz w:val="24"/>
          <w:szCs w:val="24"/>
        </w:rPr>
        <w:t>em com frequência n</w:t>
      </w:r>
      <w:r w:rsidR="00622933">
        <w:rPr>
          <w:rFonts w:ascii="Arial" w:hAnsi="Arial" w:cs="Arial"/>
          <w:sz w:val="24"/>
          <w:szCs w:val="24"/>
        </w:rPr>
        <w:t>a</w:t>
      </w:r>
      <w:r w:rsidR="007F0BD6">
        <w:rPr>
          <w:rFonts w:ascii="Arial" w:hAnsi="Arial" w:cs="Arial"/>
          <w:sz w:val="24"/>
          <w:szCs w:val="24"/>
        </w:rPr>
        <w:t>s</w:t>
      </w:r>
      <w:r w:rsidR="00AC3CC7">
        <w:rPr>
          <w:rFonts w:ascii="Arial" w:hAnsi="Arial" w:cs="Arial"/>
          <w:sz w:val="24"/>
          <w:szCs w:val="24"/>
        </w:rPr>
        <w:t xml:space="preserve"> </w:t>
      </w:r>
      <w:r w:rsidR="00622933">
        <w:rPr>
          <w:rFonts w:ascii="Arial" w:hAnsi="Arial" w:cs="Arial"/>
          <w:sz w:val="24"/>
          <w:szCs w:val="24"/>
        </w:rPr>
        <w:t>mucopolissacaridoses.</w:t>
      </w:r>
      <w:r w:rsidR="00AC3CC7">
        <w:rPr>
          <w:rFonts w:ascii="Arial" w:hAnsi="Arial" w:cs="Arial"/>
          <w:sz w:val="24"/>
          <w:szCs w:val="24"/>
        </w:rPr>
        <w:t xml:space="preserve"> Outras</w:t>
      </w:r>
      <w:r w:rsidR="0041731E">
        <w:rPr>
          <w:rFonts w:ascii="Arial" w:hAnsi="Arial" w:cs="Arial"/>
          <w:sz w:val="24"/>
          <w:szCs w:val="24"/>
        </w:rPr>
        <w:t xml:space="preserve"> alterações</w:t>
      </w:r>
      <w:r w:rsidR="00A95637">
        <w:rPr>
          <w:rFonts w:ascii="Arial" w:hAnsi="Arial" w:cs="Arial"/>
          <w:sz w:val="24"/>
          <w:szCs w:val="24"/>
        </w:rPr>
        <w:t xml:space="preserve"> </w:t>
      </w:r>
      <w:r w:rsidR="00867B6A">
        <w:rPr>
          <w:rFonts w:ascii="Arial" w:hAnsi="Arial" w:cs="Arial"/>
          <w:sz w:val="24"/>
          <w:szCs w:val="24"/>
        </w:rPr>
        <w:t>são específicas a determinados ti</w:t>
      </w:r>
      <w:r w:rsidR="00407A1D">
        <w:rPr>
          <w:rFonts w:ascii="Arial" w:hAnsi="Arial" w:cs="Arial"/>
          <w:sz w:val="24"/>
          <w:szCs w:val="24"/>
        </w:rPr>
        <w:t>pos</w:t>
      </w:r>
      <w:r w:rsidR="00622933">
        <w:rPr>
          <w:rFonts w:ascii="Arial" w:hAnsi="Arial" w:cs="Arial"/>
          <w:sz w:val="24"/>
          <w:szCs w:val="24"/>
        </w:rPr>
        <w:t>/subtipos</w:t>
      </w:r>
      <w:r w:rsidR="00407A1D">
        <w:rPr>
          <w:rFonts w:ascii="Arial" w:hAnsi="Arial" w:cs="Arial"/>
          <w:sz w:val="24"/>
          <w:szCs w:val="24"/>
        </w:rPr>
        <w:t xml:space="preserve"> </w:t>
      </w:r>
      <w:r w:rsidR="00867B6A">
        <w:rPr>
          <w:rFonts w:ascii="Arial" w:hAnsi="Arial" w:cs="Arial"/>
          <w:sz w:val="24"/>
          <w:szCs w:val="24"/>
        </w:rPr>
        <w:t xml:space="preserve">de MPS, </w:t>
      </w:r>
      <w:r w:rsidR="00AC3CC7">
        <w:rPr>
          <w:rFonts w:ascii="Arial" w:hAnsi="Arial" w:cs="Arial"/>
          <w:sz w:val="24"/>
          <w:szCs w:val="24"/>
        </w:rPr>
        <w:t>a depender do substrato acumulado</w:t>
      </w:r>
      <w:r w:rsidR="00F5269A">
        <w:rPr>
          <w:rFonts w:ascii="Arial" w:hAnsi="Arial" w:cs="Arial"/>
          <w:sz w:val="24"/>
          <w:szCs w:val="24"/>
        </w:rPr>
        <w:t xml:space="preserve"> e</w:t>
      </w:r>
      <w:r w:rsidR="00481270">
        <w:rPr>
          <w:rFonts w:ascii="Arial" w:hAnsi="Arial" w:cs="Arial"/>
          <w:sz w:val="24"/>
          <w:szCs w:val="24"/>
        </w:rPr>
        <w:t xml:space="preserve"> </w:t>
      </w:r>
      <w:r w:rsidR="006025A0">
        <w:rPr>
          <w:rFonts w:ascii="Arial" w:hAnsi="Arial" w:cs="Arial"/>
          <w:sz w:val="24"/>
          <w:szCs w:val="24"/>
        </w:rPr>
        <w:t>d</w:t>
      </w:r>
      <w:r w:rsidR="006F62B4">
        <w:rPr>
          <w:rFonts w:ascii="Arial" w:hAnsi="Arial" w:cs="Arial"/>
          <w:sz w:val="24"/>
          <w:szCs w:val="24"/>
        </w:rPr>
        <w:t>o</w:t>
      </w:r>
      <w:r w:rsidR="006025A0">
        <w:rPr>
          <w:rFonts w:ascii="Arial" w:hAnsi="Arial" w:cs="Arial"/>
          <w:sz w:val="24"/>
          <w:szCs w:val="24"/>
        </w:rPr>
        <w:t>s</w:t>
      </w:r>
      <w:r w:rsidR="00AC3CC7">
        <w:rPr>
          <w:rFonts w:ascii="Arial" w:hAnsi="Arial" w:cs="Arial"/>
          <w:sz w:val="24"/>
          <w:szCs w:val="24"/>
        </w:rPr>
        <w:t xml:space="preserve"> órgão</w:t>
      </w:r>
      <w:r w:rsidR="0036283B">
        <w:rPr>
          <w:rFonts w:ascii="Arial" w:hAnsi="Arial" w:cs="Arial"/>
          <w:sz w:val="24"/>
          <w:szCs w:val="24"/>
        </w:rPr>
        <w:t>s</w:t>
      </w:r>
      <w:r w:rsidR="00457FC9">
        <w:rPr>
          <w:rFonts w:ascii="Arial" w:hAnsi="Arial" w:cs="Arial"/>
          <w:sz w:val="24"/>
          <w:szCs w:val="24"/>
        </w:rPr>
        <w:t xml:space="preserve"> </w:t>
      </w:r>
      <w:r w:rsidR="00AC3CC7">
        <w:rPr>
          <w:rFonts w:ascii="Arial" w:hAnsi="Arial" w:cs="Arial"/>
          <w:sz w:val="24"/>
          <w:szCs w:val="24"/>
        </w:rPr>
        <w:t>afetados</w:t>
      </w:r>
      <w:r w:rsidR="00457FC9">
        <w:rPr>
          <w:rFonts w:ascii="Arial" w:hAnsi="Arial" w:cs="Arial"/>
          <w:sz w:val="24"/>
          <w:szCs w:val="24"/>
        </w:rPr>
        <w:t xml:space="preserve">. </w:t>
      </w:r>
      <w:r w:rsidR="00DB6B36">
        <w:rPr>
          <w:rFonts w:ascii="Arial" w:hAnsi="Arial" w:cs="Arial"/>
          <w:sz w:val="24"/>
          <w:szCs w:val="24"/>
        </w:rPr>
        <w:t>As MPS caracterizadas pelo acúmulo de DS ou QS apresentam comprometimento esquelético grave, enquanto que nas MPS com acúmulo de HS ocorre principalmente acometimento do sistema nervoso central (SNC). Quando o armazenamento lisossômico é tanto de DS quanto de HS, os indivíduos podem apresentar alterações esqueléticas e do SNC</w:t>
      </w:r>
      <w:r w:rsidR="001C1084">
        <w:rPr>
          <w:rFonts w:ascii="Arial" w:hAnsi="Arial" w:cs="Arial"/>
          <w:sz w:val="24"/>
          <w:szCs w:val="24"/>
        </w:rPr>
        <w:t xml:space="preserve"> associadas</w:t>
      </w:r>
      <w:r w:rsidR="00DB6B36">
        <w:rPr>
          <w:rFonts w:ascii="Arial" w:hAnsi="Arial" w:cs="Arial"/>
          <w:sz w:val="24"/>
          <w:szCs w:val="24"/>
        </w:rPr>
        <w:t>.</w:t>
      </w:r>
      <w:r w:rsidR="005C2E82">
        <w:rPr>
          <w:rFonts w:ascii="Arial" w:hAnsi="Arial" w:cs="Arial"/>
          <w:sz w:val="24"/>
          <w:szCs w:val="24"/>
        </w:rPr>
        <w:fldChar w:fldCharType="begin" w:fldLock="1"/>
      </w:r>
      <w:r w:rsidR="0042070D">
        <w:rPr>
          <w:rFonts w:ascii="Arial" w:hAnsi="Arial" w:cs="Arial"/>
          <w:sz w:val="24"/>
          <w:szCs w:val="24"/>
        </w:rPr>
        <w:instrText>ADDIN CSL_CITATION { "citationItems" : [ { "id" : "ITEM-1", "itemData" : { "ISBN" : "0917-3803 (Print)\\r0917-3803", "PMID" : "25620850", "abstract" : "Mucopolysaccharidoses (MPS) are a group of lysosomal storage disorders caused by the deficiency of lysosomal enzymes. The enzymes are required to break down glycosaminoglycans (GAGs) that help build bone, cartilage, tendons, corneas, skin and connective tissue. In patients with MPS, a missing enzyme leads to the accumulation of GAGs in the cells, blood, connective tissues, and multiple organs. The consequence is permanent, with progressive cellular damage affecting patients' appearance, physical abilities, organ and system function, and skeletal and mental development. The measurement of each specific GAG in a variety of specimens is required to establish the correlation between GAGs and physiological status of patients and/or prognosis and pathogenesis of the disease and to separate the patients with MPS from the healthy controls. We have developed a highly accurate, sensitive, and cost-effective liquid chromatography tandem mass spectrometry (LC-MS/MS) method for measurements of disaccharides derived from four specific GAGs [chondroitin sulfate (CS), dermatan sulfate (DS), heparan sulfate (HS), and keratan sulfate (KS)]. Disaccharides were produced by specific enzyme digestion of each GAG, and subsequently, quantified by negative ion mode of multiple reaction monitoring. Subclasses of GAGs with the same molecular weights can be separated by liquid chromatography. We have also developed another GAG assay by high-throughput mass spectrometry (HT-MS/MS). The HT-MS/MS consists of an integrated solid phase extraction robot that binds and de-salts samples from assay plates and directly injects them into a MS/MS detector, reducing sample processing time to within ten seconds. HT-MS/MS consequently yields much faster throughput than conventional LC-MS/MS-based methods; however, the HT-MS/MS system does not use a chromatographic step, and therefore, cannot separate GAGs that have the same molecular weights. Both techniques can be applied to the analysis of dried blood spots, blood, and urine specimens. In this review, we describe the assay methods for GAGs and the application to newborn screening and diagnosis of MPS.", "author" : [ { "dropping-particle" : "", "family" : "Tomatsu", "given" : "S", "non-dropping-particle" : "", "parse-names" : false, "suffix" : "" }, { "dropping-particle" : "", "family" : "Kubaski", "given" : "F", "non-dropping-particle" : "", "parse-names" : false, "suffix" : "" }, { "dropping-particle" : "", "family" : "Sawamoto", "given" : "K", "non-dropping-particle" : "", "parse-names" : false, "suffix" : "" }, { "dropping-particle" : "", "family" : "Mason", "given" : "R W", "non-dropping-particle" : "", "parse-names" : false, "suffix" : "" }, { "dropping-particle" : "", "family" : "Yasuda", "given" : "E", "non-dropping-particle" : "", "parse-names" : false, "suffix" : "" }, { "dropping-particle" : "", "family" : "Shimada", "given" : "T", "non-dropping-particle" : "", "parse-names" : false, "suffix" : "" }, { "dropping-particle" : "", "family" : "Montano", "given" : "A M", "non-dropping-particle" : "", "parse-names" : false, "suffix" : "" }, { "dropping-particle" : "", "family" : "Yamaguchi", "given" : "S", "non-dropping-particle" : "", "parse-names" : false, "suffix" : "" }, { "dropping-particle" : "", "family" : "Suzuki", "given" : "Y", "non-dropping-particle" : "", "parse-names" : false, "suffix" : "" }, { "dropping-particle" : "", "family" : "Orii", "given" : "T", "non-dropping-particle" : "", "parse-names" : false, "suffix" : "" } ], "container-title" : "Nihon Masu Sukuriningu Gakkai Shi", "id" : "ITEM-1", "issued" : { "date-parts" : [ [ "2014" ] ] }, "page" : "19-37", "title" : "Newborn screening and diagnosis of mucopolysaccharidoses: application of tandem mass spectrometry", "type" : "article-journal", "volume" : "24" }, "uris" : [ "http://www.mendeley.com/documents/?uuid=dec277ae-c17b-44a0-850a-0be25a3d2452" ] }, { "id" : "ITEM-2", "itemData" : { "DOI" : "10.1016/j.ymgme.2014.12.001", "author" : [ { "dropping-particle" : "", "family" : "Tomatsu", "given" : "Shunji", "non-dropping-particle" : "", "parse-names" : false, "suffix" : "" }, { "dropping-particle" : "", "family" : "Alm\u00e9ciga-D\u00edaz", "given" : "Carlos J", "non-dropping-particle" : "", "parse-names" : false, "suffix" : "" }, { "dropping-particle" : "", "family" : "Monta\u00f1o", "given" : "Adriana M", "non-dropping-particle" : "", "parse-names" : false, "suffix" : "" }, { "dropping-particle" : "", "family" : "Yabe", "given" : "Hiromasa", "non-dropping-particle" : "", "parse-names" : false, "suffix" : "" }, { "dropping-particle" : "", "family" : "Tanaka", "given" : "Akemi", "non-dropping-particle" : "", "parse-names" : false, "suffix" : "" }, { "dropping-particle" : "", "family" : "Dung", "given" : "Vu Chi", "non-dropping-particle" : "", "parse-names" : false, "suffix" : "" }, { "dropping-particle" : "", "family" : "Giugliani", "given" : "Roberto", "non-dropping-particle" : "", "parse-names" : false, "suffix" : "" }, { "dropping-particle" : "", "family" : "Kubaski", "given" : "Francyne", "non-dropping-particle" : "", "parse-names" : false, "suffix" : "" }, { "dropping-particle" : "", "family" : "Mason", "given" : "Robert W", "non-dropping-particle" : "", "parse-names" : false, "suffix" : "" }, { "dropping-particle" : "", "family" : "Yasuda", "given" : "Eriko", "non-dropping-particle" : "", "parse-names" : false, "suffix" : "" }, { "dropping-particle" : "", "family" : "Sawamoto", "given" : "Kazuki", "non-dropping-particle" : "", "parse-names" : false, "suffix" : "" }, { "dropping-particle" : "", "family" : "Mackenzie", "given" : "William", "non-dropping-particle" : "", "parse-names" : false, "suffix" : "" }, { "dropping-particle" : "", "family" : "Suzuki", "given" : "Yasuyuki", "non-dropping-particle" : "", "parse-names" : false, "suffix" : "" }, { "dropping-particle" : "", "family" : "Orii", "given" : "Kenji E", "non-dropping-particle" : "", "parse-names" : false, "suffix" : "" }, { "dropping-particle" : "", "family" : "Barrera", "given" : "Luis A", "non-dropping-particle" : "", "parse-names" : false, "suffix" : "" }, { "dropping-particle" : "", "family" : "Sly", "given" : "William S", "non-dropping-particle" : "", "parse-names" : false, "suffix" : "" }, { "dropping-particle" : "", "family" : "Orii", "given" : "Tadao", "non-dropping-particle" : "", "parse-names" : false, "suffix" : "" }, { "dropping-particle" : "", "family" : "Colombia", "given" : "D C", "non-dropping-particle" : "", "parse-names" : false, "suffix" : "" } ], "container-title" : "Mol Genet Metab", "id" : "ITEM-2", "issue" : "2", "issued" : { "date-parts" : [ [ "2015" ] ] }, "page" : "94-109", "title" : "Therapies for the bone in mucopolysaccharidoses", "type" : "article-journal", "volume" : "114" }, "uris" : [ "http://www.mendeley.com/documents/?uuid=b2d6fc11-b4ba-3f52-989c-e8d9484889d9" ] } ], "mendeley" : { "formattedCitation" : "&lt;sup&gt;5,6&lt;/sup&gt;", "plainTextFormattedCitation" : "5,6", "previouslyFormattedCitation" : "&lt;sup&gt;5,6&lt;/sup&gt;" }, "properties" : { "noteIndex" : 0 }, "schema" : "https://github.com/citation-style-language/schema/raw/master/csl-citation.json" }</w:instrText>
      </w:r>
      <w:r w:rsidR="005C2E82">
        <w:rPr>
          <w:rFonts w:ascii="Arial" w:hAnsi="Arial" w:cs="Arial"/>
          <w:sz w:val="24"/>
          <w:szCs w:val="24"/>
        </w:rPr>
        <w:fldChar w:fldCharType="separate"/>
      </w:r>
      <w:r w:rsidR="005C2E82" w:rsidRPr="005C2E82">
        <w:rPr>
          <w:rFonts w:ascii="Arial" w:hAnsi="Arial" w:cs="Arial"/>
          <w:noProof/>
          <w:sz w:val="24"/>
          <w:szCs w:val="24"/>
          <w:vertAlign w:val="superscript"/>
        </w:rPr>
        <w:t>5,6</w:t>
      </w:r>
      <w:r w:rsidR="005C2E82">
        <w:rPr>
          <w:rFonts w:ascii="Arial" w:hAnsi="Arial" w:cs="Arial"/>
          <w:sz w:val="24"/>
          <w:szCs w:val="24"/>
        </w:rPr>
        <w:fldChar w:fldCharType="end"/>
      </w:r>
    </w:p>
    <w:p w:rsidR="00DB6B36" w:rsidRDefault="00DB6B36" w:rsidP="00491682">
      <w:pPr>
        <w:spacing w:after="0" w:line="360" w:lineRule="auto"/>
        <w:jc w:val="both"/>
        <w:rPr>
          <w:rFonts w:ascii="Arial" w:hAnsi="Arial" w:cs="Arial"/>
          <w:sz w:val="24"/>
          <w:szCs w:val="24"/>
        </w:rPr>
      </w:pPr>
    </w:p>
    <w:p w:rsidR="00A35CEE" w:rsidRDefault="00A35CEE" w:rsidP="00491682">
      <w:pPr>
        <w:spacing w:after="0" w:line="360" w:lineRule="auto"/>
        <w:jc w:val="both"/>
        <w:rPr>
          <w:rFonts w:ascii="Arial" w:hAnsi="Arial" w:cs="Arial"/>
          <w:sz w:val="24"/>
          <w:szCs w:val="24"/>
        </w:rPr>
      </w:pPr>
    </w:p>
    <w:p w:rsidR="00EB34BF" w:rsidRPr="006418D0" w:rsidRDefault="006418D0" w:rsidP="004D4A6B">
      <w:pPr>
        <w:pStyle w:val="Ttulo2"/>
      </w:pPr>
      <w:bookmarkStart w:id="5" w:name="_Toc496749600"/>
      <w:r w:rsidRPr="006418D0">
        <w:lastRenderedPageBreak/>
        <w:t xml:space="preserve">3.1.1 </w:t>
      </w:r>
      <w:r w:rsidR="00EB34BF" w:rsidRPr="006418D0">
        <w:t>Classificação das mucopolissacaridoses</w:t>
      </w:r>
      <w:bookmarkEnd w:id="5"/>
    </w:p>
    <w:p w:rsidR="00EB34BF" w:rsidRPr="003F585B" w:rsidRDefault="00EB34BF" w:rsidP="00EB34BF">
      <w:pPr>
        <w:spacing w:after="0" w:line="360" w:lineRule="auto"/>
        <w:jc w:val="both"/>
        <w:rPr>
          <w:rFonts w:ascii="Arial" w:hAnsi="Arial" w:cs="Arial"/>
          <w:sz w:val="24"/>
          <w:szCs w:val="24"/>
        </w:rPr>
      </w:pPr>
    </w:p>
    <w:p w:rsidR="00EB34BF" w:rsidRDefault="00EB34BF" w:rsidP="00491682">
      <w:pPr>
        <w:spacing w:after="0" w:line="360" w:lineRule="auto"/>
        <w:jc w:val="both"/>
        <w:rPr>
          <w:rFonts w:ascii="Arial" w:hAnsi="Arial" w:cs="Arial"/>
          <w:sz w:val="24"/>
          <w:szCs w:val="24"/>
        </w:rPr>
      </w:pPr>
      <w:r w:rsidRPr="003F585B">
        <w:rPr>
          <w:rFonts w:ascii="Arial" w:hAnsi="Arial" w:cs="Arial"/>
          <w:sz w:val="24"/>
          <w:szCs w:val="24"/>
        </w:rPr>
        <w:t>Até a presente data, 11 deficiências enzimáticas são conhecidas, determin</w:t>
      </w:r>
      <w:r w:rsidR="00820CF3">
        <w:rPr>
          <w:rFonts w:ascii="Arial" w:hAnsi="Arial" w:cs="Arial"/>
          <w:sz w:val="24"/>
          <w:szCs w:val="24"/>
        </w:rPr>
        <w:t>ando 7 tipos diferentes de MPS.</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"ISBN" : "0917-3803 (Print)\\r0917-3803", "PMID" : "25620850", "abstract" : "Mucopolysaccharidoses (MPS) are a group of lysosomal storage disorders caused by the deficiency of lysosomal enzymes. The enzymes are required to break down glycosaminoglycans (GAGs) that help build bone, cartilage, tendons, corneas, skin and connective tissue. In patients with MPS, a missing enzyme leads to the accumulation of GAGs in the cells, blood, connective tissues, and multiple organs. The consequence is permanent, with progressive cellular damage affecting patients' appearance, physical abilities, organ and system function, and skeletal and mental development. The measurement of each specific GAG in a variety of specimens is required to establish the correlation between GAGs and physiological status of patients and/or prognosis and pathogenesis of the disease and to separate the patients with MPS from the healthy controls. We have developed a highly accurate, sensitive, and cost-effective liquid chromatography tandem mass spectrometry (LC-MS/MS) method for measurements of disaccharides derived from four specific GAGs [chondroitin sulfate (CS), dermatan sulfate (DS), heparan sulfate (HS), and keratan sulfate (KS)]. Disaccharides were produced by specific enzyme digestion of each GAG, and subsequently, quantified by negative ion mode of multiple reaction monitoring. Subclasses of GAGs with the same molecular weights can be separated by liquid chromatography. We have also developed another GAG assay by high-throughput mass spectrometry (HT-MS/MS). The HT-MS/MS consists of an integrated solid phase extraction robot that binds and de-salts samples from assay plates and directly injects them into a MS/MS detector, reducing sample processing time to within ten seconds. HT-MS/MS consequently yields much faster throughput than conventional LC-MS/MS-based methods; however, the HT-MS/MS system does not use a chromatographic step, and therefore, cannot separate GAGs that have the same molecular weights. Both techniques can be applied to the analysis of dried blood spots, blood, and urine specimens. In this review, we describe the assay methods for GAGs and the application to newborn screening and diagnosis of MPS.", "author" : [ { "dropping-particle" : "", "family" : "Tomatsu", "given" : "S", "non-dropping-particle" : "", "parse-names" : false, "suffix" : "" }, { "dropping-particle" : "", "family" : "Kubaski", "given" : "F", "non-dropping-particle" : "", "parse-names" : false, "suffix" : "" }, { "dropping-particle" : "", "family" : "Sawamoto", "given" : "K", "non-dropping-particle" : "", "parse-names" : false, "suffix" : "" }, { "dropping-particle" : "", "family" : "Mason", "given" : "R W", "non-dropping-particle" : "", "parse-names" : false, "suffix" : "" }, { "dropping-particle" : "", "family" : "Yasuda", "given" : "E", "non-dropping-particle" : "", "parse-names" : false, "suffix" : "" }, { "dropping-particle" : "", "family" : "Shimada", "given" : "T", "non-dropping-particle" : "", "parse-names" : false, "suffix" : "" }, { "dropping-particle" : "", "family" : "Montano", "given" : "A M", "non-dropping-particle" : "", "parse-names" : false, "suffix" : "" }, { "dropping-particle" : "", "family" : "Yamaguchi", "given" : "S", "non-dropping-particle" : "", "parse-names" : false, "suffix" : "" }, { "dropping-particle" : "", "family" : "Suzuki", "given" : "Y", "non-dropping-particle" : "", "parse-names" : false, "suffix" : "" }, { "dropping-particle" : "", "family" : "Orii", "given" : "T", "non-dropping-particle" : "", "parse-names" : false, "suffix" : "" } ], "container-title" : "Nihon Masu Sukuriningu Gakkai Shi", "id" : "ITEM-1", "issued" : { "date-parts" : [ [ "2014" ] ] }, "page" : "19-37", "title" : "Newborn screening and diagnosis of mucopolysaccharidoses: application of tandem mass spectrometry", "type" : "article-journal", "volume" : "24" }, "uris" : [ "http://www.mendeley.com/documents/?uuid=dec277ae-c17b-44a0-850a-0be25a3d2452" ] }, { "id" : "ITEM-2", "itemData" : { "DOI" : "10.1016/j.ymgme.2014.12.001", "author" : [ { "dropping-particle" : "", "family" : "Tomatsu", "given" : "Shunji", "non-dropping-particle" : "", "parse-names" : false, "suffix" : "" }, { "dropping-particle" : "", "family" : "Alm\u00e9ciga-D\u00edaz", "given" : "Carlos J", "non-dropping-particle" : "", "parse-names" : false, "suffix" : "" }, { "dropping-particle" : "", "family" : "Monta\u00f1o", "given" : "Adriana M", "non-dropping-particle" : "", "parse-names" : false, "suffix" : "" }, { "dropping-particle" : "", "family" : "Yabe", "given" : "Hiromasa", "non-dropping-particle" : "", "parse-names" : false, "suffix" : "" }, { "dropping-particle" : "", "family" : "Tanaka", "given" : "Akemi", "non-dropping-particle" : "", "parse-names" : false, "suffix" : "" }, { "dropping-particle" : "", "family" : "Dung", "given" : "Vu Chi", "non-dropping-particle" : "", "parse-names" : false, "suffix" : "" }, { "dropping-particle" : "", "family" : "Giugliani", "given" : "Roberto", "non-dropping-particle" : "", "parse-names" : false, "suffix" : "" }, { "dropping-particle" : "", "family" : "Kubaski", "given" : "Francyne", "non-dropping-particle" : "", "parse-names" : false, "suffix" : "" }, { "dropping-particle" : "", "family" : "Mason", "given" : "Robert W", "non-dropping-particle" : "", "parse-names" : false, "suffix" : "" }, { "dropping-particle" : "", "family" : "Yasuda", "given" : "Eriko", "non-dropping-particle" : "", "parse-names" : false, "suffix" : "" }, { "dropping-particle" : "", "family" : "Sawamoto", "given" : "Kazuki", "non-dropping-particle" : "", "parse-names" : false, "suffix" : "" }, { "dropping-particle" : "", "family" : "Mackenzie", "given" : "William", "non-dropping-particle" : "", "parse-names" : false, "suffix" : "" }, { "dropping-particle" : "", "family" : "Suzuki", "given" : "Yasuyuki", "non-dropping-particle" : "", "parse-names" : false, "suffix" : "" }, { "dropping-particle" : "", "family" : "Orii", "given" : "Kenji E", "non-dropping-particle" : "", "parse-names" : false, "suffix" : "" }, { "dropping-particle" : "", "family" : "Barrera", "given" : "Luis A", "non-dropping-particle" : "", "parse-names" : false, "suffix" : "" }, { "dropping-particle" : "", "family" : "Sly", "given" : "William S", "non-dropping-particle" : "", "parse-names" : false, "suffix" : "" }, { "dropping-particle" : "", "family" : "Orii", "given" : "Tadao", "non-dropping-particle" : "", "parse-names" : false, "suffix" : "" }, { "dropping-particle" : "", "family" : "Colombia", "given" : "D C", "non-dropping-particle" : "", "parse-names" : false, "suffix" : "" } ], "container-title" : "Mol Genet Metab", "id" : "ITEM-2", "issue" : "2", "issued" : { "date-parts" : [ [ "2015" ] ] }, "page" : "94-109", "title" : "Therapies for the bone in mucopolysaccharidoses", "type" : "article-journal", "volume" : "114" }, "uris" : [ "http://www.mendeley.com/documents/?uuid=b2d6fc11-b4ba-3f52-989c-e8d9484889d9" ] } ], "mendeley" : { "formattedCitation" : "&lt;sup&gt;5,6&lt;/sup&gt;", "plainTextFormattedCitation" : "5,6", "previouslyFormattedCitation" : "&lt;sup&gt;5,6&lt;/sup&gt;"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5,6</w:t>
      </w:r>
      <w:r w:rsidRPr="003F585B">
        <w:rPr>
          <w:rFonts w:ascii="Arial" w:hAnsi="Arial" w:cs="Arial"/>
          <w:sz w:val="24"/>
          <w:szCs w:val="24"/>
        </w:rPr>
        <w:fldChar w:fldCharType="end"/>
      </w:r>
      <w:r w:rsidR="00820CF3">
        <w:rPr>
          <w:rFonts w:ascii="Arial" w:hAnsi="Arial" w:cs="Arial"/>
          <w:sz w:val="24"/>
          <w:szCs w:val="24"/>
        </w:rPr>
        <w:t xml:space="preserve"> A classificação deste grupo de doenças pode ocorrer com base na e</w:t>
      </w:r>
      <w:r w:rsidRPr="003F585B">
        <w:rPr>
          <w:rFonts w:ascii="Arial" w:hAnsi="Arial" w:cs="Arial"/>
          <w:sz w:val="24"/>
          <w:szCs w:val="24"/>
        </w:rPr>
        <w:t>nzima deficiente</w:t>
      </w:r>
      <w:r w:rsidR="00820CF3">
        <w:rPr>
          <w:rFonts w:ascii="Arial" w:hAnsi="Arial" w:cs="Arial"/>
          <w:sz w:val="24"/>
          <w:szCs w:val="24"/>
        </w:rPr>
        <w:t xml:space="preserve"> ou quanto ao GAG específico </w:t>
      </w:r>
      <w:r w:rsidR="00613975">
        <w:rPr>
          <w:rFonts w:ascii="Arial" w:hAnsi="Arial" w:cs="Arial"/>
          <w:sz w:val="24"/>
          <w:szCs w:val="24"/>
        </w:rPr>
        <w:t>acumulado</w:t>
      </w:r>
      <w:r w:rsidRPr="003F585B">
        <w:rPr>
          <w:rFonts w:ascii="Arial" w:hAnsi="Arial" w:cs="Arial"/>
          <w:sz w:val="24"/>
          <w:szCs w:val="24"/>
        </w:rPr>
        <w:t xml:space="preserve"> (</w:t>
      </w:r>
      <w:r w:rsidR="00317E22">
        <w:rPr>
          <w:rFonts w:ascii="Arial" w:hAnsi="Arial" w:cs="Arial"/>
          <w:sz w:val="24"/>
          <w:szCs w:val="24"/>
        </w:rPr>
        <w:t>q</w:t>
      </w:r>
      <w:r w:rsidRPr="003F585B">
        <w:rPr>
          <w:rFonts w:ascii="Arial" w:hAnsi="Arial" w:cs="Arial"/>
          <w:sz w:val="24"/>
          <w:szCs w:val="24"/>
        </w:rPr>
        <w:t>uadro 1)</w:t>
      </w:r>
      <w:r w:rsidR="007004E0">
        <w:rPr>
          <w:rFonts w:ascii="Arial" w:hAnsi="Arial" w:cs="Arial"/>
          <w:sz w:val="24"/>
          <w:szCs w:val="24"/>
        </w:rPr>
        <w:t>.</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"id" : "ITEM-2", "itemData" : { "DOI" : "10.2223/JPED.1743 [doi]", "ISBN" : "0021-7557 (Print)\\r0021-7557 (Linking)", "ISSN" : "0021-7557", "PMID" : "18338089", "abstract" : "OBJECTIVE: Descrever o perfil de mobilidade articular e das for\u00e7as de garra e de pin\u00e7a de indiv\u00edduos com MPS VI, al\u00e9m de sua correla\u00e7\u00e3o com a excre\u00e7\u00e3o urin\u00e1ria de glicosaminoglicanos, atividade da ARSB e distancia percorrida no teste de caminhada de 6 minutos. METHODS: This was an observational study of 28 patients with MPS VI, who had not undergone specific treatment. All patients were assessed for amplitude of joint mobility (shoulder, elbow, and knee), grip and pinch strength and urinary GAG excretion and also performed the 6MWT. RESULTS: Shoulder flexion exhibited the greatest limitation, with no correlation with age, followed by knee extension and elbow flexion, both of which were correlated inversely with age. Hand grip strength was compromised in all patients, and pinch strength exhibited a positive correlation with age. CONCLUSIONS: The fact that restricted shoulder flexion was not correlated with age suggests that this finding is present early on in MPS VI and that it constitutes an important clinical sign that should arouse diagnostic suspicion of this disease. The amplitude of knee extension and elbow flexion, in turn, are possible markers of disease progression since they have a negative correlation with age. Further studies are needed to confirm these hypotheses.", "author" : [ { "dropping-particle" : "", "family" : "Cardoso-Santos", "given" : "A", "non-dropping-particle" : "", "parse-names" : false, "suffix" : "" }, { "dropping-particle" : "", "family" : "Azevedo", "given" : "A C", "non-dropping-particle" : "", "parse-names" : false, "suffix" : "" }, { "dropping-particle" : "", "family" : "Fagondes", "given" : "S", "non-dropping-particle" : "", "parse-names" : false, "suffix" : "" }, { "dropping-particle" : "", "family" : "Burin", "given" : "M G", "non-dropping-particle" : "", "parse-names" : false, "suffix" : "" }, { "dropping-particle" : "", "family" : "Giugliani", "given" : "R", "non-dropping-particle" : "", "parse-names" : false, "suffix" : "" }, { "dropping-particle" : "V", "family" : "Schwartz", "given" : "I", "non-dropping-particle" : "", "parse-names" : false, "suffix" : "" } ], "container-title" : "J.Pediatr.", "id" : "ITEM-2", "issue" : "2", "issued" : { "date-parts" : [ [ "2008" ] ] }, "page" : "130-135", "title" : "Mucopolysaccharidosis type VI (Maroteaux-Lamy syndrome): assessment of joint mobility and grip and pinch strength.", "type" : "article-journal", "volume" : "84" }, "uris" : [ "http://www.mendeley.com/documents/?uuid=75be6894-52e9-428c-8f8c-adf380a5f980" ] } ], "mendeley" : { "formattedCitation" : "&lt;sup&gt;4,30&lt;/sup&gt;", "plainTextFormattedCitation" : "4,30", "previouslyFormattedCitation" : "&lt;sup&gt;4,30&lt;/sup&gt;"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4,30</w:t>
      </w:r>
      <w:r w:rsidRPr="003F585B">
        <w:rPr>
          <w:rFonts w:ascii="Arial" w:hAnsi="Arial" w:cs="Arial"/>
          <w:sz w:val="24"/>
          <w:szCs w:val="24"/>
        </w:rPr>
        <w:fldChar w:fldCharType="end"/>
      </w:r>
      <w:r w:rsidR="00820CF3">
        <w:rPr>
          <w:rFonts w:ascii="Arial" w:hAnsi="Arial" w:cs="Arial"/>
          <w:sz w:val="24"/>
          <w:szCs w:val="24"/>
        </w:rPr>
        <w:t xml:space="preserve"> A </w:t>
      </w:r>
      <w:r w:rsidRPr="003F585B">
        <w:rPr>
          <w:rFonts w:ascii="Arial" w:hAnsi="Arial" w:cs="Arial"/>
          <w:sz w:val="24"/>
          <w:szCs w:val="24"/>
        </w:rPr>
        <w:t>depender do grau de inatividade enzimática, as MPS podem variar</w:t>
      </w:r>
      <w:r w:rsidR="00820CF3">
        <w:rPr>
          <w:rFonts w:ascii="Arial" w:hAnsi="Arial" w:cs="Arial"/>
          <w:sz w:val="24"/>
          <w:szCs w:val="24"/>
        </w:rPr>
        <w:t xml:space="preserve"> também</w:t>
      </w:r>
      <w:r w:rsidRPr="003F585B">
        <w:rPr>
          <w:rFonts w:ascii="Arial" w:hAnsi="Arial" w:cs="Arial"/>
          <w:sz w:val="24"/>
          <w:szCs w:val="24"/>
        </w:rPr>
        <w:t xml:space="preserve"> quanto ao fenótipo</w:t>
      </w:r>
      <w:r w:rsidR="00EC6EA9">
        <w:rPr>
          <w:rFonts w:ascii="Arial" w:hAnsi="Arial" w:cs="Arial"/>
          <w:sz w:val="24"/>
          <w:szCs w:val="24"/>
        </w:rPr>
        <w:t xml:space="preserve"> – de atenuado à</w:t>
      </w:r>
      <w:r w:rsidRPr="003F585B">
        <w:rPr>
          <w:rFonts w:ascii="Arial" w:hAnsi="Arial" w:cs="Arial"/>
          <w:sz w:val="24"/>
          <w:szCs w:val="24"/>
        </w:rPr>
        <w:t xml:space="preserve"> grave</w:t>
      </w:r>
      <w:r w:rsidR="007004E0">
        <w:rPr>
          <w:rFonts w:ascii="Arial" w:hAnsi="Arial" w:cs="Arial"/>
          <w:sz w:val="24"/>
          <w:szCs w:val="24"/>
        </w:rPr>
        <w:t>.</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"10.1186/1546-0096-12-32", "ISSN" : "1546-0096", "PMID" : "25110468", "abstract" : "BACKGROUND: Children with mucopolysaccharidoses (MPS) often have musculoskeletal (MSK) abnormalities. Paediatric Gait, Arms, Legs, and Spine (pGALS), is a simple MSK assessment validated in school-age children to detect abnormal joints. We aimed to identify MSK abnormalities in children with MPS performing pGALS.\\n\\nMETHODS: Videos of children with a spectrum of MPS performing pGALS were analysed. A piloted proforma to record abnormalities for each pGALS manoeuvre observed in the videos (scored as normal/abnormal/not assessable) was used by three observers blinded to MPS subtype. Videos were scored independently and rescored for intra- and inter-observer consistency. Data were pooled and analysed.\\n\\nRESULTS: Eighteen videos of children [12 boys, 6 girls, median age 11 years (4-19)] with MPS (13 type I [5 Hurler, 8 attenuated type I]; 4 type II; 1 mannosidosis) were assessed. The most common abnormalities detected using pGALS were restrictions of the shoulder, elbow, wrist, jaw (&gt;75% cases), and fingers (2/3 cases). Mean intra-observer \u039a 0.74 (range 0.65-0.88) and inter-observer \u039a 0.62 (range 0.51-0.77). Hip manoeuvres were not clearly demonstrated in the videos.\\n\\nCONCLUSIONS: In this observational study, pGALS identifies MSK abnormalities in children with MPS. Restricted joint movement (especially upper limb) was a consistent finding. Future work includes pGALS assessment of the hip and testing pGALS in further children with attenuated MPS type I. The use of pGALS and awareness of patterns of joint involvement may be a useful adjunct to facilitate earlier recognition of these rare conditions and ultimately access to specialist care.", "author" : [ { "dropping-particle" : "", "family" : "Chan", "given" : "Mercedes O", "non-dropping-particle" : "", "parse-names" : false, "suffix" : "" }, { "dropping-particle" : "", "family" : "Sen", "given" : "Ethan S", "non-dropping-particle" : "", "parse-names" : false, "suffix" : "" }, { "dropping-particle" : "", "family" : "Hardy", "given" : "Elizabeth", "non-dropping-particle" : "", "parse-names" : false, "suffix" : "" }, { "dropping-particle" : "", "family" : "Hensman", "given" : "Pauline", "non-dropping-particle" : "", "parse-names" : false, "suffix" : "" }, { "dropping-particle" : "", "family" : "Wraith", "given" : "Edmond", "non-dropping-particle" : "", "parse-names" : false, "suffix" : "" }, { "dropping-particle" : "", "family" : "Jones", "given" : "Simon", "non-dropping-particle" : "", "parse-names" : false, "suffix" : "" }, { "dropping-particle" : "", "family" : "Rapley", "given" : "Tim", "non-dropping-particle" : "", "parse-names" : false, "suffix" : "" }, { "dropping-particle" : "", "family" : "Foster", "given" : "Helen E", "non-dropping-particle" : "", "parse-names" : false, "suffix" : "" } ], "container-title" : "Pediatric rheumatology online journal", "id" : "ITEM-1", "issue" : "32", "issued" : { "date-parts" : [ [ "2014" ] ] }, "page" : "1-9", "title" : "Assessment of musculoskeletal abnormalities in children with mucopolysaccharidoses using pGALS.", "type" : "article-journal", "volume" : "12" }, "uris" : [ "http://www.mendeley.com/documents/?uuid=bdf88c63-89a0-4de5-baa7-b0b8491d126a" ] } ], "mendeley" : { "formattedCitation" : "&lt;sup&gt;7&lt;/sup&gt;", "plainTextFormattedCitation" : "7", "previouslyFormattedCitation" : "&lt;sup&gt;7&lt;/sup&gt;"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7</w:t>
      </w:r>
      <w:r w:rsidRPr="003F585B">
        <w:rPr>
          <w:rFonts w:ascii="Arial" w:hAnsi="Arial" w:cs="Arial"/>
          <w:sz w:val="24"/>
          <w:szCs w:val="24"/>
        </w:rPr>
        <w:fldChar w:fldCharType="end"/>
      </w:r>
      <w:r w:rsidR="00CA043C">
        <w:rPr>
          <w:rFonts w:ascii="Arial" w:hAnsi="Arial" w:cs="Arial"/>
          <w:sz w:val="24"/>
          <w:szCs w:val="24"/>
        </w:rPr>
        <w:t xml:space="preserve"> E,</w:t>
      </w:r>
      <w:r w:rsidR="00C84C5A">
        <w:rPr>
          <w:rFonts w:ascii="Arial" w:hAnsi="Arial" w:cs="Arial"/>
          <w:sz w:val="24"/>
          <w:szCs w:val="24"/>
        </w:rPr>
        <w:t xml:space="preserve"> o acúmulo de GAG</w:t>
      </w:r>
      <w:r w:rsidR="00EB492D">
        <w:rPr>
          <w:rFonts w:ascii="Arial" w:hAnsi="Arial" w:cs="Arial"/>
          <w:sz w:val="24"/>
          <w:szCs w:val="24"/>
        </w:rPr>
        <w:t>s</w:t>
      </w:r>
      <w:r w:rsidR="00820CF3">
        <w:rPr>
          <w:rFonts w:ascii="Arial" w:hAnsi="Arial" w:cs="Arial"/>
          <w:sz w:val="24"/>
          <w:szCs w:val="24"/>
        </w:rPr>
        <w:t>,</w:t>
      </w:r>
      <w:r w:rsidRPr="003F585B">
        <w:rPr>
          <w:rFonts w:ascii="Arial" w:hAnsi="Arial" w:cs="Arial"/>
          <w:sz w:val="24"/>
          <w:szCs w:val="24"/>
        </w:rPr>
        <w:t xml:space="preserve"> além de ocasionar danos celulares e teciduais, gera uma diversidade de apresentações clínicas que progridem ao longo do tempo</w:t>
      </w:r>
      <w:r w:rsidR="007004E0">
        <w:rPr>
          <w:rFonts w:ascii="Arial" w:hAnsi="Arial" w:cs="Arial"/>
          <w:sz w:val="24"/>
          <w:szCs w:val="24"/>
        </w:rPr>
        <w:t>.</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"10.1016/j.otorri.2011.05.003", "ISSN" : "00016519", "author" : [ { "dropping-particle" : "", "family" : "Santos", "given" : "Saturnino", "non-dropping-particle" : "", "parse-names" : false, "suffix" : "" }, { "dropping-particle" : "", "family" : "L\u00f3pez", "given" : "Laura", "non-dropping-particle" : "", "parse-names" : false, "suffix" : "" }, { "dropping-particle" : "", "family" : "Gonz\u00e1lez", "given" : "Luis", "non-dropping-particle" : "", "parse-names" : false, "suffix" : "" }, { "dropping-particle" : "", "family" : "Dom\u00ednguez", "given" : "M. Jes\u00fas", "non-dropping-particle" : "", "parse-names" : false, "suffix" : "" } ], "container-title" : "Acta Otorrinolaringol\u00f3gica Espa\u00f1ola", "id" : "ITEM-1", "issue" : "6", "issued" : { "date-parts" : [ [ "2011" ] ] }, "page" : "411-417", "title" : "Hipoacusia y problemas de v\u00eda a\u00e9rea en ni\u00f1os con mucopolisacaridosis", "type" : "article-journal", "volume" : "62" }, "uris" : [ "http://www.mendeley.com/documents/?uuid=7cacc730-06a2-42a1-b91b-cfb947b16804" ] }, { "id" : "ITEM-2", "itemData" : { "DOI" : "10.1186/1546-0096-12-32", "ISSN" : "1546-0096", "PMID" : "25110468", "abstract" : "BACKGROUND: Children with mucopolysaccharidoses (MPS) often have musculoskeletal (MSK) abnormalities. Paediatric Gait, Arms, Legs, and Spine (pGALS), is a simple MSK assessment validated in school-age children to detect abnormal joints. We aimed to identify MSK abnormalities in children with MPS performing pGALS.\\n\\nMETHODS: Videos of children with a spectrum of MPS performing pGALS were analysed. A piloted proforma to record abnormalities for each pGALS manoeuvre observed in the videos (scored as normal/abnormal/not assessable) was used by three observers blinded to MPS subtype. Videos were scored independently and rescored for intra- and inter-observer consistency. Data were pooled and analysed.\\n\\nRESULTS: Eighteen videos of children [12 boys, 6 girls, median age 11 years (4-19)] with MPS (13 type I [5 Hurler, 8 attenuated type I]; 4 type II; 1 mannosidosis) were assessed. The most common abnormalities detected using pGALS were restrictions of the shoulder, elbow, wrist, jaw (&gt;75% cases), and fingers (2/3 cases). Mean intra-observer \u039a 0.74 (range 0.65-0.88) and inter-observer \u039a 0.62 (range 0.51-0.77). Hip manoeuvres were not clearly demonstrated in the videos.\\n\\nCONCLUSIONS: In this observational study, pGALS identifies MSK abnormalities in children with MPS. Restricted joint movement (especially upper limb) was a consistent finding. Future work includes pGALS assessment of the hip and testing pGALS in further children with attenuated MPS type I. The use of pGALS and awareness of patterns of joint involvement may be a useful adjunct to facilitate earlier recognition of these rare conditions and ultimately access to specialist care.", "author" : [ { "dropping-particle" : "", "family" : "Chan", "given" : "Mercedes O", "non-dropping-particle" : "", "parse-names" : false, "suffix" : "" }, { "dropping-particle" : "", "family" : "Sen", "given" : "Ethan S", "non-dropping-particle" : "", "parse-names" : false, "suffix" : "" }, { "dropping-particle" : "", "family" : "Hardy", "given" : "Elizabeth", "non-dropping-particle" : "", "parse-names" : false, "suffix" : "" }, { "dropping-particle" : "", "family" : "Hensman", "given" : "Pauline", "non-dropping-particle" : "", "parse-names" : false, "suffix" : "" }, { "dropping-particle" : "", "family" : "Wraith", "given" : "Edmond", "non-dropping-particle" : "", "parse-names" : false, "suffix" : "" }, { "dropping-particle" : "", "family" : "Jones", "given" : "Simon", "non-dropping-particle" : "", "parse-names" : false, "suffix" : "" }, { "dropping-particle" : "", "family" : "Rapley", "given" : "Tim", "non-dropping-particle" : "", "parse-names" : false, "suffix" : "" }, { "dropping-particle" : "", "family" : "Foster", "given" : "Helen E", "non-dropping-particle" : "", "parse-names" : false, "suffix" : "" } ], "container-title" : "Pediatric rheumatology online journal", "id" : "ITEM-2", "issue" : "32", "issued" : { "date-parts" : [ [ "2014" ] ] }, "page" : "1-9", "title" : "Assessment of musculoskeletal abnormalities in children with mucopolysaccharidoses using pGALS.", "type" : "article-journal", "volume" : "12" }, "uris" : [ "http://www.mendeley.com/documents/?uuid=bdf88c63-89a0-4de5-baa7-b0b8491d126a" ] } ], "mendeley" : { "formattedCitation" : "&lt;sup&gt;7,36&lt;/sup&gt;", "plainTextFormattedCitation" : "7,36", "previouslyFormattedCitation" : "&lt;sup&gt;7,36&lt;/sup&gt;"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7,36</w:t>
      </w:r>
      <w:r w:rsidRPr="003F585B">
        <w:rPr>
          <w:rFonts w:ascii="Arial" w:hAnsi="Arial" w:cs="Arial"/>
          <w:sz w:val="24"/>
          <w:szCs w:val="24"/>
        </w:rPr>
        <w:fldChar w:fldCharType="end"/>
      </w:r>
    </w:p>
    <w:p w:rsidR="00A62F69" w:rsidRDefault="00A62F69" w:rsidP="00A62F69">
      <w:pPr>
        <w:spacing w:after="0" w:line="360" w:lineRule="auto"/>
        <w:jc w:val="both"/>
        <w:rPr>
          <w:rFonts w:ascii="Arial" w:hAnsi="Arial" w:cs="Arial"/>
          <w:sz w:val="24"/>
          <w:szCs w:val="24"/>
        </w:rPr>
      </w:pPr>
    </w:p>
    <w:p w:rsidR="003C435F" w:rsidRDefault="003C435F" w:rsidP="001D2F5D">
      <w:pPr>
        <w:pStyle w:val="EstiloDissertao"/>
      </w:pPr>
      <w:bookmarkStart w:id="6" w:name="_Toc494629430"/>
      <w:r w:rsidRPr="001D2F5D">
        <w:rPr>
          <w:b/>
        </w:rPr>
        <w:t xml:space="preserve">Quadro </w:t>
      </w:r>
      <w:r w:rsidRPr="001D2F5D">
        <w:rPr>
          <w:b/>
        </w:rPr>
        <w:fldChar w:fldCharType="begin"/>
      </w:r>
      <w:r w:rsidRPr="001D2F5D">
        <w:rPr>
          <w:b/>
        </w:rPr>
        <w:instrText xml:space="preserve"> SEQ Quadro \* ARABIC </w:instrText>
      </w:r>
      <w:r w:rsidRPr="001D2F5D">
        <w:rPr>
          <w:b/>
        </w:rPr>
        <w:fldChar w:fldCharType="separate"/>
      </w:r>
      <w:r w:rsidR="005E2BE9">
        <w:rPr>
          <w:b/>
          <w:noProof/>
        </w:rPr>
        <w:t>1</w:t>
      </w:r>
      <w:r w:rsidRPr="001D2F5D">
        <w:rPr>
          <w:b/>
        </w:rPr>
        <w:fldChar w:fldCharType="end"/>
      </w:r>
      <w:r w:rsidR="001D2F5D" w:rsidRPr="001D2F5D">
        <w:rPr>
          <w:b/>
        </w:rPr>
        <w:t xml:space="preserve"> – </w:t>
      </w:r>
      <w:r w:rsidRPr="00B9171D">
        <w:t>Classificação das MPS, de acordo com a deficiência enzimática e o substrato (GAG) acumulado.</w:t>
      </w:r>
      <w:bookmarkEnd w:id="6"/>
    </w:p>
    <w:tbl>
      <w:tblPr>
        <w:tblW w:w="9260" w:type="dxa"/>
        <w:tblInd w:w="113" w:type="dxa"/>
        <w:tblLayout w:type="fixed"/>
        <w:tblCellMar>
          <w:left w:w="113" w:type="dxa"/>
        </w:tblCellMar>
        <w:tblLook w:val="0000" w:firstRow="0" w:lastRow="0" w:firstColumn="0" w:lastColumn="0" w:noHBand="0" w:noVBand="0"/>
      </w:tblPr>
      <w:tblGrid>
        <w:gridCol w:w="1560"/>
        <w:gridCol w:w="2976"/>
        <w:gridCol w:w="3402"/>
        <w:gridCol w:w="1322"/>
      </w:tblGrid>
      <w:tr w:rsidR="0025251F" w:rsidRPr="00D736A4" w:rsidTr="00417B96">
        <w:trPr>
          <w:trHeight w:val="375"/>
        </w:trPr>
        <w:tc>
          <w:tcPr>
            <w:tcW w:w="1560" w:type="dxa"/>
            <w:tcBorders>
              <w:top w:val="single" w:sz="4" w:space="0" w:color="00000A"/>
              <w:left w:val="single" w:sz="4" w:space="0" w:color="00000A"/>
              <w:bottom w:val="single" w:sz="4" w:space="0" w:color="00000A"/>
              <w:right w:val="single" w:sz="4" w:space="0" w:color="00000A"/>
            </w:tcBorders>
            <w:shd w:val="clear" w:color="auto" w:fill="auto"/>
          </w:tcPr>
          <w:p w:rsidR="0025251F" w:rsidRPr="00A62F69" w:rsidRDefault="0025251F" w:rsidP="00336BB5">
            <w:pPr>
              <w:spacing w:after="0" w:line="360" w:lineRule="auto"/>
              <w:jc w:val="center"/>
              <w:rPr>
                <w:rFonts w:ascii="Arial" w:hAnsi="Arial" w:cs="Arial"/>
                <w:b/>
                <w:sz w:val="20"/>
                <w:szCs w:val="24"/>
              </w:rPr>
            </w:pPr>
            <w:r w:rsidRPr="00A62F69">
              <w:rPr>
                <w:rFonts w:ascii="Arial" w:hAnsi="Arial" w:cs="Arial"/>
                <w:b/>
                <w:sz w:val="20"/>
                <w:szCs w:val="24"/>
              </w:rPr>
              <w:t>Tipo de MPS</w:t>
            </w:r>
          </w:p>
        </w:tc>
        <w:tc>
          <w:tcPr>
            <w:tcW w:w="2976" w:type="dxa"/>
            <w:tcBorders>
              <w:top w:val="single" w:sz="4" w:space="0" w:color="00000A"/>
              <w:left w:val="single" w:sz="4" w:space="0" w:color="00000A"/>
              <w:bottom w:val="single" w:sz="4" w:space="0" w:color="00000A"/>
              <w:right w:val="single" w:sz="4" w:space="0" w:color="00000A"/>
            </w:tcBorders>
            <w:shd w:val="clear" w:color="auto" w:fill="auto"/>
          </w:tcPr>
          <w:p w:rsidR="0025251F" w:rsidRPr="00A62F69" w:rsidRDefault="0025251F" w:rsidP="00336BB5">
            <w:pPr>
              <w:spacing w:after="0" w:line="240" w:lineRule="auto"/>
              <w:jc w:val="center"/>
              <w:rPr>
                <w:rFonts w:ascii="Arial" w:hAnsi="Arial" w:cs="Arial"/>
                <w:b/>
                <w:sz w:val="20"/>
                <w:szCs w:val="24"/>
              </w:rPr>
            </w:pPr>
            <w:r w:rsidRPr="00A62F69">
              <w:rPr>
                <w:rFonts w:ascii="Arial" w:hAnsi="Arial" w:cs="Arial"/>
                <w:b/>
                <w:sz w:val="20"/>
                <w:szCs w:val="24"/>
              </w:rPr>
              <w:t>Epônimo</w:t>
            </w:r>
          </w:p>
        </w:tc>
        <w:tc>
          <w:tcPr>
            <w:tcW w:w="3402" w:type="dxa"/>
            <w:tcBorders>
              <w:top w:val="single" w:sz="4" w:space="0" w:color="00000A"/>
              <w:left w:val="single" w:sz="4" w:space="0" w:color="00000A"/>
              <w:bottom w:val="single" w:sz="4" w:space="0" w:color="00000A"/>
              <w:right w:val="single" w:sz="4" w:space="0" w:color="00000A"/>
            </w:tcBorders>
            <w:shd w:val="clear" w:color="auto" w:fill="auto"/>
          </w:tcPr>
          <w:p w:rsidR="0025251F" w:rsidRPr="00A62F69" w:rsidRDefault="0025251F" w:rsidP="00336BB5">
            <w:pPr>
              <w:spacing w:after="0" w:line="240" w:lineRule="auto"/>
              <w:jc w:val="center"/>
              <w:rPr>
                <w:rFonts w:ascii="Arial" w:hAnsi="Arial" w:cs="Arial"/>
                <w:sz w:val="20"/>
              </w:rPr>
            </w:pPr>
            <w:r w:rsidRPr="00A62F69">
              <w:rPr>
                <w:rFonts w:ascii="Arial" w:hAnsi="Arial" w:cs="Arial"/>
                <w:b/>
                <w:sz w:val="20"/>
                <w:szCs w:val="24"/>
              </w:rPr>
              <w:t>Deficiência enzimática</w:t>
            </w:r>
          </w:p>
        </w:tc>
        <w:tc>
          <w:tcPr>
            <w:tcW w:w="1322" w:type="dxa"/>
            <w:tcBorders>
              <w:top w:val="single" w:sz="4" w:space="0" w:color="00000A"/>
              <w:left w:val="single" w:sz="4" w:space="0" w:color="00000A"/>
              <w:bottom w:val="single" w:sz="4" w:space="0" w:color="00000A"/>
              <w:right w:val="single" w:sz="4" w:space="0" w:color="00000A"/>
            </w:tcBorders>
          </w:tcPr>
          <w:p w:rsidR="0025251F" w:rsidRPr="00A62F69" w:rsidRDefault="0041731E" w:rsidP="00336BB5">
            <w:pPr>
              <w:spacing w:after="0" w:line="240" w:lineRule="auto"/>
              <w:jc w:val="center"/>
              <w:rPr>
                <w:rFonts w:ascii="Arial" w:hAnsi="Arial" w:cs="Arial"/>
                <w:b/>
                <w:sz w:val="20"/>
                <w:szCs w:val="24"/>
              </w:rPr>
            </w:pPr>
            <w:r w:rsidRPr="00A62F69">
              <w:rPr>
                <w:rFonts w:ascii="Arial" w:hAnsi="Arial" w:cs="Arial"/>
                <w:b/>
                <w:sz w:val="20"/>
                <w:szCs w:val="24"/>
              </w:rPr>
              <w:t>Substrato</w:t>
            </w:r>
          </w:p>
        </w:tc>
      </w:tr>
      <w:tr w:rsidR="0025251F" w:rsidRPr="00D736A4" w:rsidTr="00417B96">
        <w:trPr>
          <w:trHeight w:val="393"/>
        </w:trPr>
        <w:tc>
          <w:tcPr>
            <w:tcW w:w="1560" w:type="dxa"/>
            <w:tcBorders>
              <w:top w:val="single" w:sz="4" w:space="0" w:color="00000A"/>
              <w:left w:val="single" w:sz="4" w:space="0" w:color="00000A"/>
              <w:right w:val="single" w:sz="4" w:space="0" w:color="00000A"/>
            </w:tcBorders>
            <w:shd w:val="clear" w:color="auto" w:fill="auto"/>
          </w:tcPr>
          <w:p w:rsidR="0025251F" w:rsidRPr="00A62F69" w:rsidRDefault="00417B96" w:rsidP="00417B96">
            <w:pPr>
              <w:spacing w:after="0" w:line="240" w:lineRule="auto"/>
              <w:jc w:val="both"/>
              <w:rPr>
                <w:rFonts w:ascii="Arial" w:hAnsi="Arial" w:cs="Arial"/>
                <w:sz w:val="20"/>
                <w:szCs w:val="24"/>
              </w:rPr>
            </w:pPr>
            <w:r>
              <w:rPr>
                <w:rFonts w:ascii="Arial" w:hAnsi="Arial" w:cs="Arial"/>
                <w:sz w:val="20"/>
                <w:szCs w:val="24"/>
              </w:rPr>
              <w:t xml:space="preserve">MPS </w:t>
            </w:r>
            <w:r w:rsidR="0025251F" w:rsidRPr="00A62F69">
              <w:rPr>
                <w:rFonts w:ascii="Arial" w:hAnsi="Arial" w:cs="Arial"/>
                <w:sz w:val="20"/>
                <w:szCs w:val="24"/>
              </w:rPr>
              <w:t>I</w:t>
            </w:r>
          </w:p>
        </w:tc>
        <w:tc>
          <w:tcPr>
            <w:tcW w:w="2976" w:type="dxa"/>
            <w:tcBorders>
              <w:top w:val="single" w:sz="4" w:space="0" w:color="00000A"/>
              <w:left w:val="single" w:sz="4" w:space="0" w:color="00000A"/>
              <w:right w:val="single" w:sz="4" w:space="0" w:color="00000A"/>
            </w:tcBorders>
            <w:shd w:val="clear" w:color="auto" w:fill="auto"/>
          </w:tcPr>
          <w:p w:rsidR="0025251F" w:rsidRPr="00A62F69" w:rsidRDefault="0025251F" w:rsidP="0025251F">
            <w:pPr>
              <w:spacing w:after="0" w:line="240" w:lineRule="auto"/>
              <w:jc w:val="both"/>
              <w:rPr>
                <w:rFonts w:ascii="Arial" w:hAnsi="Arial" w:cs="Arial"/>
                <w:sz w:val="20"/>
                <w:szCs w:val="24"/>
              </w:rPr>
            </w:pPr>
            <w:r w:rsidRPr="00A62F69">
              <w:rPr>
                <w:rFonts w:ascii="Arial" w:hAnsi="Arial" w:cs="Arial"/>
                <w:sz w:val="20"/>
                <w:szCs w:val="24"/>
              </w:rPr>
              <w:t xml:space="preserve">Síndrome de </w:t>
            </w:r>
            <w:r w:rsidR="00EC6EA9">
              <w:rPr>
                <w:rFonts w:ascii="Arial" w:hAnsi="Arial" w:cs="Arial"/>
                <w:sz w:val="20"/>
                <w:szCs w:val="24"/>
              </w:rPr>
              <w:t xml:space="preserve">Scheie, </w:t>
            </w:r>
            <w:r w:rsidRPr="00A62F69">
              <w:rPr>
                <w:rFonts w:ascii="Arial" w:hAnsi="Arial" w:cs="Arial"/>
                <w:sz w:val="20"/>
                <w:szCs w:val="24"/>
              </w:rPr>
              <w:t>Hurler</w:t>
            </w:r>
            <w:r w:rsidR="00EC6EA9">
              <w:rPr>
                <w:rFonts w:ascii="Arial" w:hAnsi="Arial" w:cs="Arial"/>
                <w:sz w:val="20"/>
                <w:szCs w:val="24"/>
              </w:rPr>
              <w:t>-Scheie, Hurler</w:t>
            </w:r>
          </w:p>
        </w:tc>
        <w:tc>
          <w:tcPr>
            <w:tcW w:w="3402" w:type="dxa"/>
            <w:tcBorders>
              <w:top w:val="single" w:sz="4" w:space="0" w:color="00000A"/>
              <w:left w:val="single" w:sz="4" w:space="0" w:color="00000A"/>
              <w:right w:val="single" w:sz="4" w:space="0" w:color="00000A"/>
            </w:tcBorders>
            <w:shd w:val="clear" w:color="auto" w:fill="auto"/>
          </w:tcPr>
          <w:p w:rsidR="0025251F" w:rsidRPr="00A62F69" w:rsidRDefault="0025251F" w:rsidP="0025251F">
            <w:pPr>
              <w:spacing w:after="0" w:line="240" w:lineRule="auto"/>
              <w:jc w:val="both"/>
              <w:rPr>
                <w:rFonts w:ascii="Arial" w:hAnsi="Arial" w:cs="Arial"/>
                <w:sz w:val="20"/>
              </w:rPr>
            </w:pPr>
            <w:r w:rsidRPr="00A62F69">
              <w:rPr>
                <w:rFonts w:ascii="Arial" w:hAnsi="Arial" w:cs="Arial"/>
                <w:sz w:val="20"/>
                <w:szCs w:val="24"/>
              </w:rPr>
              <w:t>α-L-iduronidase</w:t>
            </w:r>
          </w:p>
        </w:tc>
        <w:tc>
          <w:tcPr>
            <w:tcW w:w="1322" w:type="dxa"/>
            <w:tcBorders>
              <w:top w:val="single" w:sz="4" w:space="0" w:color="00000A"/>
              <w:left w:val="single" w:sz="4" w:space="0" w:color="00000A"/>
              <w:right w:val="single" w:sz="4" w:space="0" w:color="00000A"/>
            </w:tcBorders>
          </w:tcPr>
          <w:p w:rsidR="0025251F" w:rsidRPr="00A62F69" w:rsidRDefault="005230DF" w:rsidP="005230DF">
            <w:pPr>
              <w:spacing w:after="0" w:line="240" w:lineRule="auto"/>
              <w:jc w:val="center"/>
              <w:rPr>
                <w:rFonts w:ascii="Arial" w:hAnsi="Arial" w:cs="Arial"/>
                <w:sz w:val="20"/>
                <w:szCs w:val="24"/>
              </w:rPr>
            </w:pPr>
            <w:r>
              <w:rPr>
                <w:rFonts w:ascii="Arial" w:hAnsi="Arial" w:cs="Arial"/>
                <w:sz w:val="20"/>
                <w:szCs w:val="24"/>
              </w:rPr>
              <w:t>DS/HS</w:t>
            </w:r>
          </w:p>
        </w:tc>
      </w:tr>
      <w:tr w:rsidR="0025251F" w:rsidRPr="00D736A4" w:rsidTr="00417B96">
        <w:trPr>
          <w:trHeight w:val="393"/>
        </w:trPr>
        <w:tc>
          <w:tcPr>
            <w:tcW w:w="1560" w:type="dxa"/>
            <w:tcBorders>
              <w:left w:val="single" w:sz="4" w:space="0" w:color="00000A"/>
              <w:right w:val="single" w:sz="4" w:space="0" w:color="00000A"/>
            </w:tcBorders>
            <w:shd w:val="clear" w:color="auto" w:fill="auto"/>
          </w:tcPr>
          <w:p w:rsidR="0025251F" w:rsidRPr="00A62F69" w:rsidRDefault="0025251F" w:rsidP="00417B96">
            <w:pPr>
              <w:spacing w:after="0" w:line="240" w:lineRule="auto"/>
              <w:jc w:val="both"/>
              <w:rPr>
                <w:rFonts w:ascii="Arial" w:hAnsi="Arial" w:cs="Arial"/>
                <w:sz w:val="20"/>
                <w:szCs w:val="24"/>
              </w:rPr>
            </w:pPr>
            <w:r w:rsidRPr="00A62F69">
              <w:rPr>
                <w:rFonts w:ascii="Arial" w:hAnsi="Arial" w:cs="Arial"/>
                <w:sz w:val="20"/>
                <w:szCs w:val="24"/>
              </w:rPr>
              <w:t>MPS II</w:t>
            </w:r>
          </w:p>
        </w:tc>
        <w:tc>
          <w:tcPr>
            <w:tcW w:w="2976" w:type="dxa"/>
            <w:tcBorders>
              <w:left w:val="single" w:sz="4" w:space="0" w:color="00000A"/>
              <w:right w:val="single" w:sz="4" w:space="0" w:color="00000A"/>
            </w:tcBorders>
            <w:shd w:val="clear" w:color="auto" w:fill="auto"/>
          </w:tcPr>
          <w:p w:rsidR="0025251F" w:rsidRPr="00A62F69" w:rsidRDefault="0025251F" w:rsidP="0025251F">
            <w:pPr>
              <w:spacing w:after="0" w:line="240" w:lineRule="auto"/>
              <w:jc w:val="both"/>
              <w:rPr>
                <w:rFonts w:ascii="Arial" w:hAnsi="Arial" w:cs="Arial"/>
                <w:sz w:val="20"/>
                <w:szCs w:val="24"/>
              </w:rPr>
            </w:pPr>
            <w:r w:rsidRPr="00A62F69">
              <w:rPr>
                <w:rFonts w:ascii="Arial" w:hAnsi="Arial" w:cs="Arial"/>
                <w:sz w:val="20"/>
                <w:szCs w:val="24"/>
              </w:rPr>
              <w:t>Síndrome de Hunter</w:t>
            </w:r>
          </w:p>
        </w:tc>
        <w:tc>
          <w:tcPr>
            <w:tcW w:w="3402" w:type="dxa"/>
            <w:tcBorders>
              <w:left w:val="single" w:sz="4" w:space="0" w:color="00000A"/>
              <w:right w:val="single" w:sz="4" w:space="0" w:color="00000A"/>
            </w:tcBorders>
            <w:shd w:val="clear" w:color="auto" w:fill="auto"/>
          </w:tcPr>
          <w:p w:rsidR="0025251F" w:rsidRPr="00A62F69" w:rsidRDefault="00EC6EA9" w:rsidP="00B013D5">
            <w:pPr>
              <w:spacing w:after="0" w:line="240" w:lineRule="auto"/>
              <w:jc w:val="both"/>
              <w:rPr>
                <w:rFonts w:ascii="Arial" w:hAnsi="Arial" w:cs="Arial"/>
                <w:sz w:val="20"/>
              </w:rPr>
            </w:pPr>
            <w:r>
              <w:rPr>
                <w:rFonts w:ascii="Arial" w:hAnsi="Arial" w:cs="Arial"/>
                <w:sz w:val="20"/>
                <w:szCs w:val="24"/>
              </w:rPr>
              <w:t>I</w:t>
            </w:r>
            <w:r w:rsidR="0025251F" w:rsidRPr="00A62F69">
              <w:rPr>
                <w:rFonts w:ascii="Arial" w:hAnsi="Arial" w:cs="Arial"/>
                <w:sz w:val="20"/>
                <w:szCs w:val="24"/>
              </w:rPr>
              <w:t>duronato-</w:t>
            </w:r>
            <w:r>
              <w:rPr>
                <w:rFonts w:ascii="Arial" w:hAnsi="Arial" w:cs="Arial"/>
                <w:sz w:val="20"/>
                <w:szCs w:val="24"/>
              </w:rPr>
              <w:t>2-</w:t>
            </w:r>
            <w:r w:rsidR="0025251F" w:rsidRPr="00A62F69">
              <w:rPr>
                <w:rFonts w:ascii="Arial" w:hAnsi="Arial" w:cs="Arial"/>
                <w:sz w:val="20"/>
                <w:szCs w:val="24"/>
              </w:rPr>
              <w:t>sulfatase</w:t>
            </w:r>
          </w:p>
        </w:tc>
        <w:tc>
          <w:tcPr>
            <w:tcW w:w="1322" w:type="dxa"/>
            <w:tcBorders>
              <w:left w:val="single" w:sz="4" w:space="0" w:color="00000A"/>
              <w:right w:val="single" w:sz="4" w:space="0" w:color="00000A"/>
            </w:tcBorders>
          </w:tcPr>
          <w:p w:rsidR="0025251F" w:rsidRPr="00A62F69" w:rsidRDefault="005230DF" w:rsidP="005230DF">
            <w:pPr>
              <w:spacing w:after="0" w:line="240" w:lineRule="auto"/>
              <w:jc w:val="center"/>
              <w:rPr>
                <w:rFonts w:ascii="Arial" w:hAnsi="Arial" w:cs="Arial"/>
                <w:sz w:val="20"/>
                <w:szCs w:val="24"/>
              </w:rPr>
            </w:pPr>
            <w:r>
              <w:rPr>
                <w:rFonts w:ascii="Arial" w:hAnsi="Arial" w:cs="Arial"/>
                <w:sz w:val="20"/>
                <w:szCs w:val="24"/>
              </w:rPr>
              <w:t>DS/HS</w:t>
            </w:r>
          </w:p>
        </w:tc>
      </w:tr>
      <w:tr w:rsidR="0025251F" w:rsidRPr="00D736A4" w:rsidTr="00417B96">
        <w:trPr>
          <w:trHeight w:val="393"/>
        </w:trPr>
        <w:tc>
          <w:tcPr>
            <w:tcW w:w="1560" w:type="dxa"/>
            <w:tcBorders>
              <w:left w:val="single" w:sz="4" w:space="0" w:color="00000A"/>
              <w:right w:val="single" w:sz="4" w:space="0" w:color="00000A"/>
            </w:tcBorders>
            <w:shd w:val="clear" w:color="auto" w:fill="auto"/>
          </w:tcPr>
          <w:p w:rsidR="0025251F" w:rsidRPr="00A62F69" w:rsidRDefault="0025251F" w:rsidP="00417B96">
            <w:pPr>
              <w:spacing w:after="0" w:line="240" w:lineRule="auto"/>
              <w:jc w:val="both"/>
              <w:rPr>
                <w:rFonts w:ascii="Arial" w:hAnsi="Arial" w:cs="Arial"/>
                <w:sz w:val="20"/>
                <w:szCs w:val="24"/>
              </w:rPr>
            </w:pPr>
            <w:r w:rsidRPr="00A62F69">
              <w:rPr>
                <w:rFonts w:ascii="Arial" w:hAnsi="Arial" w:cs="Arial"/>
                <w:sz w:val="20"/>
                <w:szCs w:val="24"/>
              </w:rPr>
              <w:t>MPS III-A</w:t>
            </w:r>
          </w:p>
        </w:tc>
        <w:tc>
          <w:tcPr>
            <w:tcW w:w="2976" w:type="dxa"/>
            <w:tcBorders>
              <w:left w:val="single" w:sz="4" w:space="0" w:color="00000A"/>
              <w:right w:val="single" w:sz="4" w:space="0" w:color="00000A"/>
            </w:tcBorders>
            <w:shd w:val="clear" w:color="auto" w:fill="auto"/>
          </w:tcPr>
          <w:p w:rsidR="0025251F" w:rsidRPr="00A62F69" w:rsidRDefault="0025251F" w:rsidP="0025251F">
            <w:pPr>
              <w:spacing w:after="0" w:line="240" w:lineRule="auto"/>
              <w:jc w:val="both"/>
              <w:rPr>
                <w:rFonts w:ascii="Arial" w:hAnsi="Arial" w:cs="Arial"/>
                <w:sz w:val="20"/>
                <w:szCs w:val="24"/>
              </w:rPr>
            </w:pPr>
            <w:r w:rsidRPr="00A62F69">
              <w:rPr>
                <w:rFonts w:ascii="Arial" w:hAnsi="Arial" w:cs="Arial"/>
                <w:sz w:val="20"/>
                <w:szCs w:val="24"/>
              </w:rPr>
              <w:t>Síndrome de Sanfilippo A</w:t>
            </w:r>
          </w:p>
        </w:tc>
        <w:tc>
          <w:tcPr>
            <w:tcW w:w="3402" w:type="dxa"/>
            <w:tcBorders>
              <w:left w:val="single" w:sz="4" w:space="0" w:color="00000A"/>
              <w:right w:val="single" w:sz="4" w:space="0" w:color="00000A"/>
            </w:tcBorders>
            <w:shd w:val="clear" w:color="auto" w:fill="auto"/>
          </w:tcPr>
          <w:p w:rsidR="0025251F" w:rsidRPr="00A62F69" w:rsidRDefault="00EC6EA9" w:rsidP="0025251F">
            <w:pPr>
              <w:spacing w:after="0" w:line="240" w:lineRule="auto"/>
              <w:jc w:val="both"/>
              <w:rPr>
                <w:rFonts w:ascii="Arial" w:hAnsi="Arial" w:cs="Arial"/>
                <w:sz w:val="20"/>
              </w:rPr>
            </w:pPr>
            <w:r>
              <w:rPr>
                <w:rFonts w:ascii="Arial" w:hAnsi="Arial" w:cs="Arial"/>
                <w:sz w:val="20"/>
                <w:szCs w:val="24"/>
              </w:rPr>
              <w:t>H</w:t>
            </w:r>
            <w:r w:rsidR="0025251F" w:rsidRPr="00A62F69">
              <w:rPr>
                <w:rFonts w:ascii="Arial" w:hAnsi="Arial" w:cs="Arial"/>
                <w:sz w:val="20"/>
                <w:szCs w:val="24"/>
              </w:rPr>
              <w:t>eparan-N-sulfatase</w:t>
            </w:r>
          </w:p>
        </w:tc>
        <w:tc>
          <w:tcPr>
            <w:tcW w:w="1322" w:type="dxa"/>
            <w:tcBorders>
              <w:left w:val="single" w:sz="4" w:space="0" w:color="00000A"/>
              <w:right w:val="single" w:sz="4" w:space="0" w:color="00000A"/>
            </w:tcBorders>
          </w:tcPr>
          <w:p w:rsidR="0025251F" w:rsidRPr="00A62F69" w:rsidRDefault="005230DF" w:rsidP="005230DF">
            <w:pPr>
              <w:spacing w:after="0" w:line="240" w:lineRule="auto"/>
              <w:jc w:val="center"/>
              <w:rPr>
                <w:rFonts w:ascii="Arial" w:hAnsi="Arial" w:cs="Arial"/>
                <w:sz w:val="20"/>
                <w:szCs w:val="24"/>
              </w:rPr>
            </w:pPr>
            <w:r>
              <w:rPr>
                <w:rFonts w:ascii="Arial" w:hAnsi="Arial" w:cs="Arial"/>
                <w:sz w:val="20"/>
                <w:szCs w:val="24"/>
              </w:rPr>
              <w:t>HS</w:t>
            </w:r>
          </w:p>
        </w:tc>
      </w:tr>
      <w:tr w:rsidR="0025251F" w:rsidRPr="00D736A4" w:rsidTr="00417B96">
        <w:trPr>
          <w:trHeight w:val="393"/>
        </w:trPr>
        <w:tc>
          <w:tcPr>
            <w:tcW w:w="1560" w:type="dxa"/>
            <w:tcBorders>
              <w:left w:val="single" w:sz="4" w:space="0" w:color="00000A"/>
              <w:right w:val="single" w:sz="4" w:space="0" w:color="00000A"/>
            </w:tcBorders>
            <w:shd w:val="clear" w:color="auto" w:fill="auto"/>
          </w:tcPr>
          <w:p w:rsidR="0025251F" w:rsidRPr="00A62F69" w:rsidRDefault="0025251F" w:rsidP="00417B96">
            <w:pPr>
              <w:spacing w:after="0" w:line="240" w:lineRule="auto"/>
              <w:jc w:val="both"/>
              <w:rPr>
                <w:rFonts w:ascii="Arial" w:hAnsi="Arial" w:cs="Arial"/>
                <w:sz w:val="20"/>
                <w:szCs w:val="24"/>
              </w:rPr>
            </w:pPr>
            <w:r w:rsidRPr="00A62F69">
              <w:rPr>
                <w:rFonts w:ascii="Arial" w:hAnsi="Arial" w:cs="Arial"/>
                <w:sz w:val="20"/>
                <w:szCs w:val="24"/>
              </w:rPr>
              <w:t>MPS III-B</w:t>
            </w:r>
          </w:p>
        </w:tc>
        <w:tc>
          <w:tcPr>
            <w:tcW w:w="2976" w:type="dxa"/>
            <w:tcBorders>
              <w:left w:val="single" w:sz="4" w:space="0" w:color="00000A"/>
              <w:right w:val="single" w:sz="4" w:space="0" w:color="00000A"/>
            </w:tcBorders>
            <w:shd w:val="clear" w:color="auto" w:fill="auto"/>
          </w:tcPr>
          <w:p w:rsidR="0025251F" w:rsidRPr="00A62F69" w:rsidRDefault="0025251F" w:rsidP="0025251F">
            <w:pPr>
              <w:spacing w:after="0" w:line="240" w:lineRule="auto"/>
              <w:jc w:val="both"/>
              <w:rPr>
                <w:rFonts w:ascii="Arial" w:hAnsi="Arial" w:cs="Arial"/>
                <w:sz w:val="20"/>
                <w:szCs w:val="24"/>
              </w:rPr>
            </w:pPr>
            <w:r w:rsidRPr="00A62F69">
              <w:rPr>
                <w:rFonts w:ascii="Arial" w:hAnsi="Arial" w:cs="Arial"/>
                <w:sz w:val="20"/>
                <w:szCs w:val="24"/>
              </w:rPr>
              <w:t>Síndrome de Sanfilippo B</w:t>
            </w:r>
          </w:p>
        </w:tc>
        <w:tc>
          <w:tcPr>
            <w:tcW w:w="3402" w:type="dxa"/>
            <w:tcBorders>
              <w:left w:val="single" w:sz="4" w:space="0" w:color="00000A"/>
              <w:right w:val="single" w:sz="4" w:space="0" w:color="00000A"/>
            </w:tcBorders>
            <w:shd w:val="clear" w:color="auto" w:fill="auto"/>
          </w:tcPr>
          <w:p w:rsidR="0025251F" w:rsidRPr="00A62F69" w:rsidRDefault="0025251F" w:rsidP="00B013D5">
            <w:pPr>
              <w:spacing w:after="0" w:line="240" w:lineRule="auto"/>
              <w:jc w:val="both"/>
              <w:rPr>
                <w:rFonts w:ascii="Arial" w:hAnsi="Arial" w:cs="Arial"/>
                <w:sz w:val="20"/>
              </w:rPr>
            </w:pPr>
            <w:r w:rsidRPr="00A62F69">
              <w:rPr>
                <w:rFonts w:ascii="Arial" w:hAnsi="Arial" w:cs="Arial"/>
                <w:sz w:val="20"/>
                <w:szCs w:val="24"/>
              </w:rPr>
              <w:t>α-N-acetilgl</w:t>
            </w:r>
            <w:r w:rsidR="00B013D5">
              <w:rPr>
                <w:rFonts w:ascii="Arial" w:hAnsi="Arial" w:cs="Arial"/>
                <w:sz w:val="20"/>
                <w:szCs w:val="24"/>
              </w:rPr>
              <w:t>u</w:t>
            </w:r>
            <w:r w:rsidRPr="00A62F69">
              <w:rPr>
                <w:rFonts w:ascii="Arial" w:hAnsi="Arial" w:cs="Arial"/>
                <w:sz w:val="20"/>
                <w:szCs w:val="24"/>
              </w:rPr>
              <w:t>cosaminidase</w:t>
            </w:r>
          </w:p>
        </w:tc>
        <w:tc>
          <w:tcPr>
            <w:tcW w:w="1322" w:type="dxa"/>
            <w:tcBorders>
              <w:left w:val="single" w:sz="4" w:space="0" w:color="00000A"/>
              <w:right w:val="single" w:sz="4" w:space="0" w:color="00000A"/>
            </w:tcBorders>
          </w:tcPr>
          <w:p w:rsidR="0025251F" w:rsidRPr="00A62F69" w:rsidRDefault="005230DF" w:rsidP="005230DF">
            <w:pPr>
              <w:spacing w:after="0" w:line="240" w:lineRule="auto"/>
              <w:jc w:val="center"/>
              <w:rPr>
                <w:rFonts w:ascii="Arial" w:hAnsi="Arial" w:cs="Arial"/>
                <w:sz w:val="20"/>
                <w:szCs w:val="24"/>
              </w:rPr>
            </w:pPr>
            <w:r>
              <w:rPr>
                <w:rFonts w:ascii="Arial" w:hAnsi="Arial" w:cs="Arial"/>
                <w:sz w:val="20"/>
                <w:szCs w:val="24"/>
              </w:rPr>
              <w:t>HS</w:t>
            </w:r>
          </w:p>
        </w:tc>
      </w:tr>
      <w:tr w:rsidR="0025251F" w:rsidRPr="00D736A4" w:rsidTr="00417B96">
        <w:trPr>
          <w:trHeight w:val="393"/>
        </w:trPr>
        <w:tc>
          <w:tcPr>
            <w:tcW w:w="1560" w:type="dxa"/>
            <w:tcBorders>
              <w:left w:val="single" w:sz="4" w:space="0" w:color="00000A"/>
              <w:right w:val="single" w:sz="4" w:space="0" w:color="00000A"/>
            </w:tcBorders>
            <w:shd w:val="clear" w:color="auto" w:fill="auto"/>
          </w:tcPr>
          <w:p w:rsidR="0025251F" w:rsidRPr="00A62F69" w:rsidRDefault="0025251F" w:rsidP="00417B96">
            <w:pPr>
              <w:spacing w:after="0" w:line="240" w:lineRule="auto"/>
              <w:jc w:val="both"/>
              <w:rPr>
                <w:rFonts w:ascii="Arial" w:hAnsi="Arial" w:cs="Arial"/>
                <w:sz w:val="20"/>
                <w:szCs w:val="24"/>
              </w:rPr>
            </w:pPr>
            <w:r w:rsidRPr="00A62F69">
              <w:rPr>
                <w:rFonts w:ascii="Arial" w:hAnsi="Arial" w:cs="Arial"/>
                <w:sz w:val="20"/>
                <w:szCs w:val="24"/>
              </w:rPr>
              <w:t>MPS III-C</w:t>
            </w:r>
          </w:p>
        </w:tc>
        <w:tc>
          <w:tcPr>
            <w:tcW w:w="2976" w:type="dxa"/>
            <w:tcBorders>
              <w:left w:val="single" w:sz="4" w:space="0" w:color="00000A"/>
              <w:right w:val="single" w:sz="4" w:space="0" w:color="00000A"/>
            </w:tcBorders>
            <w:shd w:val="clear" w:color="auto" w:fill="auto"/>
          </w:tcPr>
          <w:p w:rsidR="0025251F" w:rsidRPr="00A62F69" w:rsidRDefault="0025251F" w:rsidP="0025251F">
            <w:pPr>
              <w:spacing w:after="0" w:line="240" w:lineRule="auto"/>
              <w:jc w:val="both"/>
              <w:rPr>
                <w:rFonts w:ascii="Arial" w:hAnsi="Arial" w:cs="Arial"/>
                <w:sz w:val="20"/>
                <w:szCs w:val="24"/>
              </w:rPr>
            </w:pPr>
            <w:r w:rsidRPr="00A62F69">
              <w:rPr>
                <w:rFonts w:ascii="Arial" w:hAnsi="Arial" w:cs="Arial"/>
                <w:sz w:val="20"/>
                <w:szCs w:val="24"/>
              </w:rPr>
              <w:t>Síndrome de Sanfilippo C</w:t>
            </w:r>
          </w:p>
        </w:tc>
        <w:tc>
          <w:tcPr>
            <w:tcW w:w="3402" w:type="dxa"/>
            <w:tcBorders>
              <w:left w:val="single" w:sz="4" w:space="0" w:color="00000A"/>
              <w:right w:val="single" w:sz="4" w:space="0" w:color="00000A"/>
            </w:tcBorders>
            <w:shd w:val="clear" w:color="auto" w:fill="auto"/>
          </w:tcPr>
          <w:p w:rsidR="0025251F" w:rsidRPr="00A62F69" w:rsidRDefault="00EC6EA9" w:rsidP="00F8003D">
            <w:pPr>
              <w:spacing w:after="0" w:line="240" w:lineRule="auto"/>
              <w:jc w:val="both"/>
              <w:rPr>
                <w:rFonts w:ascii="Arial" w:hAnsi="Arial" w:cs="Arial"/>
                <w:sz w:val="20"/>
              </w:rPr>
            </w:pPr>
            <w:r>
              <w:rPr>
                <w:rFonts w:ascii="Arial" w:hAnsi="Arial" w:cs="Arial"/>
                <w:sz w:val="20"/>
                <w:szCs w:val="24"/>
              </w:rPr>
              <w:t>A</w:t>
            </w:r>
            <w:r w:rsidR="0025251F" w:rsidRPr="00A62F69">
              <w:rPr>
                <w:rFonts w:ascii="Arial" w:hAnsi="Arial" w:cs="Arial"/>
                <w:sz w:val="20"/>
                <w:szCs w:val="24"/>
              </w:rPr>
              <w:t>cetil-coA-α-gl</w:t>
            </w:r>
            <w:r w:rsidR="00B013D5">
              <w:rPr>
                <w:rFonts w:ascii="Arial" w:hAnsi="Arial" w:cs="Arial"/>
                <w:sz w:val="20"/>
                <w:szCs w:val="24"/>
              </w:rPr>
              <w:t>u</w:t>
            </w:r>
            <w:r w:rsidR="0025251F" w:rsidRPr="00A62F69">
              <w:rPr>
                <w:rFonts w:ascii="Arial" w:hAnsi="Arial" w:cs="Arial"/>
                <w:sz w:val="20"/>
                <w:szCs w:val="24"/>
              </w:rPr>
              <w:t>cosamina</w:t>
            </w:r>
            <w:r w:rsidR="00F8003D">
              <w:rPr>
                <w:rFonts w:ascii="Arial" w:hAnsi="Arial" w:cs="Arial"/>
                <w:sz w:val="20"/>
                <w:szCs w:val="24"/>
              </w:rPr>
              <w:t xml:space="preserve"> </w:t>
            </w:r>
            <w:r w:rsidR="0025251F" w:rsidRPr="00A62F69">
              <w:rPr>
                <w:rFonts w:ascii="Arial" w:hAnsi="Arial" w:cs="Arial"/>
                <w:sz w:val="20"/>
                <w:szCs w:val="24"/>
              </w:rPr>
              <w:t>acetiltransferase</w:t>
            </w:r>
          </w:p>
        </w:tc>
        <w:tc>
          <w:tcPr>
            <w:tcW w:w="1322" w:type="dxa"/>
            <w:tcBorders>
              <w:left w:val="single" w:sz="4" w:space="0" w:color="00000A"/>
              <w:right w:val="single" w:sz="4" w:space="0" w:color="00000A"/>
            </w:tcBorders>
          </w:tcPr>
          <w:p w:rsidR="0025251F" w:rsidRPr="00A62F69" w:rsidRDefault="005230DF" w:rsidP="005230DF">
            <w:pPr>
              <w:spacing w:after="0" w:line="240" w:lineRule="auto"/>
              <w:jc w:val="center"/>
              <w:rPr>
                <w:rFonts w:ascii="Arial" w:hAnsi="Arial" w:cs="Arial"/>
                <w:sz w:val="20"/>
                <w:szCs w:val="24"/>
              </w:rPr>
            </w:pPr>
            <w:r>
              <w:rPr>
                <w:rFonts w:ascii="Arial" w:hAnsi="Arial" w:cs="Arial"/>
                <w:sz w:val="20"/>
                <w:szCs w:val="24"/>
              </w:rPr>
              <w:t>HS</w:t>
            </w:r>
          </w:p>
        </w:tc>
      </w:tr>
      <w:tr w:rsidR="0025251F" w:rsidRPr="00D736A4" w:rsidTr="00417B96">
        <w:trPr>
          <w:trHeight w:val="393"/>
        </w:trPr>
        <w:tc>
          <w:tcPr>
            <w:tcW w:w="1560" w:type="dxa"/>
            <w:tcBorders>
              <w:left w:val="single" w:sz="4" w:space="0" w:color="00000A"/>
              <w:right w:val="single" w:sz="4" w:space="0" w:color="00000A"/>
            </w:tcBorders>
            <w:shd w:val="clear" w:color="auto" w:fill="auto"/>
          </w:tcPr>
          <w:p w:rsidR="0025251F" w:rsidRPr="00A62F69" w:rsidRDefault="0025251F" w:rsidP="00417B96">
            <w:pPr>
              <w:spacing w:after="0" w:line="240" w:lineRule="auto"/>
              <w:jc w:val="both"/>
              <w:rPr>
                <w:rFonts w:ascii="Arial" w:hAnsi="Arial" w:cs="Arial"/>
                <w:sz w:val="20"/>
                <w:szCs w:val="24"/>
              </w:rPr>
            </w:pPr>
            <w:r w:rsidRPr="00A62F69">
              <w:rPr>
                <w:rFonts w:ascii="Arial" w:hAnsi="Arial" w:cs="Arial"/>
                <w:sz w:val="20"/>
                <w:szCs w:val="24"/>
              </w:rPr>
              <w:t>MPS III-D</w:t>
            </w:r>
          </w:p>
        </w:tc>
        <w:tc>
          <w:tcPr>
            <w:tcW w:w="2976" w:type="dxa"/>
            <w:tcBorders>
              <w:left w:val="single" w:sz="4" w:space="0" w:color="00000A"/>
              <w:right w:val="single" w:sz="4" w:space="0" w:color="00000A"/>
            </w:tcBorders>
            <w:shd w:val="clear" w:color="auto" w:fill="auto"/>
          </w:tcPr>
          <w:p w:rsidR="0025251F" w:rsidRPr="00A62F69" w:rsidRDefault="0025251F" w:rsidP="0025251F">
            <w:pPr>
              <w:spacing w:after="0" w:line="240" w:lineRule="auto"/>
              <w:jc w:val="both"/>
              <w:rPr>
                <w:rFonts w:ascii="Arial" w:hAnsi="Arial" w:cs="Arial"/>
                <w:sz w:val="20"/>
                <w:szCs w:val="24"/>
              </w:rPr>
            </w:pPr>
            <w:r w:rsidRPr="00A62F69">
              <w:rPr>
                <w:rFonts w:ascii="Arial" w:hAnsi="Arial" w:cs="Arial"/>
                <w:sz w:val="20"/>
                <w:szCs w:val="24"/>
              </w:rPr>
              <w:t>Síndrome de Sanfilippo D</w:t>
            </w:r>
          </w:p>
        </w:tc>
        <w:tc>
          <w:tcPr>
            <w:tcW w:w="3402" w:type="dxa"/>
            <w:tcBorders>
              <w:left w:val="single" w:sz="4" w:space="0" w:color="00000A"/>
              <w:right w:val="single" w:sz="4" w:space="0" w:color="00000A"/>
            </w:tcBorders>
            <w:shd w:val="clear" w:color="auto" w:fill="auto"/>
          </w:tcPr>
          <w:p w:rsidR="0025251F" w:rsidRPr="00A62F69" w:rsidRDefault="00B013D5" w:rsidP="00B013D5">
            <w:pPr>
              <w:spacing w:after="0" w:line="240" w:lineRule="auto"/>
              <w:jc w:val="both"/>
              <w:rPr>
                <w:rFonts w:ascii="Arial" w:hAnsi="Arial" w:cs="Arial"/>
                <w:sz w:val="20"/>
              </w:rPr>
            </w:pPr>
            <w:r>
              <w:rPr>
                <w:rFonts w:ascii="Arial" w:hAnsi="Arial" w:cs="Arial"/>
                <w:sz w:val="20"/>
                <w:szCs w:val="24"/>
              </w:rPr>
              <w:t>N-acetil</w:t>
            </w:r>
            <w:r w:rsidR="00EC6EA9">
              <w:rPr>
                <w:rFonts w:ascii="Arial" w:hAnsi="Arial" w:cs="Arial"/>
                <w:sz w:val="20"/>
                <w:szCs w:val="24"/>
              </w:rPr>
              <w:t>glu</w:t>
            </w:r>
            <w:r w:rsidR="0025251F" w:rsidRPr="00A62F69">
              <w:rPr>
                <w:rFonts w:ascii="Arial" w:hAnsi="Arial" w:cs="Arial"/>
                <w:sz w:val="20"/>
                <w:szCs w:val="24"/>
              </w:rPr>
              <w:t>cosamina</w:t>
            </w:r>
            <w:r>
              <w:rPr>
                <w:rFonts w:ascii="Arial" w:hAnsi="Arial" w:cs="Arial"/>
                <w:sz w:val="20"/>
                <w:szCs w:val="24"/>
              </w:rPr>
              <w:t xml:space="preserve"> </w:t>
            </w:r>
            <w:r w:rsidR="0025251F" w:rsidRPr="00A62F69">
              <w:rPr>
                <w:rFonts w:ascii="Arial" w:hAnsi="Arial" w:cs="Arial"/>
                <w:sz w:val="20"/>
                <w:szCs w:val="24"/>
              </w:rPr>
              <w:t>6-sulfatase</w:t>
            </w:r>
          </w:p>
        </w:tc>
        <w:tc>
          <w:tcPr>
            <w:tcW w:w="1322" w:type="dxa"/>
            <w:tcBorders>
              <w:left w:val="single" w:sz="4" w:space="0" w:color="00000A"/>
              <w:right w:val="single" w:sz="4" w:space="0" w:color="00000A"/>
            </w:tcBorders>
          </w:tcPr>
          <w:p w:rsidR="0025251F" w:rsidRPr="00A62F69" w:rsidRDefault="005230DF" w:rsidP="005230DF">
            <w:pPr>
              <w:spacing w:after="0" w:line="240" w:lineRule="auto"/>
              <w:jc w:val="center"/>
              <w:rPr>
                <w:rFonts w:ascii="Arial" w:hAnsi="Arial" w:cs="Arial"/>
                <w:sz w:val="20"/>
                <w:szCs w:val="24"/>
              </w:rPr>
            </w:pPr>
            <w:r>
              <w:rPr>
                <w:rFonts w:ascii="Arial" w:hAnsi="Arial" w:cs="Arial"/>
                <w:sz w:val="20"/>
                <w:szCs w:val="24"/>
              </w:rPr>
              <w:t>HS</w:t>
            </w:r>
          </w:p>
        </w:tc>
      </w:tr>
      <w:tr w:rsidR="0025251F" w:rsidRPr="00D736A4" w:rsidTr="00417B96">
        <w:trPr>
          <w:trHeight w:val="393"/>
        </w:trPr>
        <w:tc>
          <w:tcPr>
            <w:tcW w:w="1560" w:type="dxa"/>
            <w:tcBorders>
              <w:left w:val="single" w:sz="4" w:space="0" w:color="00000A"/>
              <w:right w:val="single" w:sz="4" w:space="0" w:color="00000A"/>
            </w:tcBorders>
            <w:shd w:val="clear" w:color="auto" w:fill="auto"/>
          </w:tcPr>
          <w:p w:rsidR="0025251F" w:rsidRPr="00A62F69" w:rsidRDefault="0025251F" w:rsidP="00417B96">
            <w:pPr>
              <w:spacing w:after="0" w:line="240" w:lineRule="auto"/>
              <w:jc w:val="both"/>
              <w:rPr>
                <w:rFonts w:ascii="Arial" w:hAnsi="Arial" w:cs="Arial"/>
                <w:sz w:val="20"/>
                <w:szCs w:val="24"/>
              </w:rPr>
            </w:pPr>
            <w:r w:rsidRPr="00A62F69">
              <w:rPr>
                <w:rFonts w:ascii="Arial" w:hAnsi="Arial" w:cs="Arial"/>
                <w:sz w:val="20"/>
                <w:szCs w:val="24"/>
              </w:rPr>
              <w:t>MPS IV-A</w:t>
            </w:r>
          </w:p>
        </w:tc>
        <w:tc>
          <w:tcPr>
            <w:tcW w:w="2976" w:type="dxa"/>
            <w:tcBorders>
              <w:left w:val="single" w:sz="4" w:space="0" w:color="00000A"/>
              <w:right w:val="single" w:sz="4" w:space="0" w:color="00000A"/>
            </w:tcBorders>
            <w:shd w:val="clear" w:color="auto" w:fill="auto"/>
          </w:tcPr>
          <w:p w:rsidR="0025251F" w:rsidRPr="00A62F69" w:rsidRDefault="0025251F" w:rsidP="0025251F">
            <w:pPr>
              <w:spacing w:after="0" w:line="240" w:lineRule="auto"/>
              <w:jc w:val="both"/>
              <w:rPr>
                <w:rFonts w:ascii="Arial" w:hAnsi="Arial" w:cs="Arial"/>
                <w:sz w:val="20"/>
                <w:szCs w:val="24"/>
              </w:rPr>
            </w:pPr>
            <w:r w:rsidRPr="00A62F69">
              <w:rPr>
                <w:rFonts w:ascii="Arial" w:hAnsi="Arial" w:cs="Arial"/>
                <w:sz w:val="20"/>
                <w:szCs w:val="24"/>
              </w:rPr>
              <w:t>Síndrome de Mórquio A</w:t>
            </w:r>
          </w:p>
        </w:tc>
        <w:tc>
          <w:tcPr>
            <w:tcW w:w="3402" w:type="dxa"/>
            <w:tcBorders>
              <w:left w:val="single" w:sz="4" w:space="0" w:color="00000A"/>
              <w:right w:val="single" w:sz="4" w:space="0" w:color="00000A"/>
            </w:tcBorders>
            <w:shd w:val="clear" w:color="auto" w:fill="auto"/>
          </w:tcPr>
          <w:p w:rsidR="0025251F" w:rsidRPr="00A62F69" w:rsidRDefault="0025251F" w:rsidP="0025251F">
            <w:pPr>
              <w:spacing w:after="0" w:line="240" w:lineRule="auto"/>
              <w:jc w:val="both"/>
              <w:rPr>
                <w:rFonts w:ascii="Arial" w:hAnsi="Arial" w:cs="Arial"/>
                <w:sz w:val="20"/>
              </w:rPr>
            </w:pPr>
            <w:r w:rsidRPr="00A62F69">
              <w:rPr>
                <w:rFonts w:ascii="Arial" w:hAnsi="Arial" w:cs="Arial"/>
                <w:sz w:val="20"/>
                <w:szCs w:val="24"/>
              </w:rPr>
              <w:t>Galactose-6-sulfatase</w:t>
            </w:r>
          </w:p>
        </w:tc>
        <w:tc>
          <w:tcPr>
            <w:tcW w:w="1322" w:type="dxa"/>
            <w:tcBorders>
              <w:left w:val="single" w:sz="4" w:space="0" w:color="00000A"/>
              <w:right w:val="single" w:sz="4" w:space="0" w:color="00000A"/>
            </w:tcBorders>
          </w:tcPr>
          <w:p w:rsidR="0025251F" w:rsidRPr="00A62F69" w:rsidRDefault="005230DF" w:rsidP="005230DF">
            <w:pPr>
              <w:spacing w:after="0" w:line="240" w:lineRule="auto"/>
              <w:jc w:val="center"/>
              <w:rPr>
                <w:rFonts w:ascii="Arial" w:hAnsi="Arial" w:cs="Arial"/>
                <w:sz w:val="20"/>
                <w:szCs w:val="24"/>
              </w:rPr>
            </w:pPr>
            <w:r>
              <w:rPr>
                <w:rFonts w:ascii="Arial" w:hAnsi="Arial" w:cs="Arial"/>
                <w:sz w:val="20"/>
                <w:szCs w:val="24"/>
              </w:rPr>
              <w:t>QS</w:t>
            </w:r>
          </w:p>
        </w:tc>
      </w:tr>
      <w:tr w:rsidR="0025251F" w:rsidRPr="00D736A4" w:rsidTr="00417B96">
        <w:trPr>
          <w:trHeight w:val="393"/>
        </w:trPr>
        <w:tc>
          <w:tcPr>
            <w:tcW w:w="1560" w:type="dxa"/>
            <w:tcBorders>
              <w:left w:val="single" w:sz="4" w:space="0" w:color="00000A"/>
              <w:right w:val="single" w:sz="4" w:space="0" w:color="00000A"/>
            </w:tcBorders>
            <w:shd w:val="clear" w:color="auto" w:fill="auto"/>
          </w:tcPr>
          <w:p w:rsidR="0025251F" w:rsidRPr="00A62F69" w:rsidRDefault="0025251F" w:rsidP="00417B96">
            <w:pPr>
              <w:spacing w:after="0" w:line="240" w:lineRule="auto"/>
              <w:jc w:val="both"/>
              <w:rPr>
                <w:rFonts w:ascii="Arial" w:hAnsi="Arial" w:cs="Arial"/>
                <w:sz w:val="20"/>
                <w:szCs w:val="24"/>
              </w:rPr>
            </w:pPr>
            <w:r w:rsidRPr="00A62F69">
              <w:rPr>
                <w:rFonts w:ascii="Arial" w:hAnsi="Arial" w:cs="Arial"/>
                <w:sz w:val="20"/>
                <w:szCs w:val="24"/>
              </w:rPr>
              <w:t>MPS IV-B</w:t>
            </w:r>
          </w:p>
        </w:tc>
        <w:tc>
          <w:tcPr>
            <w:tcW w:w="2976" w:type="dxa"/>
            <w:tcBorders>
              <w:left w:val="single" w:sz="4" w:space="0" w:color="00000A"/>
              <w:right w:val="single" w:sz="4" w:space="0" w:color="00000A"/>
            </w:tcBorders>
            <w:shd w:val="clear" w:color="auto" w:fill="auto"/>
          </w:tcPr>
          <w:p w:rsidR="0025251F" w:rsidRPr="00A62F69" w:rsidRDefault="0025251F" w:rsidP="0025251F">
            <w:pPr>
              <w:spacing w:after="0" w:line="240" w:lineRule="auto"/>
              <w:jc w:val="both"/>
              <w:rPr>
                <w:rFonts w:ascii="Arial" w:hAnsi="Arial" w:cs="Arial"/>
                <w:sz w:val="20"/>
                <w:szCs w:val="24"/>
              </w:rPr>
            </w:pPr>
            <w:r w:rsidRPr="00A62F69">
              <w:rPr>
                <w:rFonts w:ascii="Arial" w:hAnsi="Arial" w:cs="Arial"/>
                <w:sz w:val="20"/>
                <w:szCs w:val="24"/>
              </w:rPr>
              <w:t>Síndrome de Mórquio B</w:t>
            </w:r>
          </w:p>
        </w:tc>
        <w:tc>
          <w:tcPr>
            <w:tcW w:w="3402" w:type="dxa"/>
            <w:tcBorders>
              <w:left w:val="single" w:sz="4" w:space="0" w:color="00000A"/>
              <w:right w:val="single" w:sz="4" w:space="0" w:color="00000A"/>
            </w:tcBorders>
            <w:shd w:val="clear" w:color="auto" w:fill="auto"/>
          </w:tcPr>
          <w:p w:rsidR="0025251F" w:rsidRPr="00A62F69" w:rsidRDefault="0025251F" w:rsidP="0025251F">
            <w:pPr>
              <w:spacing w:after="0" w:line="240" w:lineRule="auto"/>
              <w:jc w:val="both"/>
              <w:rPr>
                <w:rFonts w:ascii="Arial" w:hAnsi="Arial" w:cs="Arial"/>
                <w:sz w:val="20"/>
              </w:rPr>
            </w:pPr>
            <w:r w:rsidRPr="00A62F69">
              <w:rPr>
                <w:rFonts w:ascii="Arial" w:hAnsi="Arial" w:cs="Arial"/>
                <w:sz w:val="20"/>
                <w:szCs w:val="24"/>
              </w:rPr>
              <w:t>β-galactosidase</w:t>
            </w:r>
          </w:p>
        </w:tc>
        <w:tc>
          <w:tcPr>
            <w:tcW w:w="1322" w:type="dxa"/>
            <w:tcBorders>
              <w:left w:val="single" w:sz="4" w:space="0" w:color="00000A"/>
              <w:right w:val="single" w:sz="4" w:space="0" w:color="00000A"/>
            </w:tcBorders>
          </w:tcPr>
          <w:p w:rsidR="0025251F" w:rsidRPr="00A62F69" w:rsidRDefault="005230DF" w:rsidP="005230DF">
            <w:pPr>
              <w:spacing w:after="0" w:line="240" w:lineRule="auto"/>
              <w:jc w:val="center"/>
              <w:rPr>
                <w:rFonts w:ascii="Arial" w:hAnsi="Arial" w:cs="Arial"/>
                <w:sz w:val="20"/>
                <w:szCs w:val="24"/>
              </w:rPr>
            </w:pPr>
            <w:r>
              <w:rPr>
                <w:rFonts w:ascii="Arial" w:hAnsi="Arial" w:cs="Arial"/>
                <w:sz w:val="20"/>
                <w:szCs w:val="24"/>
              </w:rPr>
              <w:t>QS</w:t>
            </w:r>
          </w:p>
        </w:tc>
      </w:tr>
      <w:tr w:rsidR="0025251F" w:rsidRPr="00D736A4" w:rsidTr="00417B96">
        <w:trPr>
          <w:trHeight w:val="393"/>
        </w:trPr>
        <w:tc>
          <w:tcPr>
            <w:tcW w:w="1560" w:type="dxa"/>
            <w:tcBorders>
              <w:left w:val="single" w:sz="4" w:space="0" w:color="00000A"/>
              <w:right w:val="single" w:sz="4" w:space="0" w:color="00000A"/>
            </w:tcBorders>
            <w:shd w:val="clear" w:color="auto" w:fill="auto"/>
          </w:tcPr>
          <w:p w:rsidR="0025251F" w:rsidRPr="00A62F69" w:rsidRDefault="0025251F" w:rsidP="00417B96">
            <w:pPr>
              <w:spacing w:after="0" w:line="240" w:lineRule="auto"/>
              <w:jc w:val="both"/>
              <w:rPr>
                <w:rFonts w:ascii="Arial" w:hAnsi="Arial" w:cs="Arial"/>
                <w:sz w:val="20"/>
                <w:szCs w:val="24"/>
              </w:rPr>
            </w:pPr>
            <w:r w:rsidRPr="00A62F69">
              <w:rPr>
                <w:rFonts w:ascii="Arial" w:hAnsi="Arial" w:cs="Arial"/>
                <w:sz w:val="20"/>
                <w:szCs w:val="24"/>
              </w:rPr>
              <w:t>MPS VI</w:t>
            </w:r>
          </w:p>
        </w:tc>
        <w:tc>
          <w:tcPr>
            <w:tcW w:w="2976" w:type="dxa"/>
            <w:tcBorders>
              <w:left w:val="single" w:sz="4" w:space="0" w:color="00000A"/>
              <w:right w:val="single" w:sz="4" w:space="0" w:color="00000A"/>
            </w:tcBorders>
            <w:shd w:val="clear" w:color="auto" w:fill="auto"/>
          </w:tcPr>
          <w:p w:rsidR="0025251F" w:rsidRPr="00A62F69" w:rsidRDefault="0025251F" w:rsidP="0025251F">
            <w:pPr>
              <w:spacing w:after="0" w:line="240" w:lineRule="auto"/>
              <w:jc w:val="both"/>
              <w:rPr>
                <w:rFonts w:ascii="Arial" w:hAnsi="Arial" w:cs="Arial"/>
                <w:sz w:val="20"/>
                <w:szCs w:val="24"/>
              </w:rPr>
            </w:pPr>
            <w:r w:rsidRPr="00A62F69">
              <w:rPr>
                <w:rFonts w:ascii="Arial" w:hAnsi="Arial" w:cs="Arial"/>
                <w:sz w:val="20"/>
                <w:szCs w:val="24"/>
              </w:rPr>
              <w:t>Síndrome de Maroteaux-Lamy</w:t>
            </w:r>
          </w:p>
        </w:tc>
        <w:tc>
          <w:tcPr>
            <w:tcW w:w="3402" w:type="dxa"/>
            <w:tcBorders>
              <w:left w:val="single" w:sz="4" w:space="0" w:color="00000A"/>
              <w:right w:val="single" w:sz="4" w:space="0" w:color="00000A"/>
            </w:tcBorders>
            <w:shd w:val="clear" w:color="auto" w:fill="auto"/>
          </w:tcPr>
          <w:p w:rsidR="0025251F" w:rsidRPr="00A62F69" w:rsidRDefault="00B045F3" w:rsidP="00B013D5">
            <w:pPr>
              <w:spacing w:after="0" w:line="240" w:lineRule="auto"/>
              <w:jc w:val="both"/>
              <w:rPr>
                <w:rFonts w:ascii="Arial" w:hAnsi="Arial" w:cs="Arial"/>
                <w:sz w:val="20"/>
              </w:rPr>
            </w:pPr>
            <w:r>
              <w:rPr>
                <w:rFonts w:ascii="Arial" w:hAnsi="Arial" w:cs="Arial"/>
                <w:sz w:val="20"/>
                <w:szCs w:val="24"/>
              </w:rPr>
              <w:t>N-acetil</w:t>
            </w:r>
            <w:r w:rsidR="0025251F" w:rsidRPr="00A62F69">
              <w:rPr>
                <w:rFonts w:ascii="Arial" w:hAnsi="Arial" w:cs="Arial"/>
                <w:sz w:val="20"/>
                <w:szCs w:val="24"/>
              </w:rPr>
              <w:t>galactosamina</w:t>
            </w:r>
            <w:r w:rsidR="00B013D5">
              <w:rPr>
                <w:rFonts w:ascii="Arial" w:hAnsi="Arial" w:cs="Arial"/>
                <w:sz w:val="20"/>
                <w:szCs w:val="24"/>
              </w:rPr>
              <w:t xml:space="preserve"> </w:t>
            </w:r>
            <w:r w:rsidR="0025251F" w:rsidRPr="00A62F69">
              <w:rPr>
                <w:rFonts w:ascii="Arial" w:hAnsi="Arial" w:cs="Arial"/>
                <w:sz w:val="20"/>
                <w:szCs w:val="24"/>
              </w:rPr>
              <w:t>4-sulfatase</w:t>
            </w:r>
          </w:p>
        </w:tc>
        <w:tc>
          <w:tcPr>
            <w:tcW w:w="1322" w:type="dxa"/>
            <w:tcBorders>
              <w:left w:val="single" w:sz="4" w:space="0" w:color="00000A"/>
              <w:right w:val="single" w:sz="4" w:space="0" w:color="00000A"/>
            </w:tcBorders>
          </w:tcPr>
          <w:p w:rsidR="0025251F" w:rsidRPr="00A62F69" w:rsidRDefault="005230DF" w:rsidP="00F01334">
            <w:pPr>
              <w:spacing w:after="0" w:line="240" w:lineRule="auto"/>
              <w:jc w:val="center"/>
              <w:rPr>
                <w:rFonts w:ascii="Arial" w:hAnsi="Arial" w:cs="Arial"/>
                <w:sz w:val="20"/>
                <w:szCs w:val="24"/>
              </w:rPr>
            </w:pPr>
            <w:r>
              <w:rPr>
                <w:rFonts w:ascii="Arial" w:hAnsi="Arial" w:cs="Arial"/>
                <w:sz w:val="20"/>
                <w:szCs w:val="24"/>
              </w:rPr>
              <w:t>DS</w:t>
            </w:r>
          </w:p>
        </w:tc>
      </w:tr>
      <w:tr w:rsidR="0025251F" w:rsidRPr="00D736A4" w:rsidTr="00417B96">
        <w:trPr>
          <w:trHeight w:val="393"/>
        </w:trPr>
        <w:tc>
          <w:tcPr>
            <w:tcW w:w="1560" w:type="dxa"/>
            <w:tcBorders>
              <w:left w:val="single" w:sz="4" w:space="0" w:color="00000A"/>
              <w:right w:val="single" w:sz="4" w:space="0" w:color="00000A"/>
            </w:tcBorders>
            <w:shd w:val="clear" w:color="auto" w:fill="auto"/>
          </w:tcPr>
          <w:p w:rsidR="0025251F" w:rsidRPr="00A62F69" w:rsidRDefault="0025251F" w:rsidP="00417B96">
            <w:pPr>
              <w:spacing w:after="0" w:line="240" w:lineRule="auto"/>
              <w:jc w:val="both"/>
              <w:rPr>
                <w:rFonts w:ascii="Arial" w:hAnsi="Arial" w:cs="Arial"/>
                <w:sz w:val="20"/>
                <w:szCs w:val="24"/>
              </w:rPr>
            </w:pPr>
            <w:r w:rsidRPr="00A62F69">
              <w:rPr>
                <w:rFonts w:ascii="Arial" w:hAnsi="Arial" w:cs="Arial"/>
                <w:sz w:val="20"/>
                <w:szCs w:val="24"/>
              </w:rPr>
              <w:t>MPS VII</w:t>
            </w:r>
          </w:p>
        </w:tc>
        <w:tc>
          <w:tcPr>
            <w:tcW w:w="2976" w:type="dxa"/>
            <w:tcBorders>
              <w:left w:val="single" w:sz="4" w:space="0" w:color="00000A"/>
              <w:right w:val="single" w:sz="4" w:space="0" w:color="00000A"/>
            </w:tcBorders>
            <w:shd w:val="clear" w:color="auto" w:fill="auto"/>
          </w:tcPr>
          <w:p w:rsidR="0025251F" w:rsidRPr="00A62F69" w:rsidRDefault="0025251F" w:rsidP="0025251F">
            <w:pPr>
              <w:spacing w:after="0" w:line="240" w:lineRule="auto"/>
              <w:jc w:val="both"/>
              <w:rPr>
                <w:rFonts w:ascii="Arial" w:hAnsi="Arial" w:cs="Arial"/>
                <w:sz w:val="20"/>
                <w:szCs w:val="24"/>
              </w:rPr>
            </w:pPr>
            <w:r w:rsidRPr="00A62F69">
              <w:rPr>
                <w:rFonts w:ascii="Arial" w:hAnsi="Arial" w:cs="Arial"/>
                <w:sz w:val="20"/>
                <w:szCs w:val="24"/>
              </w:rPr>
              <w:t>Doença Sly</w:t>
            </w:r>
          </w:p>
        </w:tc>
        <w:tc>
          <w:tcPr>
            <w:tcW w:w="3402" w:type="dxa"/>
            <w:tcBorders>
              <w:left w:val="single" w:sz="4" w:space="0" w:color="00000A"/>
              <w:right w:val="single" w:sz="4" w:space="0" w:color="00000A"/>
            </w:tcBorders>
            <w:shd w:val="clear" w:color="auto" w:fill="auto"/>
          </w:tcPr>
          <w:p w:rsidR="0025251F" w:rsidRPr="00A62F69" w:rsidRDefault="00B045F3" w:rsidP="007708B6">
            <w:pPr>
              <w:spacing w:after="0" w:line="240" w:lineRule="auto"/>
              <w:jc w:val="both"/>
              <w:rPr>
                <w:rFonts w:ascii="Arial" w:hAnsi="Arial" w:cs="Arial"/>
                <w:sz w:val="20"/>
              </w:rPr>
            </w:pPr>
            <w:r>
              <w:rPr>
                <w:rFonts w:ascii="Arial" w:hAnsi="Arial" w:cs="Arial"/>
                <w:sz w:val="20"/>
                <w:szCs w:val="24"/>
              </w:rPr>
              <w:t>β-gl</w:t>
            </w:r>
            <w:r w:rsidR="007708B6">
              <w:rPr>
                <w:rFonts w:ascii="Arial" w:hAnsi="Arial" w:cs="Arial"/>
                <w:sz w:val="20"/>
                <w:szCs w:val="24"/>
              </w:rPr>
              <w:t>u</w:t>
            </w:r>
            <w:r w:rsidR="0025251F" w:rsidRPr="00A62F69">
              <w:rPr>
                <w:rFonts w:ascii="Arial" w:hAnsi="Arial" w:cs="Arial"/>
                <w:sz w:val="20"/>
                <w:szCs w:val="24"/>
              </w:rPr>
              <w:t>curonidase</w:t>
            </w:r>
          </w:p>
        </w:tc>
        <w:tc>
          <w:tcPr>
            <w:tcW w:w="1322" w:type="dxa"/>
            <w:tcBorders>
              <w:left w:val="single" w:sz="4" w:space="0" w:color="00000A"/>
              <w:right w:val="single" w:sz="4" w:space="0" w:color="00000A"/>
            </w:tcBorders>
          </w:tcPr>
          <w:p w:rsidR="0025251F" w:rsidRPr="00A62F69" w:rsidRDefault="005230DF" w:rsidP="005230DF">
            <w:pPr>
              <w:spacing w:after="0" w:line="240" w:lineRule="auto"/>
              <w:jc w:val="center"/>
              <w:rPr>
                <w:rFonts w:ascii="Arial" w:hAnsi="Arial" w:cs="Arial"/>
                <w:sz w:val="20"/>
                <w:szCs w:val="24"/>
              </w:rPr>
            </w:pPr>
            <w:r>
              <w:rPr>
                <w:rFonts w:ascii="Arial" w:hAnsi="Arial" w:cs="Arial"/>
                <w:sz w:val="20"/>
                <w:szCs w:val="24"/>
              </w:rPr>
              <w:t>DS/HS</w:t>
            </w:r>
          </w:p>
        </w:tc>
      </w:tr>
      <w:tr w:rsidR="0025251F" w:rsidRPr="00D736A4" w:rsidTr="00417B96">
        <w:trPr>
          <w:trHeight w:val="393"/>
        </w:trPr>
        <w:tc>
          <w:tcPr>
            <w:tcW w:w="1560" w:type="dxa"/>
            <w:tcBorders>
              <w:left w:val="single" w:sz="4" w:space="0" w:color="00000A"/>
              <w:bottom w:val="single" w:sz="4" w:space="0" w:color="00000A"/>
              <w:right w:val="single" w:sz="4" w:space="0" w:color="00000A"/>
            </w:tcBorders>
            <w:shd w:val="clear" w:color="auto" w:fill="auto"/>
          </w:tcPr>
          <w:p w:rsidR="0025251F" w:rsidRPr="00A62F69" w:rsidRDefault="0025251F" w:rsidP="00417B96">
            <w:pPr>
              <w:spacing w:after="0" w:line="240" w:lineRule="auto"/>
              <w:jc w:val="both"/>
              <w:rPr>
                <w:rFonts w:ascii="Arial" w:hAnsi="Arial" w:cs="Arial"/>
                <w:sz w:val="20"/>
                <w:szCs w:val="24"/>
              </w:rPr>
            </w:pPr>
            <w:r w:rsidRPr="00A62F69">
              <w:rPr>
                <w:rFonts w:ascii="Arial" w:hAnsi="Arial" w:cs="Arial"/>
                <w:sz w:val="20"/>
                <w:szCs w:val="24"/>
              </w:rPr>
              <w:t xml:space="preserve">MPS </w:t>
            </w:r>
            <w:r w:rsidR="00417B96">
              <w:rPr>
                <w:rFonts w:ascii="Arial" w:hAnsi="Arial" w:cs="Arial"/>
                <w:sz w:val="20"/>
                <w:szCs w:val="24"/>
              </w:rPr>
              <w:t>I</w:t>
            </w:r>
            <w:r w:rsidRPr="00A62F69">
              <w:rPr>
                <w:rFonts w:ascii="Arial" w:hAnsi="Arial" w:cs="Arial"/>
                <w:sz w:val="20"/>
                <w:szCs w:val="24"/>
              </w:rPr>
              <w:t>X</w:t>
            </w:r>
          </w:p>
        </w:tc>
        <w:tc>
          <w:tcPr>
            <w:tcW w:w="2976" w:type="dxa"/>
            <w:tcBorders>
              <w:left w:val="single" w:sz="4" w:space="0" w:color="00000A"/>
              <w:bottom w:val="single" w:sz="4" w:space="0" w:color="00000A"/>
              <w:right w:val="single" w:sz="4" w:space="0" w:color="00000A"/>
            </w:tcBorders>
            <w:shd w:val="clear" w:color="auto" w:fill="auto"/>
          </w:tcPr>
          <w:p w:rsidR="0025251F" w:rsidRPr="00A62F69" w:rsidRDefault="0025251F" w:rsidP="0025251F">
            <w:pPr>
              <w:spacing w:after="0" w:line="240" w:lineRule="auto"/>
              <w:jc w:val="both"/>
              <w:rPr>
                <w:rFonts w:ascii="Arial" w:hAnsi="Arial" w:cs="Arial"/>
                <w:sz w:val="20"/>
                <w:szCs w:val="24"/>
              </w:rPr>
            </w:pPr>
            <w:r w:rsidRPr="00A62F69">
              <w:rPr>
                <w:rFonts w:ascii="Arial" w:hAnsi="Arial" w:cs="Arial"/>
                <w:sz w:val="20"/>
                <w:szCs w:val="24"/>
              </w:rPr>
              <w:t>Doença de Natowicz</w:t>
            </w:r>
          </w:p>
        </w:tc>
        <w:tc>
          <w:tcPr>
            <w:tcW w:w="3402" w:type="dxa"/>
            <w:tcBorders>
              <w:left w:val="single" w:sz="4" w:space="0" w:color="00000A"/>
              <w:bottom w:val="single" w:sz="4" w:space="0" w:color="00000A"/>
              <w:right w:val="single" w:sz="4" w:space="0" w:color="00000A"/>
            </w:tcBorders>
            <w:shd w:val="clear" w:color="auto" w:fill="auto"/>
          </w:tcPr>
          <w:p w:rsidR="0025251F" w:rsidRPr="00A62F69" w:rsidRDefault="0025251F" w:rsidP="0025251F">
            <w:pPr>
              <w:spacing w:after="0" w:line="240" w:lineRule="auto"/>
              <w:jc w:val="both"/>
              <w:rPr>
                <w:rFonts w:ascii="Arial" w:hAnsi="Arial" w:cs="Arial"/>
                <w:sz w:val="20"/>
              </w:rPr>
            </w:pPr>
            <w:r w:rsidRPr="00A62F69">
              <w:rPr>
                <w:rFonts w:ascii="Arial" w:hAnsi="Arial" w:cs="Arial"/>
                <w:sz w:val="20"/>
                <w:szCs w:val="24"/>
              </w:rPr>
              <w:t>Hialuronidase</w:t>
            </w:r>
          </w:p>
        </w:tc>
        <w:tc>
          <w:tcPr>
            <w:tcW w:w="1322" w:type="dxa"/>
            <w:tcBorders>
              <w:left w:val="single" w:sz="4" w:space="0" w:color="00000A"/>
              <w:bottom w:val="single" w:sz="4" w:space="0" w:color="00000A"/>
              <w:right w:val="single" w:sz="4" w:space="0" w:color="00000A"/>
            </w:tcBorders>
          </w:tcPr>
          <w:p w:rsidR="0025251F" w:rsidRPr="00A62F69" w:rsidRDefault="005230DF" w:rsidP="005230DF">
            <w:pPr>
              <w:spacing w:after="0" w:line="240" w:lineRule="auto"/>
              <w:jc w:val="center"/>
              <w:rPr>
                <w:rFonts w:ascii="Arial" w:hAnsi="Arial" w:cs="Arial"/>
                <w:sz w:val="20"/>
                <w:szCs w:val="24"/>
              </w:rPr>
            </w:pPr>
            <w:r>
              <w:rPr>
                <w:rFonts w:ascii="Arial" w:hAnsi="Arial" w:cs="Arial"/>
                <w:sz w:val="20"/>
                <w:szCs w:val="24"/>
              </w:rPr>
              <w:t>AH</w:t>
            </w:r>
          </w:p>
        </w:tc>
      </w:tr>
    </w:tbl>
    <w:p w:rsidR="00EB34BF" w:rsidRPr="00D736A4" w:rsidRDefault="00EB34BF" w:rsidP="00703D75">
      <w:pPr>
        <w:spacing w:after="0" w:line="240" w:lineRule="auto"/>
        <w:jc w:val="both"/>
        <w:rPr>
          <w:rFonts w:ascii="Arial" w:hAnsi="Arial" w:cs="Arial"/>
          <w:b/>
          <w:sz w:val="20"/>
          <w:szCs w:val="20"/>
        </w:rPr>
      </w:pPr>
      <w:r w:rsidRPr="00D736A4">
        <w:rPr>
          <w:rFonts w:ascii="Arial" w:hAnsi="Arial" w:cs="Arial"/>
          <w:b/>
          <w:sz w:val="20"/>
          <w:szCs w:val="24"/>
        </w:rPr>
        <w:t>Legenda:</w:t>
      </w:r>
      <w:r w:rsidRPr="00D736A4">
        <w:rPr>
          <w:rFonts w:ascii="Arial" w:hAnsi="Arial" w:cs="Arial"/>
          <w:sz w:val="20"/>
          <w:szCs w:val="24"/>
        </w:rPr>
        <w:t xml:space="preserve"> </w:t>
      </w:r>
      <w:r w:rsidR="00703D75">
        <w:rPr>
          <w:rFonts w:ascii="Arial" w:hAnsi="Arial" w:cs="Arial"/>
          <w:sz w:val="20"/>
          <w:szCs w:val="24"/>
        </w:rPr>
        <w:t>AH</w:t>
      </w:r>
      <w:r w:rsidR="00E4764A">
        <w:rPr>
          <w:rFonts w:ascii="Arial" w:hAnsi="Arial" w:cs="Arial"/>
          <w:sz w:val="20"/>
          <w:szCs w:val="24"/>
        </w:rPr>
        <w:t xml:space="preserve"> – </w:t>
      </w:r>
      <w:r w:rsidR="00703D75">
        <w:rPr>
          <w:rFonts w:ascii="Arial" w:hAnsi="Arial" w:cs="Arial"/>
          <w:sz w:val="20"/>
          <w:szCs w:val="24"/>
        </w:rPr>
        <w:t>Ácido hialurônico;</w:t>
      </w:r>
      <w:r w:rsidR="00207D51">
        <w:rPr>
          <w:rFonts w:ascii="Arial" w:hAnsi="Arial" w:cs="Arial"/>
          <w:sz w:val="20"/>
          <w:szCs w:val="24"/>
        </w:rPr>
        <w:t xml:space="preserve"> coA</w:t>
      </w:r>
      <w:r w:rsidR="00E4764A">
        <w:rPr>
          <w:rFonts w:ascii="Arial" w:hAnsi="Arial" w:cs="Arial"/>
          <w:sz w:val="20"/>
          <w:szCs w:val="24"/>
        </w:rPr>
        <w:t xml:space="preserve"> – </w:t>
      </w:r>
      <w:r w:rsidR="00207D51">
        <w:rPr>
          <w:rFonts w:ascii="Arial" w:hAnsi="Arial" w:cs="Arial"/>
          <w:sz w:val="20"/>
          <w:szCs w:val="24"/>
        </w:rPr>
        <w:t>coenzima</w:t>
      </w:r>
      <w:r w:rsidR="00703D75">
        <w:rPr>
          <w:rFonts w:ascii="Arial" w:hAnsi="Arial" w:cs="Arial"/>
          <w:sz w:val="20"/>
          <w:szCs w:val="24"/>
        </w:rPr>
        <w:t xml:space="preserve"> </w:t>
      </w:r>
      <w:r w:rsidR="00207D51">
        <w:rPr>
          <w:rFonts w:ascii="Arial" w:hAnsi="Arial" w:cs="Arial"/>
          <w:sz w:val="20"/>
          <w:szCs w:val="24"/>
        </w:rPr>
        <w:t xml:space="preserve">A; </w:t>
      </w:r>
      <w:r w:rsidR="00703D75">
        <w:rPr>
          <w:rFonts w:ascii="Arial" w:hAnsi="Arial" w:cs="Arial"/>
          <w:sz w:val="20"/>
          <w:szCs w:val="24"/>
        </w:rPr>
        <w:t>DS</w:t>
      </w:r>
      <w:r w:rsidR="00E4764A">
        <w:rPr>
          <w:rFonts w:ascii="Arial" w:hAnsi="Arial" w:cs="Arial"/>
          <w:sz w:val="20"/>
          <w:szCs w:val="24"/>
        </w:rPr>
        <w:t xml:space="preserve"> – </w:t>
      </w:r>
      <w:r w:rsidR="00703D75">
        <w:rPr>
          <w:rFonts w:ascii="Arial" w:hAnsi="Arial" w:cs="Arial"/>
          <w:sz w:val="20"/>
          <w:szCs w:val="24"/>
        </w:rPr>
        <w:t>Dermatan sulfato; HS</w:t>
      </w:r>
      <w:r w:rsidR="00E4764A">
        <w:rPr>
          <w:rFonts w:ascii="Arial" w:hAnsi="Arial" w:cs="Arial"/>
          <w:sz w:val="20"/>
          <w:szCs w:val="24"/>
        </w:rPr>
        <w:t xml:space="preserve"> – </w:t>
      </w:r>
      <w:r w:rsidR="00703D75">
        <w:rPr>
          <w:rFonts w:ascii="Arial" w:hAnsi="Arial" w:cs="Arial"/>
          <w:sz w:val="20"/>
          <w:szCs w:val="24"/>
        </w:rPr>
        <w:t xml:space="preserve">Heparan sulfato; </w:t>
      </w:r>
      <w:r w:rsidRPr="00D736A4">
        <w:rPr>
          <w:rFonts w:ascii="Arial" w:hAnsi="Arial" w:cs="Arial"/>
          <w:sz w:val="20"/>
          <w:szCs w:val="24"/>
        </w:rPr>
        <w:t>MPS</w:t>
      </w:r>
      <w:r w:rsidR="00E4764A">
        <w:rPr>
          <w:rFonts w:ascii="Arial" w:hAnsi="Arial" w:cs="Arial"/>
          <w:sz w:val="20"/>
          <w:szCs w:val="24"/>
        </w:rPr>
        <w:t xml:space="preserve"> – </w:t>
      </w:r>
      <w:r w:rsidRPr="00D736A4">
        <w:rPr>
          <w:rFonts w:ascii="Arial" w:hAnsi="Arial" w:cs="Arial"/>
          <w:sz w:val="20"/>
          <w:szCs w:val="24"/>
        </w:rPr>
        <w:t>Mucopolissacaridose</w:t>
      </w:r>
      <w:r w:rsidR="00703D75">
        <w:rPr>
          <w:rFonts w:ascii="Arial" w:hAnsi="Arial" w:cs="Arial"/>
          <w:sz w:val="20"/>
          <w:szCs w:val="24"/>
        </w:rPr>
        <w:t>; QS</w:t>
      </w:r>
      <w:r w:rsidR="00E4764A">
        <w:rPr>
          <w:rFonts w:ascii="Arial" w:hAnsi="Arial" w:cs="Arial"/>
          <w:sz w:val="20"/>
          <w:szCs w:val="24"/>
        </w:rPr>
        <w:t xml:space="preserve"> – </w:t>
      </w:r>
      <w:r w:rsidR="00703D75">
        <w:rPr>
          <w:rFonts w:ascii="Arial" w:hAnsi="Arial" w:cs="Arial"/>
          <w:sz w:val="20"/>
          <w:szCs w:val="24"/>
        </w:rPr>
        <w:t>Queratan sulfato</w:t>
      </w:r>
      <w:r w:rsidR="00207D51">
        <w:rPr>
          <w:rFonts w:ascii="Arial" w:hAnsi="Arial" w:cs="Arial"/>
          <w:sz w:val="20"/>
          <w:szCs w:val="24"/>
        </w:rPr>
        <w:t xml:space="preserve">; </w:t>
      </w:r>
      <w:r w:rsidR="00207D51" w:rsidRPr="00A62F69">
        <w:rPr>
          <w:rFonts w:ascii="Arial" w:hAnsi="Arial" w:cs="Arial"/>
          <w:sz w:val="20"/>
          <w:szCs w:val="24"/>
        </w:rPr>
        <w:t>α</w:t>
      </w:r>
      <w:r w:rsidR="00E4764A">
        <w:rPr>
          <w:rFonts w:ascii="Arial" w:hAnsi="Arial" w:cs="Arial"/>
          <w:sz w:val="20"/>
          <w:szCs w:val="24"/>
        </w:rPr>
        <w:t xml:space="preserve"> – </w:t>
      </w:r>
      <w:r w:rsidR="00207D51">
        <w:rPr>
          <w:rFonts w:ascii="Arial" w:hAnsi="Arial" w:cs="Arial"/>
          <w:sz w:val="20"/>
          <w:szCs w:val="24"/>
        </w:rPr>
        <w:t xml:space="preserve">alfa; </w:t>
      </w:r>
      <w:r w:rsidR="00207D51" w:rsidRPr="00A62F69">
        <w:rPr>
          <w:rFonts w:ascii="Arial" w:hAnsi="Arial" w:cs="Arial"/>
          <w:sz w:val="20"/>
          <w:szCs w:val="24"/>
        </w:rPr>
        <w:t>β</w:t>
      </w:r>
      <w:r w:rsidR="00E4764A">
        <w:rPr>
          <w:rFonts w:ascii="Arial" w:hAnsi="Arial" w:cs="Arial"/>
          <w:sz w:val="20"/>
          <w:szCs w:val="24"/>
        </w:rPr>
        <w:t xml:space="preserve"> – </w:t>
      </w:r>
      <w:r w:rsidR="00207D51">
        <w:rPr>
          <w:rFonts w:ascii="Arial" w:hAnsi="Arial" w:cs="Arial"/>
          <w:sz w:val="20"/>
          <w:szCs w:val="24"/>
        </w:rPr>
        <w:t>beta.</w:t>
      </w:r>
    </w:p>
    <w:p w:rsidR="00EB34BF" w:rsidRDefault="00EB34BF" w:rsidP="00EB34BF">
      <w:pPr>
        <w:spacing w:after="0" w:line="240" w:lineRule="auto"/>
        <w:jc w:val="both"/>
        <w:rPr>
          <w:rFonts w:ascii="Arial" w:hAnsi="Arial" w:cs="Arial"/>
          <w:sz w:val="24"/>
          <w:szCs w:val="24"/>
        </w:rPr>
      </w:pPr>
      <w:r w:rsidRPr="004B60D5">
        <w:rPr>
          <w:rFonts w:ascii="Arial" w:hAnsi="Arial" w:cs="Arial"/>
          <w:b/>
          <w:sz w:val="20"/>
          <w:szCs w:val="20"/>
        </w:rPr>
        <w:t>Fonte:</w:t>
      </w:r>
      <w:r w:rsidR="00E23F6C" w:rsidRPr="004B60D5">
        <w:rPr>
          <w:rFonts w:ascii="Arial" w:hAnsi="Arial" w:cs="Arial"/>
          <w:sz w:val="20"/>
          <w:szCs w:val="20"/>
        </w:rPr>
        <w:t xml:space="preserve"> Adaptado</w:t>
      </w:r>
      <w:r w:rsidRPr="004B60D5">
        <w:rPr>
          <w:rFonts w:ascii="Arial" w:hAnsi="Arial" w:cs="Arial"/>
          <w:sz w:val="20"/>
          <w:szCs w:val="20"/>
        </w:rPr>
        <w:t xml:space="preserve"> de: (</w:t>
      </w:r>
      <w:r w:rsidR="007A75D8" w:rsidRPr="004B60D5">
        <w:rPr>
          <w:rFonts w:ascii="Arial" w:hAnsi="Arial" w:cs="Arial"/>
          <w:sz w:val="20"/>
          <w:szCs w:val="20"/>
        </w:rPr>
        <w:t>4</w:t>
      </w:r>
      <w:r w:rsidRPr="004B60D5">
        <w:rPr>
          <w:rFonts w:ascii="Arial" w:hAnsi="Arial" w:cs="Arial"/>
          <w:sz w:val="20"/>
          <w:szCs w:val="20"/>
        </w:rPr>
        <w:t xml:space="preserve">) </w:t>
      </w:r>
      <w:r w:rsidR="009D1752" w:rsidRPr="004B60D5">
        <w:rPr>
          <w:rFonts w:ascii="Arial" w:hAnsi="Arial" w:cs="Arial"/>
          <w:noProof/>
          <w:sz w:val="20"/>
          <w:szCs w:val="24"/>
        </w:rPr>
        <w:t xml:space="preserve">Muenzer J. Overview of the mucopolysaccharidoses. Rheumatology (Oxford). 2011;50(Suppl. </w:t>
      </w:r>
      <w:r w:rsidR="009D1752" w:rsidRPr="009D1752">
        <w:rPr>
          <w:rFonts w:ascii="Arial" w:hAnsi="Arial" w:cs="Arial"/>
          <w:noProof/>
          <w:sz w:val="20"/>
          <w:szCs w:val="24"/>
        </w:rPr>
        <w:t xml:space="preserve">5):4–12. DOI: </w:t>
      </w:r>
      <w:r w:rsidR="009D1752" w:rsidRPr="009D1752">
        <w:rPr>
          <w:rFonts w:ascii="Arial" w:hAnsi="Arial" w:cs="Arial"/>
          <w:color w:val="000000"/>
          <w:sz w:val="20"/>
          <w:szCs w:val="24"/>
          <w:shd w:val="clear" w:color="auto" w:fill="FFFFFF"/>
        </w:rPr>
        <w:t>10.1093/</w:t>
      </w:r>
      <w:proofErr w:type="spellStart"/>
      <w:r w:rsidR="009D1752" w:rsidRPr="009D1752">
        <w:rPr>
          <w:rFonts w:ascii="Arial" w:hAnsi="Arial" w:cs="Arial"/>
          <w:color w:val="000000"/>
          <w:sz w:val="20"/>
          <w:szCs w:val="24"/>
          <w:shd w:val="clear" w:color="auto" w:fill="FFFFFF"/>
        </w:rPr>
        <w:t>rheumatology</w:t>
      </w:r>
      <w:proofErr w:type="spellEnd"/>
      <w:r w:rsidR="009D1752" w:rsidRPr="009D1752">
        <w:rPr>
          <w:rFonts w:ascii="Arial" w:hAnsi="Arial" w:cs="Arial"/>
          <w:color w:val="000000"/>
          <w:sz w:val="20"/>
          <w:szCs w:val="24"/>
          <w:shd w:val="clear" w:color="auto" w:fill="FFFFFF"/>
        </w:rPr>
        <w:t>/ker394</w:t>
      </w:r>
      <w:r w:rsidRPr="00D736A4">
        <w:rPr>
          <w:rFonts w:ascii="Arial" w:hAnsi="Arial" w:cs="Arial"/>
          <w:sz w:val="20"/>
          <w:szCs w:val="24"/>
        </w:rPr>
        <w:t xml:space="preserve"> </w:t>
      </w:r>
      <w:r w:rsidRPr="009D1752">
        <w:rPr>
          <w:rFonts w:ascii="Arial" w:hAnsi="Arial" w:cs="Arial"/>
          <w:sz w:val="20"/>
          <w:szCs w:val="24"/>
        </w:rPr>
        <w:t>e (</w:t>
      </w:r>
      <w:r w:rsidR="00F029A8" w:rsidRPr="009D1752">
        <w:rPr>
          <w:rFonts w:ascii="Arial" w:hAnsi="Arial" w:cs="Arial"/>
          <w:sz w:val="20"/>
          <w:szCs w:val="24"/>
        </w:rPr>
        <w:t>30</w:t>
      </w:r>
      <w:r w:rsidRPr="009D1752">
        <w:rPr>
          <w:rFonts w:ascii="Arial" w:hAnsi="Arial" w:cs="Arial"/>
          <w:sz w:val="20"/>
          <w:szCs w:val="24"/>
        </w:rPr>
        <w:t>)</w:t>
      </w:r>
      <w:r w:rsidRPr="00D736A4">
        <w:rPr>
          <w:rFonts w:ascii="Arial" w:hAnsi="Arial" w:cs="Arial"/>
          <w:sz w:val="20"/>
          <w:szCs w:val="24"/>
        </w:rPr>
        <w:t xml:space="preserve"> </w:t>
      </w:r>
      <w:r w:rsidR="002C0182" w:rsidRPr="002C0182">
        <w:rPr>
          <w:rFonts w:ascii="Arial" w:hAnsi="Arial" w:cs="Arial"/>
          <w:noProof/>
          <w:sz w:val="20"/>
          <w:szCs w:val="24"/>
        </w:rPr>
        <w:t xml:space="preserve">Cardoso-Santos A, Azevedo AC, Fagondes S, Burin MG, Giugliani R, Schwartz IV. </w:t>
      </w:r>
      <w:r w:rsidR="002C0182" w:rsidRPr="004B60D5">
        <w:rPr>
          <w:rFonts w:ascii="Arial" w:hAnsi="Arial" w:cs="Arial"/>
          <w:noProof/>
          <w:sz w:val="20"/>
          <w:szCs w:val="24"/>
        </w:rPr>
        <w:t xml:space="preserve">Mucopolysaccharidosis type VI (Maroteaux-Lamy syndrome): assessment of joint mobility and grip and pinch strength. </w:t>
      </w:r>
      <w:r w:rsidR="002C0182" w:rsidRPr="002C0182">
        <w:rPr>
          <w:rFonts w:ascii="Arial" w:hAnsi="Arial" w:cs="Arial"/>
          <w:noProof/>
          <w:sz w:val="20"/>
          <w:szCs w:val="24"/>
        </w:rPr>
        <w:t xml:space="preserve">J Pediatr. 2008;84(2):130–5. DOI: </w:t>
      </w:r>
      <w:hyperlink r:id="rId19" w:tgtFrame="_blank" w:history="1">
        <w:r w:rsidR="002C0182" w:rsidRPr="002C0182">
          <w:rPr>
            <w:rFonts w:ascii="Arial" w:eastAsia="Times New Roman" w:hAnsi="Arial" w:cs="Arial"/>
            <w:sz w:val="20"/>
            <w:szCs w:val="24"/>
            <w:lang w:eastAsia="pt-BR"/>
          </w:rPr>
          <w:t>10.2223/JPED.1743</w:t>
        </w:r>
      </w:hyperlink>
      <w:r w:rsidR="002C0182">
        <w:rPr>
          <w:rFonts w:ascii="Arial" w:eastAsia="Times New Roman" w:hAnsi="Arial" w:cs="Arial"/>
          <w:sz w:val="20"/>
          <w:szCs w:val="24"/>
          <w:lang w:eastAsia="pt-BR"/>
        </w:rPr>
        <w:t>.</w:t>
      </w:r>
    </w:p>
    <w:p w:rsidR="00EB34BF" w:rsidRPr="003F585B" w:rsidRDefault="00EB34BF" w:rsidP="00EB34BF">
      <w:pPr>
        <w:spacing w:after="0" w:line="360" w:lineRule="auto"/>
        <w:jc w:val="both"/>
        <w:rPr>
          <w:rFonts w:ascii="Arial" w:hAnsi="Arial" w:cs="Arial"/>
          <w:sz w:val="24"/>
          <w:szCs w:val="24"/>
        </w:rPr>
      </w:pPr>
    </w:p>
    <w:p w:rsidR="0071094F" w:rsidRDefault="00EB34BF" w:rsidP="00491682">
      <w:pPr>
        <w:spacing w:after="0" w:line="360" w:lineRule="auto"/>
        <w:jc w:val="both"/>
        <w:rPr>
          <w:rFonts w:ascii="Arial" w:hAnsi="Arial" w:cs="Arial"/>
          <w:sz w:val="24"/>
          <w:szCs w:val="24"/>
        </w:rPr>
      </w:pPr>
      <w:r w:rsidRPr="003F585B">
        <w:rPr>
          <w:rFonts w:ascii="Arial" w:hAnsi="Arial" w:cs="Arial"/>
          <w:sz w:val="24"/>
          <w:szCs w:val="24"/>
        </w:rPr>
        <w:t>As MPS apresentam caráter autossômico recessivo e ocorrem em uma mesma proporção entre homens e mulheres</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"mendeley" : { "formattedCitation" : "&lt;sup&gt;4&lt;/sup&gt;", "plainTextFormattedCitation" : "4", "previouslyFormattedCitation" : "&lt;sup&gt;4&lt;/sup&gt;"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4</w:t>
      </w:r>
      <w:r w:rsidRPr="003F585B">
        <w:rPr>
          <w:rFonts w:ascii="Arial" w:hAnsi="Arial" w:cs="Arial"/>
          <w:sz w:val="24"/>
          <w:szCs w:val="24"/>
        </w:rPr>
        <w:fldChar w:fldCharType="end"/>
      </w:r>
      <w:r w:rsidRPr="003F585B">
        <w:rPr>
          <w:rFonts w:ascii="Arial" w:hAnsi="Arial" w:cs="Arial"/>
          <w:sz w:val="24"/>
          <w:szCs w:val="24"/>
        </w:rPr>
        <w:t>, com exceção da MPS tipo II que tem herança recessiva ligada ao cromossomo X</w:t>
      </w:r>
      <w:r w:rsidR="00F625A6">
        <w:rPr>
          <w:rFonts w:ascii="Arial" w:hAnsi="Arial" w:cs="Arial"/>
          <w:sz w:val="24"/>
          <w:szCs w:val="24"/>
        </w:rPr>
        <w:t>, acometendo com maior frequência indivíduos do sexo masculino.</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"id" : "ITEM-2", "itemData" : { "DOI" : "10.1007/s13353-014-0262-5", "abstract" : "The aim of this study was to determine the preva-lence rates of mucopolysaccharidoses in Poland and to com-pare them with other European countries. A retrospective epidemiological survey covering the period between 1970 and 2010 was implemented. Multiple ascertainment sources were used to identify affected patients. The overall prevalence of mucopolysaccharidoses in the Polish population was", "author" : [ { "dropping-particle" : "", "family" : "Jurecka", "given" : "Agnieszka", "non-dropping-particle" : "", "parse-names" : false, "suffix" : "" }, { "dropping-particle" : "", "family" : "\u0141ugowska", "given" : "Agnieszka", "non-dropping-particle" : "", "parse-names" : false, "suffix" : "" }, { "dropping-particle" : "", "family" : "Golda", "given" : "Adam", "non-dropping-particle" : "", "parse-names" : false, "suffix" : "" }, { "dropping-particle" : "", "family" : "Czartoryska", "given" : "Barbara", "non-dropping-particle" : "", "parse-names" : false, "suffix" : "" }, { "dropping-particle" : "", "family" : "Tylki-Szyma\u0144ska", "given" : "Anna", "non-dropping-particle" : "", "parse-names" : false, "suffix" : "" } ], "container-title" : "J Appl Genetics (2015)", "id" : "ITEM-2", "issued" : { "date-parts" : [ [ "2015" ] ] }, "page" : "205-210", "title" : "Prevalence rates of mucopolysaccharidoses in Poland", "type" : "article-journal", "volume" : "56" }, "uris" : [ "http://www.mendeley.com/documents/?uuid=c533243f-91b4-35c0-b21b-2331cd939792" ] } ], "mendeley" : { "formattedCitation" : "&lt;sup&gt;4,37&lt;/sup&gt;", "plainTextFormattedCitation" : "4,37", "previouslyFormattedCitation" : "&lt;sup&gt;4,37&lt;/sup&gt;"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4,37</w:t>
      </w:r>
      <w:r w:rsidRPr="003F585B">
        <w:rPr>
          <w:rFonts w:ascii="Arial" w:hAnsi="Arial" w:cs="Arial"/>
          <w:sz w:val="24"/>
          <w:szCs w:val="24"/>
        </w:rPr>
        <w:fldChar w:fldCharType="end"/>
      </w:r>
      <w:r w:rsidR="0071094F">
        <w:rPr>
          <w:rFonts w:ascii="Arial" w:hAnsi="Arial" w:cs="Arial"/>
          <w:sz w:val="24"/>
          <w:szCs w:val="24"/>
        </w:rPr>
        <w:t xml:space="preserve"> </w:t>
      </w:r>
      <w:r w:rsidRPr="003F585B">
        <w:rPr>
          <w:rFonts w:ascii="Arial" w:hAnsi="Arial" w:cs="Arial"/>
          <w:sz w:val="24"/>
          <w:szCs w:val="24"/>
        </w:rPr>
        <w:t>Estudos internacionais referem uma variação na incidência global para todos os tipos de MPS: em Taiwan a incidência é de 2,04 por 100.000 nascidos vivos</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"10.1002/ajmg.a.32781", "ISBN" : "1552-4825\\r1552-4833", "ISSN" : "15524825", "PMID" : "19396827", "abstract" : "Previous studies on the incidence of the various types of mucopolysaccharidoses (MPS) in different populations have shown considerable variation. However, information regarding the incidence of MPS in the Asian population is lacking. An epidemiological study of the MPS disorders in Taiwan using multiple ascertainment sources was undertaken, and incidences of different types of MPS during the period of 1984-2004 were estimated. We compared our data with previous reports in different populations. The combined birth incidence for all MPS cases was 2.04 per 100,000 live births. MPS II (Hunter syndrome) had the highest calculated birth incidence of 1.07 per 100,000 live births (2.05 per 100,000 male live births), comprising 52% of all MPS cases diagnosed. The birth incidences of MPS I (Hurler syndrome), III (Sanfilippo syndrome), IV (Morquio syndrome), and VI (Maroteaux-Lamy syndrome) were 0.11, 0.39, 0.33, and 0.14 per 100,000 live births, respectively, which accounted for 6%, 19%, 16%, and 7% of all MPS, respectively. No cases of MPS III D (Sanfilippo syndrome type D), MPS IV B (Morquio syndrome type B), MPS VII (Sly syndrome) or MPS IX were ascertained during the study period. Overall incidence of MPS in Taiwan was consistent with that reported in Western populations. However, in contrast to the higher incidence of MPS I in most Western populations, this study showed a higher incidence of MPS II in Taiwan. It remains to be investigated whether this discrepancy is attributed to the under-diagnosis of MPS I in Taiwan or to ethnic differences.", "author" : [ { "dropping-particle" : "", "family" : "Lin", "given" : "Hsiang Yu", "non-dropping-particle" : "", "parse-names" : false, "suffix" : "" }, { "dropping-particle" : "", "family" : "Lin", "given" : "Shuan Pei", "non-dropping-particle" : "", "parse-names" : false, "suffix" : "" }, { "dropping-particle" : "", "family" : "Chuang", "given" : "Chih Kuang", "non-dropping-particle" : "", "parse-names" : false, "suffix" : "" }, { "dropping-particle" : "", "family" : "Niu", "given" : "Dau Ming", "non-dropping-particle" : "", "parse-names" : false, "suffix" : "" }, { "dropping-particle" : "", "family" : "Chen", "given" : "Ming Ren", "non-dropping-particle" : "", "parse-names" : false, "suffix" : "" }, { "dropping-particle" : "", "family" : "Tsai", "given" : "Fuu Jen", "non-dropping-particle" : "", "parse-names" : false, "suffix" : "" }, { "dropping-particle" : "", "family" : "Chao", "given" : "Mei Chyn", "non-dropping-particle" : "", "parse-names" : false, "suffix" : "" }, { "dropping-particle" : "", "family" : "Chiu", "given" : "Pao Ching", "non-dropping-particle" : "", "parse-names" : false, "suffix" : "" }, { "dropping-particle" : "", "family" : "Lin", "given" : "Shio Jean", "non-dropping-particle" : "", "parse-names" : false, "suffix" : "" }, { "dropping-particle" : "", "family" : "Tsai", "given" : "Li Ping", "non-dropping-particle" : "", "parse-names" : false, "suffix" : "" }, { "dropping-particle" : "", "family" : "Hwu", "given" : "Wuh Liang", "non-dropping-particle" : "", "parse-names" : false, "suffix" : "" }, { "dropping-particle" : "", "family" : "Lin", "given" : "Ju Li", "non-dropping-particle" : "", "parse-names" : false, "suffix" : "" } ], "container-title" : "American Journal of Medical Genetics, Part A", "id" : "ITEM-1", "issue" : "5", "issued" : { "date-parts" : [ [ "2009" ] ] }, "page" : "960-964", "title" : "Incidence of the Mucopolysaccharidoses in Taiwan, 1984-2004", "type" : "article-journal", "volume" : "149" }, "uris" : [ "http://www.mendeley.com/documents/?uuid=6d6ecaaf-e772-425e-acc4-4d26d939ee4f" ] } ], "mendeley" : { "formattedCitation" : "&lt;sup&gt;14&lt;/sup&gt;", "plainTextFormattedCitation" : "14", "previouslyFormattedCitation" : "&lt;sup&gt;14&lt;/sup&gt;"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14</w:t>
      </w:r>
      <w:r w:rsidRPr="003F585B">
        <w:rPr>
          <w:rFonts w:ascii="Arial" w:hAnsi="Arial" w:cs="Arial"/>
          <w:sz w:val="24"/>
          <w:szCs w:val="24"/>
        </w:rPr>
        <w:fldChar w:fldCharType="end"/>
      </w:r>
      <w:r w:rsidRPr="003F585B">
        <w:rPr>
          <w:rFonts w:ascii="Arial" w:hAnsi="Arial" w:cs="Arial"/>
          <w:sz w:val="24"/>
          <w:szCs w:val="24"/>
        </w:rPr>
        <w:t>; na Alemanha, de 3,53 por 100.000 nascidos vivos</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"10.1007/s10545-005-0112-z", "ISBN" : "0141-8955 (Print)", "ISSN" : "01418955", "PMID" : "16435194", "abstract" : "In order to estimate the cumulative incidence rates of the mucopolysaccharidoses (MPS) in Germany, a retrospective epidemiological survey covering the period between 1980 and 1995 was implemented. Multiple ascertainment sources were used to identify affected patients. A prevalence of approximately 0.69 cases per 100,000 births was obtained for MPS I (Hurler phenotype). Within the study period, 4 patients with Hurler/Scheie phenotype and 7 cases with Scheie disease were detected. The cumulative incidence for MPS II (Hunter syndrome) was estimated as 0.64 cases per 100,000 births (1.3 cases per 100,000 male live births); that for MPS III (Sanfilippo syndrome types A, B and C) as 1.57 cases in 100,000 births; that for MPS IV A (Morquio syndrome) as 0.38 cases in 100,000; and that for MPS VI (Maroteaux-Lamy syndrome) as 0.23 cases per 100,000 births. Two cases of MPS IVB (beta-galactosidase deficiency) have been identified, but no patients with MPS VII or MPS IX. A relatively high number of patients with MPS IIIB, MPS IVA and MPS VI were of Turkish origin. The crude rate for all types of mucopolysaccharidoses is approximately 3.53 cases in 100,000 live births. The cumulative incidence pattern of MPS in Germany was compared with the corresponding rates among other industrial nations obtained from recent literature: the crude cumulative rates for all types of mucopolysaccharidoses (3.4-4.5 in 100,000 live births) were similar among all published populations; however, different frequencies of the various forms of MPS were observed.", "author" : [ { "dropping-particle" : "", "family" : "Baehner", "given" : "F.", "non-dropping-particle" : "", "parse-names" : false, "suffix" : "" }, { "dropping-particle" : "", "family" : "Schmiedeskamp", "given" : "C.", "non-dropping-particle" : "", "parse-names" : false, "suffix" : "" }, { "dropping-particle" : "", "family" : "Krummenauer", "given" : "F.", "non-dropping-particle" : "", "parse-names" : false, "suffix" : "" }, { "dropping-particle" : "", "family" : "Miebach", "given" : "E.", "non-dropping-particle" : "", "parse-names" : false, "suffix" : "" }, { "dropping-particle" : "", "family" : "Bajbouj", "given" : "M.", "non-dropping-particle" : "", "parse-names" : false, "suffix" : "" }, { "dropping-particle" : "", "family" : "Whybra", "given" : "C.", "non-dropping-particle" : "", "parse-names" : false, "suffix" : "" }, { "dropping-particle" : "", "family" : "Kohlsch\u00fctter", "given" : "A.", "non-dropping-particle" : "", "parse-names" : false, "suffix" : "" }, { "dropping-particle" : "", "family" : "Kampmann", "given" : "C.", "non-dropping-particle" : "", "parse-names" : false, "suffix" : "" }, { "dropping-particle" : "", "family" : "Beck", "given" : "M.", "non-dropping-particle" : "", "parse-names" : false, "suffix" : "" } ], "container-title" : "Journal of Inherited Metabolic Disease", "id" : "ITEM-1", "issue" : "6", "issued" : { "date-parts" : [ [ "2005" ] ] }, "page" : "1011-1017", "title" : "Cumulative incidence rates of the mucopolysaccharidoses in Germany", "type" : "article-journal", "volume" : "28" }, "uris" : [ "http://www.mendeley.com/documents/?uuid=1ed05213-105b-4d72-afb6-b8f9975164b4" ] } ], "mendeley" : { "formattedCitation" : "&lt;sup&gt;15&lt;/sup&gt;", "plainTextFormattedCitation" : "15", "previouslyFormattedCitation" : "&lt;sup&gt;15&lt;/sup&gt;"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15</w:t>
      </w:r>
      <w:r w:rsidRPr="003F585B">
        <w:rPr>
          <w:rFonts w:ascii="Arial" w:hAnsi="Arial" w:cs="Arial"/>
          <w:sz w:val="24"/>
          <w:szCs w:val="24"/>
        </w:rPr>
        <w:fldChar w:fldCharType="end"/>
      </w:r>
      <w:r w:rsidRPr="003F585B">
        <w:rPr>
          <w:rFonts w:ascii="Arial" w:hAnsi="Arial" w:cs="Arial"/>
          <w:sz w:val="24"/>
          <w:szCs w:val="24"/>
        </w:rPr>
        <w:t xml:space="preserve">; na Columbia </w:t>
      </w:r>
      <w:r w:rsidRPr="003F585B">
        <w:rPr>
          <w:rFonts w:ascii="Arial" w:hAnsi="Arial" w:cs="Arial"/>
          <w:sz w:val="24"/>
          <w:szCs w:val="24"/>
        </w:rPr>
        <w:lastRenderedPageBreak/>
        <w:t>Britânica, Canadá, de 1,9 por 100.000 nascidos vivos</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"abstract" : "Objective. To determine how many chil-dren with specific types of inborn errors of metabolism are born each year in British Columbia, Canada. This population provides a relatively unique setting for col-lection of accurate and uniform incidence data because the diagnoses are all made through one laboratory in a population with universal access to government-funded medical care. Methodology. We used the records of the Biochemical Diseases Laboratory, Children's Hospital, Vancouver (the central referral point for all metabolic diagnoses in British Columbia) to identify all patients diagnosed with the metabolic diseases defined below. We obtained inci-dence figures by including only the children diagnosed with the diseases covered in this article who were con-firmed as having been born within the province for the years 1969 to 1996. The diseases covered were diseases of amino acids, organic acids, the urea cycle, galactosemia, primary lactic acidoses, glycogen storage diseases, lyso-somal storage diseases, and diseases involving specifi-cally peroxisomal and mitochondrial respiratory chain dysfunction. Because the technology needed for diagno-sis of specific disease groups was in place at different times our data for the different disease groups corre-spond to different time frames. We have also adjusted the time frames used to allow for the likelihood that some diseases may not come to medical attention for some time after birth. For instance the incidence of amino acid diseases was assessed throughout the whole of this time frame but the incidence of peroxisomal diseases was restricted to 1984 to 1996 because this was the time frame during which the technology needed for diagnosis was in place and reliable. Most disease group statistics included at least 400 000 births. Results. The overall minimum incidence of the met-abolic diseases surveyed in children born in British Co-lumbia is \u03f340 cases per 100 000 live births. This includes phenylketonuria (PKU) and galactosemia which are de-tected by a newborn screening program. Metabolic dis-eases, which were not screened for at birth, ie, those with PKU and galactosemia subtracted from the total, have a minimal incidence of \u03f330 cases per 100 000 live births. This diagnostic dilemma group would present to pedia-tricians for diagnosis. Not all metabolic diseases have been surveyed and our data are restricted to the follow-ing metabolic disease groups. Approximately 24 children per 100 000 births (\u03f360% of the tot\u2026", "author" : [ { "dropping-particle" : "", "family" : "Applegarth", "given" : "Derek A", "non-dropping-particle" : "", "parse-names" : false, "suffix" : "" }, { "dropping-particle" : "", "family" : "Toone", "given" : "Jennifer R", "non-dropping-particle" : "", "parse-names" : false, "suffix" : "" }, { "dropping-particle" : "", "family" : "Lowry", "given" : "R Brian", "non-dropping-particle" : "", "parse-names" : false, "suffix" : "" }, { "dropping-particle" : "", "family" : "Frcp", "given" : "C", "non-dropping-particle" : "", "parse-names" : false, "suffix" : "" } ], "container-title" : "Pediatrics", "id" : "ITEM-1", "issue" : "1", "issued" : { "date-parts" : [ [ "2000" ] ] }, "page" : "1-6", "title" : "Incidence of Inborn Errors of Metabolism in British Columbia , 1969 \u2013 1996", "type" : "article-journal", "volume" : "105" }, "uris" : [ "http://www.mendeley.com/documents/?uuid=eb9d35c7-859b-48bc-b1ce-73aa7b3775a4" ] } ], "mendeley" : { "formattedCitation" : "&lt;sup&gt;16&lt;/sup&gt;", "plainTextFormattedCitation" : "16", "previouslyFormattedCitation" : "&lt;sup&gt;16&lt;/sup&gt;"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16</w:t>
      </w:r>
      <w:r w:rsidRPr="003F585B">
        <w:rPr>
          <w:rFonts w:ascii="Arial" w:hAnsi="Arial" w:cs="Arial"/>
          <w:sz w:val="24"/>
          <w:szCs w:val="24"/>
        </w:rPr>
        <w:fldChar w:fldCharType="end"/>
      </w:r>
      <w:r w:rsidRPr="003F585B">
        <w:rPr>
          <w:rFonts w:ascii="Arial" w:hAnsi="Arial" w:cs="Arial"/>
          <w:sz w:val="24"/>
          <w:szCs w:val="24"/>
        </w:rPr>
        <w:t>; e de 4,5 por 100.000 nascidos vivos na Holanda</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"10.1007/s004399900075", "ISBN" : "0340-6717 (Print)\\r0340-6717 (Linking)", "ISSN" : "03406717", "PMID" : "10480370", "abstract" : "We have calculated the relative frequency and the birth prevalence of lysosomal storage diseases (LSDs) in The Netherlands based on all 963 enzymatically confirmed cases diagnosed during the period 1970-1996. The combined birth prevalence for all LSDs is 14 per 100,000 live births. Glycogenosis type II is the most frequent LSD with a birth prevalence of 2.0 per 100,000 live births, representing 17% of all diagnosed cases. Within the group of lipidoses, metachromatic leukodystrophy (MLD) is the most frequent LSD. MLD was diagnosed in 24% of lipidoses and the calculated birth prevalence was 1.42 per 100,000 for all types combined. Krabbe disease, diagnosed in 17% of cases, also belongs to the more frequent lipid storage diseases in The Netherlands with a birth prevalence of 1.35 per 100,000. The birth prevalence of Gaucher disease, commonly regarded as the most frequent lipid storage disease is 1.16 per 100,000 for all types combined. The combined birth prevalence for all lipid storage diseases is 6.2 per 100,000 live births. Within the group of mucopolysaccharidoses (MPSs), MPS I has the highest calculated birth prevalence of 1.19 per 100,000 (25% of all cases of MPS diagnosed), which is slightly more frequent than MPS IIIA with an estimated birth prevalence of 1.16 per 100,000. As a group, MPS III comprises 47% of all MPS cases diagnosed and the combined birth prevalence is 1.89 per 100,000 live births. The birth prevalence of MPS II is 0.67 per 100,000 (1.30 per 100,000 male live births). All other MPSs are rare. The combined birth prevalence for all MPSs is 4.5 per 100,000 live births. Mucolipidoses and oligosaccharidoses are very rare with birth prevalences between 0.04 and 0.20 for individual diseases. Only 49 cases were diagnosed between 1970 and 1996. Their combined birth prevalence is 1.0 per 100,000 live births.", "author" : [ { "dropping-particle" : "", "family" : "Poorthuis", "given" : "B. J H M", "non-dropping-particle" : "", "parse-names" : false, "suffix" : "" }, { "dropping-particle" : "", "family" : "Wevers", "given" : "Ron A.", "non-dropping-particle" : "", "parse-names" : false, "suffix" : "" }, { "dropping-particle" : "", "family" : "Kleijer", "given" : "Wim J.", "non-dropping-particle" : "", "parse-names" : false, "suffix" : "" }, { "dropping-particle" : "", "family" : "Groener", "given" : "J. E M", "non-dropping-particle" : "", "parse-names" : false, "suffix" : "" }, { "dropping-particle" : "", "family" : "Jong", "given" : "J. G N", "non-dropping-particle" : "De", "parse-names" : false, "suffix" : "" }, { "dropping-particle" : "", "family" : "Weely", "given" : "Sonja", "non-dropping-particle" : "Van", "parse-names" : false, "suffix" : "" }, { "dropping-particle" : "", "family" : "Niezen-Koning", "given" : "Klary E.", "non-dropping-particle" : "", "parse-names" : false, "suffix" : "" }, { "dropping-particle" : "", "family" : "Diggelen", "given" : "Otto P.", "non-dropping-particle" : "Van", "parse-names" : false, "suffix" : "" } ], "container-title" : "Human Genetics", "id" : "ITEM-1", "issue" : "1-2", "issued" : { "date-parts" : [ [ "1999" ] ] }, "page" : "151-156", "title" : "The frequency of lysosomal storage diseases in The Netherlands", "type" : "article-journal", "volume" : "105" }, "uris" : [ "http://www.mendeley.com/documents/?uuid=6fa0806d-61b7-47d1-9109-bf7a7476e662" ] } ], "mendeley" : { "formattedCitation" : "&lt;sup&gt;17&lt;/sup&gt;", "plainTextFormattedCitation" : "17", "previouslyFormattedCitation" : "&lt;sup&gt;17&lt;/sup&gt;"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17</w:t>
      </w:r>
      <w:r w:rsidRPr="003F585B">
        <w:rPr>
          <w:rFonts w:ascii="Arial" w:hAnsi="Arial" w:cs="Arial"/>
          <w:sz w:val="24"/>
          <w:szCs w:val="24"/>
        </w:rPr>
        <w:fldChar w:fldCharType="end"/>
      </w:r>
      <w:r w:rsidR="0071094F">
        <w:rPr>
          <w:rFonts w:ascii="Arial" w:hAnsi="Arial" w:cs="Arial"/>
          <w:sz w:val="24"/>
          <w:szCs w:val="24"/>
        </w:rPr>
        <w:t>.</w:t>
      </w:r>
    </w:p>
    <w:p w:rsidR="00B31016" w:rsidRDefault="00B31016" w:rsidP="00491682">
      <w:pPr>
        <w:spacing w:after="0" w:line="360" w:lineRule="auto"/>
        <w:jc w:val="both"/>
        <w:rPr>
          <w:rFonts w:ascii="Arial" w:hAnsi="Arial" w:cs="Arial"/>
          <w:sz w:val="24"/>
          <w:szCs w:val="24"/>
        </w:rPr>
      </w:pPr>
    </w:p>
    <w:p w:rsidR="00EB34BF" w:rsidRPr="003F585B" w:rsidRDefault="0071094F" w:rsidP="00491682">
      <w:pPr>
        <w:spacing w:after="0" w:line="360" w:lineRule="auto"/>
        <w:jc w:val="both"/>
        <w:rPr>
          <w:rFonts w:ascii="Arial" w:hAnsi="Arial" w:cs="Arial"/>
          <w:sz w:val="24"/>
          <w:szCs w:val="24"/>
        </w:rPr>
      </w:pPr>
      <w:r>
        <w:rPr>
          <w:rFonts w:ascii="Arial" w:hAnsi="Arial" w:cs="Arial"/>
          <w:sz w:val="24"/>
          <w:szCs w:val="24"/>
        </w:rPr>
        <w:t>Existe ainda</w:t>
      </w:r>
      <w:r w:rsidR="00EB34BF" w:rsidRPr="003F585B">
        <w:rPr>
          <w:rFonts w:ascii="Arial" w:hAnsi="Arial" w:cs="Arial"/>
          <w:sz w:val="24"/>
          <w:szCs w:val="24"/>
        </w:rPr>
        <w:t xml:space="preserve"> variação da incidência para os diferentes tipos de MPS, sendo a tipo I a mais frequente na Alemanha e Holanda (0,69 e 1,19 por 100.000 nascidos vivos, respectivamente</w:t>
      </w:r>
      <w:r w:rsidR="00EB34BF"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"10.1007/s10545-005-0112-z", "ISBN" : "0141-8955 (Print)", "ISSN" : "01418955", "PMID" : "16435194", "abstract" : "In order to estimate the cumulative incidence rates of the mucopolysaccharidoses (MPS) in Germany, a retrospective epidemiological survey covering the period between 1980 and 1995 was implemented. Multiple ascertainment sources were used to identify affected patients. A prevalence of approximately 0.69 cases per 100,000 births was obtained for MPS I (Hurler phenotype). Within the study period, 4 patients with Hurler/Scheie phenotype and 7 cases with Scheie disease were detected. The cumulative incidence for MPS II (Hunter syndrome) was estimated as 0.64 cases per 100,000 births (1.3 cases per 100,000 male live births); that for MPS III (Sanfilippo syndrome types A, B and C) as 1.57 cases in 100,000 births; that for MPS IV A (Morquio syndrome) as 0.38 cases in 100,000; and that for MPS VI (Maroteaux-Lamy syndrome) as 0.23 cases per 100,000 births. Two cases of MPS IVB (beta-galactosidase deficiency) have been identified, but no patients with MPS VII or MPS IX. A relatively high number of patients with MPS IIIB, MPS IVA and MPS VI were of Turkish origin. The crude rate for all types of mucopolysaccharidoses is approximately 3.53 cases in 100,000 live births. The cumulative incidence pattern of MPS in Germany was compared with the corresponding rates among other industrial nations obtained from recent literature: the crude cumulative rates for all types of mucopolysaccharidoses (3.4-4.5 in 100,000 live births) were similar among all published populations; however, different frequencies of the various forms of MPS were observed.", "author" : [ { "dropping-particle" : "", "family" : "Baehner", "given" : "F.", "non-dropping-particle" : "", "parse-names" : false, "suffix" : "" }, { "dropping-particle" : "", "family" : "Schmiedeskamp", "given" : "C.", "non-dropping-particle" : "", "parse-names" : false, "suffix" : "" }, { "dropping-particle" : "", "family" : "Krummenauer", "given" : "F.", "non-dropping-particle" : "", "parse-names" : false, "suffix" : "" }, { "dropping-particle" : "", "family" : "Miebach", "given" : "E.", "non-dropping-particle" : "", "parse-names" : false, "suffix" : "" }, { "dropping-particle" : "", "family" : "Bajbouj", "given" : "M.", "non-dropping-particle" : "", "parse-names" : false, "suffix" : "" }, { "dropping-particle" : "", "family" : "Whybra", "given" : "C.", "non-dropping-particle" : "", "parse-names" : false, "suffix" : "" }, { "dropping-particle" : "", "family" : "Kohlsch\u00fctter", "given" : "A.", "non-dropping-particle" : "", "parse-names" : false, "suffix" : "" }, { "dropping-particle" : "", "family" : "Kampmann", "given" : "C.", "non-dropping-particle" : "", "parse-names" : false, "suffix" : "" }, { "dropping-particle" : "", "family" : "Beck", "given" : "M.", "non-dropping-particle" : "", "parse-names" : false, "suffix" : "" } ], "container-title" : "Journal of Inherited Metabolic Disease", "id" : "ITEM-1", "issue" : "6", "issued" : { "date-parts" : [ [ "2005" ] ] }, "page" : "1011-1017", "title" : "Cumulative incidence rates of the mucopolysaccharidoses in Germany", "type" : "article-journal", "volume" : "28" }, "uris" : [ "http://www.mendeley.com/documents/?uuid=1ed05213-105b-4d72-afb6-b8f9975164b4" ] }, { "id" : "ITEM-2", "itemData" : { "DOI" : "10.1007/s004399900075", "ISBN" : "0340-6717 (Print)\\r0340-6717 (Linking)", "ISSN" : "03406717", "PMID" : "10480370", "abstract" : "We have calculated the relative frequency and the birth prevalence of lysosomal storage diseases (LSDs) in The Netherlands based on all 963 enzymatically confirmed cases diagnosed during the period 1970-1996. The combined birth prevalence for all LSDs is 14 per 100,000 live births. Glycogenosis type II is the most frequent LSD with a birth prevalence of 2.0 per 100,000 live births, representing 17% of all diagnosed cases. Within the group of lipidoses, metachromatic leukodystrophy (MLD) is the most frequent LSD. MLD was diagnosed in 24% of lipidoses and the calculated birth prevalence was 1.42 per 100,000 for all types combined. Krabbe disease, diagnosed in 17% of cases, also belongs to the more frequent lipid storage diseases in The Netherlands with a birth prevalence of 1.35 per 100,000. The birth prevalence of Gaucher disease, commonly regarded as the most frequent lipid storage disease is 1.16 per 100,000 for all types combined. The combined birth prevalence for all lipid storage diseases is 6.2 per 100,000 live births. Within the group of mucopolysaccharidoses (MPSs), MPS I has the highest calculated birth prevalence of 1.19 per 100,000 (25% of all cases of MPS diagnosed), which is slightly more frequent than MPS IIIA with an estimated birth prevalence of 1.16 per 100,000. As a group, MPS III comprises 47% of all MPS cases diagnosed and the combined birth prevalence is 1.89 per 100,000 live births. The birth prevalence of MPS II is 0.67 per 100,000 (1.30 per 100,000 male live births). All other MPSs are rare. The combined birth prevalence for all MPSs is 4.5 per 100,000 live births. Mucolipidoses and oligosaccharidoses are very rare with birth prevalences between 0.04 and 0.20 for individual diseases. Only 49 cases were diagnosed between 1970 and 1996. Their combined birth prevalence is 1.0 per 100,000 live births.", "author" : [ { "dropping-particle" : "", "family" : "Poorthuis", "given" : "B. J H M", "non-dropping-particle" : "", "parse-names" : false, "suffix" : "" }, { "dropping-particle" : "", "family" : "Wevers", "given" : "Ron A.", "non-dropping-particle" : "", "parse-names" : false, "suffix" : "" }, { "dropping-particle" : "", "family" : "Kleijer", "given" : "Wim J.", "non-dropping-particle" : "", "parse-names" : false, "suffix" : "" }, { "dropping-particle" : "", "family" : "Groener", "given" : "J. E M", "non-dropping-particle" : "", "parse-names" : false, "suffix" : "" }, { "dropping-particle" : "", "family" : "Jong", "given" : "J. G N", "non-dropping-particle" : "De", "parse-names" : false, "suffix" : "" }, { "dropping-particle" : "", "family" : "Weely", "given" : "Sonja", "non-dropping-particle" : "Van", "parse-names" : false, "suffix" : "" }, { "dropping-particle" : "", "family" : "Niezen-Koning", "given" : "Klary E.", "non-dropping-particle" : "", "parse-names" : false, "suffix" : "" }, { "dropping-particle" : "", "family" : "Diggelen", "given" : "Otto P.", "non-dropping-particle" : "Van", "parse-names" : false, "suffix" : "" } ], "container-title" : "Human Genetics", "id" : "ITEM-2", "issue" : "1-2", "issued" : { "date-parts" : [ [ "1999" ] ] }, "page" : "151-156", "title" : "The frequency of lysosomal storage diseases in The Netherlands", "type" : "article-journal", "volume" : "105" }, "uris" : [ "http://www.mendeley.com/documents/?uuid=6fa0806d-61b7-47d1-9109-bf7a7476e662" ] } ], "mendeley" : { "formattedCitation" : "&lt;sup&gt;15,17&lt;/sup&gt;", "plainTextFormattedCitation" : "15,17", "previouslyFormattedCitation" : "&lt;sup&gt;15,17&lt;/sup&gt;" }, "properties" : { "noteIndex" : 0 }, "schema" : "https://github.com/citation-style-language/schema/raw/master/csl-citation.json" }</w:instrText>
      </w:r>
      <w:r w:rsidR="00EB34BF" w:rsidRPr="003F585B">
        <w:rPr>
          <w:rFonts w:ascii="Arial" w:hAnsi="Arial" w:cs="Arial"/>
          <w:sz w:val="24"/>
          <w:szCs w:val="24"/>
        </w:rPr>
        <w:fldChar w:fldCharType="separate"/>
      </w:r>
      <w:r w:rsidR="001F649C" w:rsidRPr="001F649C">
        <w:rPr>
          <w:rFonts w:ascii="Arial" w:hAnsi="Arial" w:cs="Arial"/>
          <w:noProof/>
          <w:sz w:val="24"/>
          <w:szCs w:val="24"/>
          <w:vertAlign w:val="superscript"/>
        </w:rPr>
        <w:t>15,17</w:t>
      </w:r>
      <w:r w:rsidR="00EB34BF" w:rsidRPr="003F585B">
        <w:rPr>
          <w:rFonts w:ascii="Arial" w:hAnsi="Arial" w:cs="Arial"/>
          <w:sz w:val="24"/>
          <w:szCs w:val="24"/>
        </w:rPr>
        <w:fldChar w:fldCharType="end"/>
      </w:r>
      <w:r w:rsidR="00EB34BF" w:rsidRPr="003F585B">
        <w:rPr>
          <w:rFonts w:ascii="Arial" w:hAnsi="Arial" w:cs="Arial"/>
          <w:sz w:val="24"/>
          <w:szCs w:val="24"/>
        </w:rPr>
        <w:t>) e a tipo II, em Taiwan (1,07 por 100.000 nascidos vivos</w:t>
      </w:r>
      <w:r w:rsidR="00EB34BF"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"10.1002/ajmg.a.32781", "ISBN" : "1552-4825\\r1552-4833", "ISSN" : "15524825", "PMID" : "19396827", "abstract" : "Previous studies on the incidence of the various types of mucopolysaccharidoses (MPS) in different populations have shown considerable variation. However, information regarding the incidence of MPS in the Asian population is lacking. An epidemiological study of the MPS disorders in Taiwan using multiple ascertainment sources was undertaken, and incidences of different types of MPS during the period of 1984-2004 were estimated. We compared our data with previous reports in different populations. The combined birth incidence for all MPS cases was 2.04 per 100,000 live births. MPS II (Hunter syndrome) had the highest calculated birth incidence of 1.07 per 100,000 live births (2.05 per 100,000 male live births), comprising 52% of all MPS cases diagnosed. The birth incidences of MPS I (Hurler syndrome), III (Sanfilippo syndrome), IV (Morquio syndrome), and VI (Maroteaux-Lamy syndrome) were 0.11, 0.39, 0.33, and 0.14 per 100,000 live births, respectively, which accounted for 6%, 19%, 16%, and 7% of all MPS, respectively. No cases of MPS III D (Sanfilippo syndrome type D), MPS IV B (Morquio syndrome type B), MPS VII (Sly syndrome) or MPS IX were ascertained during the study period. Overall incidence of MPS in Taiwan was consistent with that reported in Western populations. However, in contrast to the higher incidence of MPS I in most Western populations, this study showed a higher incidence of MPS II in Taiwan. It remains to be investigated whether this discrepancy is attributed to the under-diagnosis of MPS I in Taiwan or to ethnic differences.", "author" : [ { "dropping-particle" : "", "family" : "Lin", "given" : "Hsiang Yu", "non-dropping-particle" : "", "parse-names" : false, "suffix" : "" }, { "dropping-particle" : "", "family" : "Lin", "given" : "Shuan Pei", "non-dropping-particle" : "", "parse-names" : false, "suffix" : "" }, { "dropping-particle" : "", "family" : "Chuang", "given" : "Chih Kuang", "non-dropping-particle" : "", "parse-names" : false, "suffix" : "" }, { "dropping-particle" : "", "family" : "Niu", "given" : "Dau Ming", "non-dropping-particle" : "", "parse-names" : false, "suffix" : "" }, { "dropping-particle" : "", "family" : "Chen", "given" : "Ming Ren", "non-dropping-particle" : "", "parse-names" : false, "suffix" : "" }, { "dropping-particle" : "", "family" : "Tsai", "given" : "Fuu Jen", "non-dropping-particle" : "", "parse-names" : false, "suffix" : "" }, { "dropping-particle" : "", "family" : "Chao", "given" : "Mei Chyn", "non-dropping-particle" : "", "parse-names" : false, "suffix" : "" }, { "dropping-particle" : "", "family" : "Chiu", "given" : "Pao Ching", "non-dropping-particle" : "", "parse-names" : false, "suffix" : "" }, { "dropping-particle" : "", "family" : "Lin", "given" : "Shio Jean", "non-dropping-particle" : "", "parse-names" : false, "suffix" : "" }, { "dropping-particle" : "", "family" : "Tsai", "given" : "Li Ping", "non-dropping-particle" : "", "parse-names" : false, "suffix" : "" }, { "dropping-particle" : "", "family" : "Hwu", "given" : "Wuh Liang", "non-dropping-particle" : "", "parse-names" : false, "suffix" : "" }, { "dropping-particle" : "", "family" : "Lin", "given" : "Ju Li", "non-dropping-particle" : "", "parse-names" : false, "suffix" : "" } ], "container-title" : "American Journal of Medical Genetics, Part A", "id" : "ITEM-1", "issue" : "5", "issued" : { "date-parts" : [ [ "2009" ] ] }, "page" : "960-964", "title" : "Incidence of the Mucopolysaccharidoses in Taiwan, 1984-2004", "type" : "article-journal", "volume" : "149" }, "uris" : [ "http://www.mendeley.com/documents/?uuid=6d6ecaaf-e772-425e-acc4-4d26d939ee4f" ] } ], "mendeley" : { "formattedCitation" : "&lt;sup&gt;14&lt;/sup&gt;", "plainTextFormattedCitation" : "14", "previouslyFormattedCitation" : "&lt;sup&gt;14&lt;/sup&gt;" }, "properties" : { "noteIndex" : 0 }, "schema" : "https://github.com/citation-style-language/schema/raw/master/csl-citation.json" }</w:instrText>
      </w:r>
      <w:r w:rsidR="00EB34BF" w:rsidRPr="003F585B">
        <w:rPr>
          <w:rFonts w:ascii="Arial" w:hAnsi="Arial" w:cs="Arial"/>
          <w:sz w:val="24"/>
          <w:szCs w:val="24"/>
        </w:rPr>
        <w:fldChar w:fldCharType="separate"/>
      </w:r>
      <w:r w:rsidR="001F649C" w:rsidRPr="001F649C">
        <w:rPr>
          <w:rFonts w:ascii="Arial" w:hAnsi="Arial" w:cs="Arial"/>
          <w:noProof/>
          <w:sz w:val="24"/>
          <w:szCs w:val="24"/>
          <w:vertAlign w:val="superscript"/>
        </w:rPr>
        <w:t>14</w:t>
      </w:r>
      <w:r w:rsidR="00EB34BF" w:rsidRPr="003F585B">
        <w:rPr>
          <w:rFonts w:ascii="Arial" w:hAnsi="Arial" w:cs="Arial"/>
          <w:sz w:val="24"/>
          <w:szCs w:val="24"/>
        </w:rPr>
        <w:fldChar w:fldCharType="end"/>
      </w:r>
      <w:r w:rsidR="00EB34BF" w:rsidRPr="003F585B">
        <w:rPr>
          <w:rFonts w:ascii="Arial" w:hAnsi="Arial" w:cs="Arial"/>
          <w:sz w:val="24"/>
          <w:szCs w:val="24"/>
        </w:rPr>
        <w:t>).</w:t>
      </w:r>
      <w:r w:rsidR="003076E5">
        <w:rPr>
          <w:rFonts w:ascii="Arial" w:hAnsi="Arial" w:cs="Arial"/>
          <w:sz w:val="24"/>
          <w:szCs w:val="24"/>
        </w:rPr>
        <w:t xml:space="preserve"> </w:t>
      </w:r>
      <w:r w:rsidR="00EB34BF" w:rsidRPr="003F585B">
        <w:rPr>
          <w:rFonts w:ascii="Arial" w:hAnsi="Arial" w:cs="Arial"/>
          <w:sz w:val="24"/>
          <w:szCs w:val="24"/>
        </w:rPr>
        <w:t xml:space="preserve">No Brasil, a incidência de </w:t>
      </w:r>
      <w:r w:rsidR="003076E5">
        <w:rPr>
          <w:rFonts w:ascii="Arial" w:hAnsi="Arial" w:cs="Arial"/>
          <w:sz w:val="24"/>
          <w:szCs w:val="24"/>
        </w:rPr>
        <w:t>MPS</w:t>
      </w:r>
      <w:r w:rsidR="00EB34BF" w:rsidRPr="003F585B">
        <w:rPr>
          <w:rFonts w:ascii="Arial" w:hAnsi="Arial" w:cs="Arial"/>
          <w:sz w:val="24"/>
          <w:szCs w:val="24"/>
        </w:rPr>
        <w:t xml:space="preserve"> não é totalmente conhecida, em virtude das dificuldades para acesso aos serviços de saúde</w:t>
      </w:r>
      <w:r w:rsidR="007004E0">
        <w:rPr>
          <w:rFonts w:ascii="Arial" w:hAnsi="Arial" w:cs="Arial"/>
          <w:sz w:val="24"/>
          <w:szCs w:val="24"/>
        </w:rPr>
        <w:t>.</w:t>
      </w:r>
      <w:r w:rsidR="00EB34BF"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"10.1016/j.ymgme.2011.09.017", "ISBN" : "1096-7192\\r1096-7206", "ISSN" : "10967192", "PMID" : "21996138", "URL" : "http://dx.doi.org/10.1016/j.ymgme.2011.09.017", "abstract" : "Mucopolysaccharidosis type VI (MPS VI, Maroteaux-Lamy syndrome) is a lysosomal storage disease caused by deficiency of arylsulphatase B. The incidence of MPS VI is very low, usually less than 1 case for every 1,000,000 newborns. In Northeast Brazil we identified in the county of Monte Santo (52,360 inhabitants) thirteen patients with MPS VI. The aim of this work was to identify the mutation(s) present in these patients and analyze intragenic SNPs to define possible haplotypes. The 13 MPS VI patients were found to be homozygous for the p.H178L mutation. All patients have the same haplotype for the intragenic SNPs. Based on current data, the prevalence of MPS VI in this region is estimated as 1:5,000 newborns. These results, together with pedigree analysis, strongly suggest a founder effect accounting for the high frequency of p.H178L mutation in this area. This reinforces the need of a comprehensive community genetics program for this area. \u00a9 2011 Elsevier Inc.", "author" : [ { "dropping-particle" : "", "family" : "Costa-Motta", "given" : "Fabiana Moura", "non-dropping-particle" : "", "parse-names" : false, "suffix" : "" }, { "dropping-particle" : "", "family" : "Acosta", "given" : "Angelina Xavier", "non-dropping-particle" : "", "parse-names" : false, "suffix" : "" }, { "dropping-particle" : "", "family" : "Ab\u00e9-Sandes", "given" : "Kiyoko", "non-dropping-particle" : "", "parse-names" : false, "suffix" : "" }, { "dropping-particle" : "", "family" : "Bender", "given" : "Fernanda", "non-dropping-particle" : "", "parse-names" : false, "suffix" : "" }, { "dropping-particle" : "", "family" : "Schwartz", "given" : "Ida Vanessa D", "non-dropping-particle" : "", "parse-names" : false, "suffix" : "" }, { "dropping-particle" : "", "family" : "Giugliani", "given" : "Roberto", "non-dropping-particle" : "", "parse-names" : false, "suffix" : "" }, { "dropping-particle" : "", "family" : "Leistner-Segal", "given" : "Sandra", "non-dropping-particle" : "", "parse-names" : false, "suffix" : "" } ], "container-title" : "Molecular Genetics and Metabolism", "id" : "ITEM-1", "issue" : "4", "issued" : { "date-parts" : [ [ "2011" ] ] }, "page" : "603-607", "publisher" : "Elsevier Inc.", "title" : "Genetic studies in a cluster of Mucopolysaccharidosis Type VI patients in Northeast Brazil", "type" : "webpage", "volume" : "104" }, "uris" : [ "http://www.mendeley.com/documents/?uuid=9a72bec9-1237-4bad-8022-0fcc45438951" ] } ], "mendeley" : { "formattedCitation" : "&lt;sup&gt;38&lt;/sup&gt;", "plainTextFormattedCitation" : "38", "previouslyFormattedCitation" : "&lt;sup&gt;38&lt;/sup&gt;" }, "properties" : { "noteIndex" : 0 }, "schema" : "https://github.com/citation-style-language/schema/raw/master/csl-citation.json" }</w:instrText>
      </w:r>
      <w:r w:rsidR="00EB34BF" w:rsidRPr="003F585B">
        <w:rPr>
          <w:rFonts w:ascii="Arial" w:hAnsi="Arial" w:cs="Arial"/>
          <w:sz w:val="24"/>
          <w:szCs w:val="24"/>
        </w:rPr>
        <w:fldChar w:fldCharType="separate"/>
      </w:r>
      <w:r w:rsidR="001F649C" w:rsidRPr="001F649C">
        <w:rPr>
          <w:rFonts w:ascii="Arial" w:hAnsi="Arial" w:cs="Arial"/>
          <w:noProof/>
          <w:sz w:val="24"/>
          <w:szCs w:val="24"/>
          <w:vertAlign w:val="superscript"/>
        </w:rPr>
        <w:t>38</w:t>
      </w:r>
      <w:r w:rsidR="00EB34BF" w:rsidRPr="003F585B">
        <w:rPr>
          <w:rFonts w:ascii="Arial" w:hAnsi="Arial" w:cs="Arial"/>
          <w:sz w:val="24"/>
          <w:szCs w:val="24"/>
        </w:rPr>
        <w:fldChar w:fldCharType="end"/>
      </w:r>
      <w:r w:rsidR="00EB34BF" w:rsidRPr="003F585B">
        <w:rPr>
          <w:rFonts w:ascii="Arial" w:hAnsi="Arial" w:cs="Arial"/>
          <w:sz w:val="24"/>
          <w:szCs w:val="24"/>
        </w:rPr>
        <w:t xml:space="preserve"> Apesar disto, no período entre 2004 até 2012, 983 pessoas foram diagnosticadas com </w:t>
      </w:r>
      <w:r w:rsidR="003076E5">
        <w:rPr>
          <w:rFonts w:ascii="Arial" w:hAnsi="Arial" w:cs="Arial"/>
          <w:sz w:val="24"/>
          <w:szCs w:val="24"/>
        </w:rPr>
        <w:t>a doença</w:t>
      </w:r>
      <w:r w:rsidR="00EB34BF">
        <w:rPr>
          <w:rFonts w:ascii="Arial" w:hAnsi="Arial" w:cs="Arial"/>
          <w:sz w:val="24"/>
          <w:szCs w:val="24"/>
        </w:rPr>
        <w:t xml:space="preserve"> no país </w:t>
      </w:r>
      <w:r w:rsidR="00EB34BF" w:rsidRPr="003F585B">
        <w:rPr>
          <w:rFonts w:ascii="Arial" w:hAnsi="Arial" w:cs="Arial"/>
          <w:sz w:val="24"/>
          <w:szCs w:val="24"/>
        </w:rPr>
        <w:t>– 194 com tipo I, 292 com tipo II, 134 com tipo III (37 tipo III-A, 68 tipo III-B e 29 tipo III-C), 121 com MPS tipo IV (113 tipo IV-A e 8 tipo IV-B), 230 com tipo VI e 12 pessoas com MPS tipo VII</w:t>
      </w:r>
      <w:r w:rsidR="007004E0">
        <w:rPr>
          <w:rFonts w:ascii="Arial" w:hAnsi="Arial" w:cs="Arial"/>
          <w:sz w:val="24"/>
          <w:szCs w:val="24"/>
        </w:rPr>
        <w:t>.</w:t>
      </w:r>
      <w:r w:rsidR="00EB34BF"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"author" : [ { "dropping-particle" : "", "family" : "Facchin", "given" : "Ana Carolinna Brusius", "non-dropping-particle" : "", "parse-names" : false, "suffix" : "" } ], "id" : "ITEM-1", "issued" : { "date-parts" : [ [ "2012" ] ] }, "number-of-pages" : "1-105", "publisher" : "Universidade Federal do Rio Grande do Sul", "title" : "An\u00e1lise molecular de pacientes com mucopolissacaridose tipo II", "type" : "thesis" }, "uris" : [ "http://www.mendeley.com/documents/?uuid=a08b1d03-ba9f-4c7d-b5b8-861a96118f95" ] } ], "mendeley" : { "formattedCitation" : "&lt;sup&gt;39&lt;/sup&gt;", "plainTextFormattedCitation" : "39", "previouslyFormattedCitation" : "&lt;sup&gt;39&lt;/sup&gt;" }, "properties" : { "noteIndex" : 0 }, "schema" : "https://github.com/citation-style-language/schema/raw/master/csl-citation.json" }</w:instrText>
      </w:r>
      <w:r w:rsidR="00EB34BF" w:rsidRPr="003F585B">
        <w:rPr>
          <w:rFonts w:ascii="Arial" w:hAnsi="Arial" w:cs="Arial"/>
          <w:sz w:val="24"/>
          <w:szCs w:val="24"/>
        </w:rPr>
        <w:fldChar w:fldCharType="separate"/>
      </w:r>
      <w:r w:rsidR="001F649C" w:rsidRPr="001F649C">
        <w:rPr>
          <w:rFonts w:ascii="Arial" w:hAnsi="Arial" w:cs="Arial"/>
          <w:noProof/>
          <w:sz w:val="24"/>
          <w:szCs w:val="24"/>
          <w:vertAlign w:val="superscript"/>
        </w:rPr>
        <w:t>39</w:t>
      </w:r>
      <w:r w:rsidR="00EB34BF" w:rsidRPr="003F585B">
        <w:rPr>
          <w:rFonts w:ascii="Arial" w:hAnsi="Arial" w:cs="Arial"/>
          <w:sz w:val="24"/>
          <w:szCs w:val="24"/>
        </w:rPr>
        <w:fldChar w:fldCharType="end"/>
      </w:r>
    </w:p>
    <w:p w:rsidR="00A62F69" w:rsidRDefault="00A62F69" w:rsidP="000E4ED3">
      <w:pPr>
        <w:spacing w:after="0" w:line="360" w:lineRule="auto"/>
        <w:jc w:val="both"/>
        <w:rPr>
          <w:rFonts w:ascii="Arial" w:hAnsi="Arial" w:cs="Arial"/>
          <w:sz w:val="24"/>
          <w:szCs w:val="24"/>
        </w:rPr>
      </w:pPr>
    </w:p>
    <w:p w:rsidR="00C0096D" w:rsidRPr="00446CA2" w:rsidRDefault="00C0096D" w:rsidP="000E4ED3">
      <w:pPr>
        <w:spacing w:after="0" w:line="360" w:lineRule="auto"/>
        <w:jc w:val="both"/>
        <w:rPr>
          <w:rFonts w:ascii="Arial" w:hAnsi="Arial" w:cs="Arial"/>
          <w:sz w:val="24"/>
          <w:szCs w:val="24"/>
        </w:rPr>
      </w:pPr>
      <w:r>
        <w:rPr>
          <w:rFonts w:ascii="Arial" w:hAnsi="Arial" w:cs="Arial"/>
          <w:sz w:val="24"/>
          <w:szCs w:val="24"/>
        </w:rPr>
        <w:t>A MPS tipo II, de acordo com a Rede MPS Brasil, uma iniciativa para promoção do diagnóstico e manejo das mucopolissacaridoses no país, é a mais frequentemente diagnosticada</w:t>
      </w:r>
      <w:r w:rsidR="00412B48">
        <w:rPr>
          <w:rFonts w:ascii="Arial" w:hAnsi="Arial" w:cs="Arial"/>
          <w:sz w:val="24"/>
          <w:szCs w:val="24"/>
        </w:rPr>
        <w:fldChar w:fldCharType="begin" w:fldLock="1"/>
      </w:r>
      <w:r w:rsidR="00412B48">
        <w:rPr>
          <w:rFonts w:ascii="Arial" w:hAnsi="Arial" w:cs="Arial"/>
          <w:sz w:val="24"/>
          <w:szCs w:val="24"/>
        </w:rPr>
        <w:instrText>ADDIN CSL_CITATION { "citationItems" : [ { "id" : "ITEM-1", "itemData" : { "author" : [ { "dropping-particle" : "", "family" : "Facchin", "given" : "Ana Carolinna Brusius", "non-dropping-particle" : "", "parse-names" : false, "suffix" : "" } ], "id" : "ITEM-1", "issued" : { "date-parts" : [ [ "2012" ] ] }, "number-of-pages" : "1-105", "publisher" : "Universidade Federal do Rio Grande do Sul", "title" : "An\u00e1lise molecular de pacientes com mucopolissacaridose tipo II", "type" : "thesis" }, "uris" : [ "http://www.mendeley.com/documents/?uuid=a08b1d03-ba9f-4c7d-b5b8-861a96118f95" ] } ], "mendeley" : { "formattedCitation" : "&lt;sup&gt;39&lt;/sup&gt;", "plainTextFormattedCitation" : "39", "previouslyFormattedCitation" : "&lt;sup&gt;39&lt;/sup&gt;" }, "properties" : { "noteIndex" : 0 }, "schema" : "https://github.com/citation-style-language/schema/raw/master/csl-citation.json" }</w:instrText>
      </w:r>
      <w:r w:rsidR="00412B48">
        <w:rPr>
          <w:rFonts w:ascii="Arial" w:hAnsi="Arial" w:cs="Arial"/>
          <w:sz w:val="24"/>
          <w:szCs w:val="24"/>
        </w:rPr>
        <w:fldChar w:fldCharType="separate"/>
      </w:r>
      <w:r w:rsidR="00412B48" w:rsidRPr="00412B48">
        <w:rPr>
          <w:rFonts w:ascii="Arial" w:hAnsi="Arial" w:cs="Arial"/>
          <w:noProof/>
          <w:sz w:val="24"/>
          <w:szCs w:val="24"/>
          <w:vertAlign w:val="superscript"/>
        </w:rPr>
        <w:t>39</w:t>
      </w:r>
      <w:r w:rsidR="00412B48">
        <w:rPr>
          <w:rFonts w:ascii="Arial" w:hAnsi="Arial" w:cs="Arial"/>
          <w:sz w:val="24"/>
          <w:szCs w:val="24"/>
        </w:rPr>
        <w:fldChar w:fldCharType="end"/>
      </w:r>
      <w:r>
        <w:rPr>
          <w:rFonts w:ascii="Arial" w:hAnsi="Arial" w:cs="Arial"/>
          <w:sz w:val="24"/>
          <w:szCs w:val="24"/>
        </w:rPr>
        <w:t xml:space="preserve">; e o tipo VI </w:t>
      </w:r>
      <w:r w:rsidR="004264CB">
        <w:rPr>
          <w:rFonts w:ascii="Arial" w:hAnsi="Arial" w:cs="Arial"/>
          <w:sz w:val="24"/>
          <w:szCs w:val="24"/>
        </w:rPr>
        <w:t xml:space="preserve">é </w:t>
      </w:r>
      <w:r w:rsidR="00545AAE">
        <w:rPr>
          <w:rFonts w:ascii="Arial" w:hAnsi="Arial" w:cs="Arial"/>
          <w:sz w:val="24"/>
          <w:szCs w:val="24"/>
        </w:rPr>
        <w:t>o mais prevalente</w:t>
      </w:r>
      <w:r w:rsidR="004264CB">
        <w:rPr>
          <w:rFonts w:ascii="Arial" w:hAnsi="Arial" w:cs="Arial"/>
          <w:sz w:val="24"/>
          <w:szCs w:val="24"/>
        </w:rPr>
        <w:t xml:space="preserve"> no Sudeste, seguido</w:t>
      </w:r>
      <w:r>
        <w:rPr>
          <w:rFonts w:ascii="Arial" w:hAnsi="Arial" w:cs="Arial"/>
          <w:sz w:val="24"/>
          <w:szCs w:val="24"/>
        </w:rPr>
        <w:t xml:space="preserve"> da região Nordeste</w:t>
      </w:r>
      <w:r w:rsidR="00412B48">
        <w:rPr>
          <w:rFonts w:ascii="Arial" w:hAnsi="Arial" w:cs="Arial"/>
          <w:sz w:val="24"/>
          <w:szCs w:val="24"/>
        </w:rPr>
        <w:fldChar w:fldCharType="begin" w:fldLock="1"/>
      </w:r>
      <w:r w:rsidR="00195481">
        <w:rPr>
          <w:rFonts w:ascii="Arial" w:hAnsi="Arial" w:cs="Arial"/>
          <w:sz w:val="24"/>
          <w:szCs w:val="24"/>
        </w:rPr>
        <w:instrText>ADDIN CSL_CITATION { "citationItems" : [ { "id" : "ITEM-1", "itemData" : { "author" : [ { "dropping-particle" : "", "family" : "Pereira", "given" : "Juliana Olavo", "non-dropping-particle" : "", "parse-names" : false, "suffix" : "" }, { "dropping-particle" : "", "family" : "Garbelini", "given" : "Maria Gabriela", "non-dropping-particle" : "", "parse-names" : false, "suffix" : "" }, { "dropping-particle" : "", "family" : "Palazzo", "given" : "V\u00edtor Costa", "non-dropping-particle" : "", "parse-names" : false, "suffix" : "" } ], "container-title" : "Rev Neurocienc", "id" : "ITEM-1", "issue" : "2", "issued" : { "date-parts" : [ [ "2011" ] ] }, "page" : "329-338", "title" : "Mucopolissacaridose tipo VI : evolu\u00e7\u00e3o natural, import\u00e2ncia diagn\u00f3stica e terap\u00eautica", "type" : "article-journal", "volume" : "19" }, "uris" : [ "http://www.mendeley.com/documents/?uuid=5e6ce99f-fbfd-481e-b86c-b83fc849f87b" ] } ], "mendeley" : { "formattedCitation" : "&lt;sup&gt;40&lt;/sup&gt;", "plainTextFormattedCitation" : "40", "previouslyFormattedCitation" : "&lt;sup&gt;40&lt;/sup&gt;" }, "properties" : { "noteIndex" : 0 }, "schema" : "https://github.com/citation-style-language/schema/raw/master/csl-citation.json" }</w:instrText>
      </w:r>
      <w:r w:rsidR="00412B48">
        <w:rPr>
          <w:rFonts w:ascii="Arial" w:hAnsi="Arial" w:cs="Arial"/>
          <w:sz w:val="24"/>
          <w:szCs w:val="24"/>
        </w:rPr>
        <w:fldChar w:fldCharType="separate"/>
      </w:r>
      <w:r w:rsidR="00412B48" w:rsidRPr="00412B48">
        <w:rPr>
          <w:rFonts w:ascii="Arial" w:hAnsi="Arial" w:cs="Arial"/>
          <w:noProof/>
          <w:sz w:val="24"/>
          <w:szCs w:val="24"/>
          <w:vertAlign w:val="superscript"/>
        </w:rPr>
        <w:t>40</w:t>
      </w:r>
      <w:r w:rsidR="00412B48">
        <w:rPr>
          <w:rFonts w:ascii="Arial" w:hAnsi="Arial" w:cs="Arial"/>
          <w:sz w:val="24"/>
          <w:szCs w:val="24"/>
        </w:rPr>
        <w:fldChar w:fldCharType="end"/>
      </w:r>
      <w:r w:rsidR="00412B48">
        <w:rPr>
          <w:rFonts w:ascii="Arial" w:hAnsi="Arial" w:cs="Arial"/>
          <w:sz w:val="24"/>
          <w:szCs w:val="24"/>
        </w:rPr>
        <w:t xml:space="preserve">. </w:t>
      </w:r>
      <w:r>
        <w:rPr>
          <w:rFonts w:ascii="Arial" w:hAnsi="Arial" w:cs="Arial"/>
          <w:sz w:val="24"/>
          <w:szCs w:val="24"/>
        </w:rPr>
        <w:t xml:space="preserve">Estudo desenvolvido na cidade de Monte Santo, município situado no Estado da Bahia, Nordeste do Brasil, constatou que a MPS tipo VI apresentou </w:t>
      </w:r>
      <w:r w:rsidR="00D31D0F">
        <w:rPr>
          <w:rFonts w:ascii="Arial" w:hAnsi="Arial" w:cs="Arial"/>
          <w:sz w:val="24"/>
          <w:szCs w:val="24"/>
        </w:rPr>
        <w:t>incidência</w:t>
      </w:r>
      <w:r>
        <w:rPr>
          <w:rFonts w:ascii="Arial" w:hAnsi="Arial" w:cs="Arial"/>
          <w:sz w:val="24"/>
          <w:szCs w:val="24"/>
        </w:rPr>
        <w:t xml:space="preserve"> maior </w:t>
      </w:r>
      <w:r w:rsidR="00A6336B">
        <w:rPr>
          <w:rFonts w:ascii="Arial" w:hAnsi="Arial" w:cs="Arial"/>
          <w:sz w:val="24"/>
          <w:szCs w:val="24"/>
        </w:rPr>
        <w:t>do que o estimado pela literatura</w:t>
      </w:r>
      <w:r w:rsidR="00412B48">
        <w:rPr>
          <w:rFonts w:ascii="Arial" w:hAnsi="Arial" w:cs="Arial"/>
          <w:sz w:val="24"/>
          <w:szCs w:val="24"/>
        </w:rPr>
        <w:t>:</w:t>
      </w:r>
      <w:r w:rsidR="00A6336B">
        <w:rPr>
          <w:rFonts w:ascii="Arial" w:hAnsi="Arial" w:cs="Arial"/>
          <w:sz w:val="24"/>
          <w:szCs w:val="24"/>
        </w:rPr>
        <w:t xml:space="preserve"> 1 </w:t>
      </w:r>
      <w:r w:rsidR="00B1488C">
        <w:rPr>
          <w:rFonts w:ascii="Arial" w:hAnsi="Arial" w:cs="Arial"/>
          <w:sz w:val="24"/>
          <w:szCs w:val="24"/>
        </w:rPr>
        <w:t xml:space="preserve">a cada </w:t>
      </w:r>
      <w:r w:rsidR="00A6336B">
        <w:rPr>
          <w:rFonts w:ascii="Arial" w:hAnsi="Arial" w:cs="Arial"/>
          <w:sz w:val="24"/>
          <w:szCs w:val="24"/>
        </w:rPr>
        <w:t>5.000 na</w:t>
      </w:r>
      <w:r w:rsidR="007B7B11">
        <w:rPr>
          <w:rFonts w:ascii="Arial" w:hAnsi="Arial" w:cs="Arial"/>
          <w:sz w:val="24"/>
          <w:szCs w:val="24"/>
        </w:rPr>
        <w:t>scidos vivos.</w:t>
      </w:r>
      <w:r w:rsidR="00AC10D6">
        <w:rPr>
          <w:rFonts w:ascii="Arial" w:hAnsi="Arial" w:cs="Arial"/>
          <w:sz w:val="24"/>
          <w:szCs w:val="24"/>
        </w:rPr>
        <w:t xml:space="preserve"> Ess</w:t>
      </w:r>
      <w:r w:rsidR="00D31D0F">
        <w:rPr>
          <w:rFonts w:ascii="Arial" w:hAnsi="Arial" w:cs="Arial"/>
          <w:sz w:val="24"/>
          <w:szCs w:val="24"/>
        </w:rPr>
        <w:t xml:space="preserve">a </w:t>
      </w:r>
      <w:r w:rsidR="00AC10D6">
        <w:rPr>
          <w:rFonts w:ascii="Arial" w:hAnsi="Arial" w:cs="Arial"/>
          <w:sz w:val="24"/>
          <w:szCs w:val="24"/>
        </w:rPr>
        <w:t>ocorrência</w:t>
      </w:r>
      <w:r w:rsidR="00D31D0F">
        <w:rPr>
          <w:rFonts w:ascii="Arial" w:hAnsi="Arial" w:cs="Arial"/>
          <w:sz w:val="24"/>
          <w:szCs w:val="24"/>
        </w:rPr>
        <w:t xml:space="preserve"> </w:t>
      </w:r>
      <w:r w:rsidR="00AC10D6">
        <w:rPr>
          <w:rFonts w:ascii="Arial" w:hAnsi="Arial" w:cs="Arial"/>
          <w:sz w:val="24"/>
          <w:szCs w:val="24"/>
        </w:rPr>
        <w:t xml:space="preserve">é </w:t>
      </w:r>
      <w:r w:rsidR="00D31D0F">
        <w:rPr>
          <w:rFonts w:ascii="Arial" w:hAnsi="Arial" w:cs="Arial"/>
          <w:sz w:val="24"/>
          <w:szCs w:val="24"/>
        </w:rPr>
        <w:t>maior do que a encontrada em outras regiões do mundo</w:t>
      </w:r>
      <w:r w:rsidR="00F45247">
        <w:rPr>
          <w:rFonts w:ascii="Arial" w:hAnsi="Arial" w:cs="Arial"/>
          <w:sz w:val="24"/>
          <w:szCs w:val="24"/>
        </w:rPr>
        <w:t xml:space="preserve"> (1</w:t>
      </w:r>
      <w:r w:rsidR="000A1BE1">
        <w:rPr>
          <w:rFonts w:ascii="Arial" w:hAnsi="Arial" w:cs="Arial"/>
          <w:sz w:val="24"/>
          <w:szCs w:val="24"/>
        </w:rPr>
        <w:t xml:space="preserve"> em </w:t>
      </w:r>
      <w:r w:rsidR="00F45247">
        <w:rPr>
          <w:rFonts w:ascii="Arial" w:hAnsi="Arial" w:cs="Arial"/>
          <w:sz w:val="24"/>
          <w:szCs w:val="24"/>
        </w:rPr>
        <w:t xml:space="preserve">43.261 </w:t>
      </w:r>
      <w:r w:rsidR="000A1BE1">
        <w:rPr>
          <w:rFonts w:ascii="Arial" w:hAnsi="Arial" w:cs="Arial"/>
          <w:sz w:val="24"/>
          <w:szCs w:val="24"/>
        </w:rPr>
        <w:t>nascimentos de imigrantes turcos</w:t>
      </w:r>
      <w:r w:rsidR="00A97F83">
        <w:rPr>
          <w:rFonts w:ascii="Arial" w:hAnsi="Arial" w:cs="Arial"/>
          <w:sz w:val="24"/>
          <w:szCs w:val="24"/>
        </w:rPr>
        <w:t xml:space="preserve"> que vive</w:t>
      </w:r>
      <w:r w:rsidR="000A1BE1">
        <w:rPr>
          <w:rFonts w:ascii="Arial" w:hAnsi="Arial" w:cs="Arial"/>
          <w:sz w:val="24"/>
          <w:szCs w:val="24"/>
        </w:rPr>
        <w:t>m</w:t>
      </w:r>
      <w:r w:rsidR="00A97F83">
        <w:rPr>
          <w:rFonts w:ascii="Arial" w:hAnsi="Arial" w:cs="Arial"/>
          <w:sz w:val="24"/>
          <w:szCs w:val="24"/>
        </w:rPr>
        <w:t xml:space="preserve"> na Alemanha</w:t>
      </w:r>
      <w:r w:rsidR="00545AAE">
        <w:rPr>
          <w:rFonts w:ascii="Arial" w:hAnsi="Arial" w:cs="Arial"/>
          <w:sz w:val="24"/>
          <w:szCs w:val="24"/>
        </w:rPr>
        <w:t>;</w:t>
      </w:r>
      <w:r w:rsidR="001B7572">
        <w:rPr>
          <w:rFonts w:ascii="Arial" w:hAnsi="Arial" w:cs="Arial"/>
          <w:sz w:val="24"/>
          <w:szCs w:val="24"/>
        </w:rPr>
        <w:t xml:space="preserve"> </w:t>
      </w:r>
      <w:r w:rsidR="000A1BE1">
        <w:rPr>
          <w:rFonts w:ascii="Arial" w:hAnsi="Arial" w:cs="Arial"/>
          <w:sz w:val="24"/>
          <w:szCs w:val="24"/>
        </w:rPr>
        <w:t xml:space="preserve">e 1 em </w:t>
      </w:r>
      <w:r w:rsidR="00F45247">
        <w:rPr>
          <w:rFonts w:ascii="Arial" w:hAnsi="Arial" w:cs="Arial"/>
          <w:sz w:val="24"/>
          <w:szCs w:val="24"/>
        </w:rPr>
        <w:t>1.505.160</w:t>
      </w:r>
      <w:r w:rsidR="000A1BE1">
        <w:rPr>
          <w:rFonts w:ascii="Arial" w:hAnsi="Arial" w:cs="Arial"/>
          <w:sz w:val="24"/>
          <w:szCs w:val="24"/>
        </w:rPr>
        <w:t xml:space="preserve"> nascimentos</w:t>
      </w:r>
      <w:r w:rsidR="00F45247">
        <w:rPr>
          <w:rFonts w:ascii="Arial" w:hAnsi="Arial" w:cs="Arial"/>
          <w:sz w:val="24"/>
          <w:szCs w:val="24"/>
        </w:rPr>
        <w:t xml:space="preserve"> na Suécia);</w:t>
      </w:r>
      <w:r w:rsidR="00D31D0F">
        <w:rPr>
          <w:rFonts w:ascii="Arial" w:hAnsi="Arial" w:cs="Arial"/>
          <w:sz w:val="24"/>
          <w:szCs w:val="24"/>
        </w:rPr>
        <w:t xml:space="preserve"> p</w:t>
      </w:r>
      <w:r w:rsidR="00A6336B">
        <w:rPr>
          <w:rFonts w:ascii="Arial" w:hAnsi="Arial" w:cs="Arial"/>
          <w:sz w:val="24"/>
          <w:szCs w:val="24"/>
        </w:rPr>
        <w:t>ossivelmente</w:t>
      </w:r>
      <w:r w:rsidR="007B7B11">
        <w:rPr>
          <w:rFonts w:ascii="Arial" w:hAnsi="Arial" w:cs="Arial"/>
          <w:sz w:val="24"/>
          <w:szCs w:val="24"/>
        </w:rPr>
        <w:t>,</w:t>
      </w:r>
      <w:r w:rsidR="00A6336B">
        <w:rPr>
          <w:rFonts w:ascii="Arial" w:hAnsi="Arial" w:cs="Arial"/>
          <w:sz w:val="24"/>
          <w:szCs w:val="24"/>
        </w:rPr>
        <w:t xml:space="preserve"> em virtude da alta taxa de endogamia</w:t>
      </w:r>
      <w:r w:rsidR="00D31D0F">
        <w:rPr>
          <w:rFonts w:ascii="Arial" w:hAnsi="Arial" w:cs="Arial"/>
          <w:sz w:val="24"/>
          <w:szCs w:val="24"/>
        </w:rPr>
        <w:t xml:space="preserve"> neste município.</w:t>
      </w:r>
      <w:r w:rsidR="00412B48">
        <w:rPr>
          <w:rFonts w:ascii="Arial" w:hAnsi="Arial" w:cs="Arial"/>
          <w:sz w:val="24"/>
          <w:szCs w:val="24"/>
        </w:rPr>
        <w:fldChar w:fldCharType="begin" w:fldLock="1"/>
      </w:r>
      <w:r w:rsidR="00412B48">
        <w:rPr>
          <w:rFonts w:ascii="Arial" w:hAnsi="Arial" w:cs="Arial"/>
          <w:sz w:val="24"/>
          <w:szCs w:val="24"/>
        </w:rPr>
        <w:instrText>ADDIN CSL_CITATION { "citationItems" : [ { "id" : "ITEM-1", "itemData" : { "DOI" : "10.1016/j.ymgme.2011.09.017", "ISBN" : "1096-7192\\r1096-7206", "ISSN" : "10967192", "PMID" : "21996138", "URL" : "http://dx.doi.org/10.1016/j.ymgme.2011.09.017", "abstract" : "Mucopolysaccharidosis type VI (MPS VI, Maroteaux-Lamy syndrome) is a lysosomal storage disease caused by deficiency of arylsulphatase B. The incidence of MPS VI is very low, usually less than 1 case for every 1,000,000 newborns. In Northeast Brazil we identified in the county of Monte Santo (52,360 inhabitants) thirteen patients with MPS VI. The aim of this work was to identify the mutation(s) present in these patients and analyze intragenic SNPs to define possible haplotypes. The 13 MPS VI patients were found to be homozygous for the p.H178L mutation. All patients have the same haplotype for the intragenic SNPs. Based on current data, the prevalence of MPS VI in this region is estimated as 1:5,000 newborns. These results, together with pedigree analysis, strongly suggest a founder effect accounting for the high frequency of p.H178L mutation in this area. This reinforces the need of a comprehensive community genetics program for this area. \u00a9 2011 Elsevier Inc.", "author" : [ { "dropping-particle" : "", "family" : "Costa-Motta", "given" : "Fabiana Moura", "non-dropping-particle" : "", "parse-names" : false, "suffix" : "" }, { "dropping-particle" : "", "family" : "Acosta", "given" : "Angelina Xavier"</w:instrText>
      </w:r>
      <w:r w:rsidR="00412B48" w:rsidRPr="00D31D0F">
        <w:rPr>
          <w:rFonts w:ascii="Arial" w:hAnsi="Arial" w:cs="Arial"/>
          <w:sz w:val="24"/>
          <w:szCs w:val="24"/>
        </w:rPr>
        <w:instrText xml:space="preserve">, </w:instrText>
      </w:r>
      <w:r w:rsidR="00412B48" w:rsidRPr="00446CA2">
        <w:rPr>
          <w:rFonts w:ascii="Arial" w:hAnsi="Arial" w:cs="Arial"/>
          <w:sz w:val="24"/>
          <w:szCs w:val="24"/>
        </w:rPr>
        <w:instrText>"non-dropping-particle" : "", "parse-names" : false, "suffix" : "" }, { "dropping-particle" : "", "family" : "Ab\u00e9-Sandes", "given" : "Kiyoko", "non-dropping-particle" : "", "parse-names" : false, "suffix" : "" }, { "dropping-particle" : "", "family" : "Bender", "given" : "Fernanda", "non-dropping-particle" : "", "parse-names" : false, "suffix" : "" }, { "dropping-particle" : "", "family" : "Schwartz", "given" : "Ida Vanessa D", "non-dropping-particle" : "", "parse-names" : false, "suffix" : "" }, { "dropping-particle" : "", "family" : "Giugliani", "given" : "Roberto", "non-dropping-particle" : "", "parse-names" : false, "suffix" : "" }, { "dropping-particle" : "", "family" : "Leistner-Segal", "given" : "Sandra", "non-dropping-particle" : "", "parse-names" : false, "suffix" : "" } ], "container-title" : "Molecular Genetics and Metabolism", "id" : "ITEM-1", "issue" : "4", "issued" : { "date-parts" : [ [ "2011" ] ] }, "page" : "603-607", "publisher" : "Elsevier Inc.", "title" : "Genetic studies in a cluster of Mucopolysaccharidosis Type VI patients in Northeast Brazil", "type" : "webpage", "volume" : "104" }, "uris" : [ "http://www.mendeley.com/documents/?uuid=9a72bec9-1237-4bad-8022-0fcc45438951" ] } ], "mendeley" : { "formattedCitation" : "&lt;sup&gt;38&lt;/sup&gt;", "plainTextFormattedCitation" : "38", "previouslyFormattedCitation" : "&lt;sup&gt;38&lt;/sup&gt;" }, "properties" : { "noteIndex" : 0 }, "schema" : "https://github.com/citation-style-language/schema/raw/master/csl-citation.json" }</w:instrText>
      </w:r>
      <w:r w:rsidR="00412B48">
        <w:rPr>
          <w:rFonts w:ascii="Arial" w:hAnsi="Arial" w:cs="Arial"/>
          <w:sz w:val="24"/>
          <w:szCs w:val="24"/>
        </w:rPr>
        <w:fldChar w:fldCharType="separate"/>
      </w:r>
      <w:r w:rsidR="00412B48" w:rsidRPr="00446CA2">
        <w:rPr>
          <w:rFonts w:ascii="Arial" w:hAnsi="Arial" w:cs="Arial"/>
          <w:noProof/>
          <w:sz w:val="24"/>
          <w:szCs w:val="24"/>
          <w:vertAlign w:val="superscript"/>
        </w:rPr>
        <w:t>38</w:t>
      </w:r>
      <w:r w:rsidR="00412B48">
        <w:rPr>
          <w:rFonts w:ascii="Arial" w:hAnsi="Arial" w:cs="Arial"/>
          <w:sz w:val="24"/>
          <w:szCs w:val="24"/>
        </w:rPr>
        <w:fldChar w:fldCharType="end"/>
      </w:r>
    </w:p>
    <w:p w:rsidR="00C0096D" w:rsidRPr="00446CA2" w:rsidRDefault="00C0096D" w:rsidP="000E4ED3">
      <w:pPr>
        <w:spacing w:after="0" w:line="360" w:lineRule="auto"/>
        <w:jc w:val="both"/>
        <w:rPr>
          <w:rFonts w:ascii="Arial" w:hAnsi="Arial" w:cs="Arial"/>
          <w:sz w:val="24"/>
          <w:szCs w:val="24"/>
        </w:rPr>
      </w:pPr>
    </w:p>
    <w:p w:rsidR="00EB34BF" w:rsidRPr="007B7B11" w:rsidRDefault="00EB34BF" w:rsidP="004D4A6B">
      <w:pPr>
        <w:pStyle w:val="Ttulo2"/>
      </w:pPr>
      <w:bookmarkStart w:id="7" w:name="_Toc496749601"/>
      <w:r w:rsidRPr="007B7B11">
        <w:t>3.</w:t>
      </w:r>
      <w:r w:rsidR="006418D0" w:rsidRPr="007B7B11">
        <w:t>1.</w:t>
      </w:r>
      <w:r w:rsidRPr="007B7B11">
        <w:t xml:space="preserve">2 Manifestações </w:t>
      </w:r>
      <w:r w:rsidR="00B3032F" w:rsidRPr="007B7B11">
        <w:t>físi</w:t>
      </w:r>
      <w:r w:rsidRPr="007B7B11">
        <w:t>cas</w:t>
      </w:r>
      <w:bookmarkEnd w:id="7"/>
    </w:p>
    <w:p w:rsidR="00EB34BF" w:rsidRPr="007B7B11" w:rsidRDefault="00EB34BF" w:rsidP="00EB34BF">
      <w:pPr>
        <w:spacing w:after="0" w:line="360" w:lineRule="auto"/>
        <w:jc w:val="both"/>
        <w:rPr>
          <w:rFonts w:ascii="Arial" w:hAnsi="Arial" w:cs="Arial"/>
          <w:sz w:val="24"/>
          <w:szCs w:val="24"/>
        </w:rPr>
      </w:pPr>
    </w:p>
    <w:p w:rsidR="00EB34BF" w:rsidRPr="003F585B" w:rsidRDefault="00EB34BF" w:rsidP="00491682">
      <w:pPr>
        <w:spacing w:after="0" w:line="360" w:lineRule="auto"/>
        <w:jc w:val="both"/>
        <w:rPr>
          <w:rFonts w:ascii="Arial" w:hAnsi="Arial" w:cs="Arial"/>
          <w:sz w:val="24"/>
          <w:szCs w:val="24"/>
        </w:rPr>
      </w:pPr>
      <w:r w:rsidRPr="007B7B11">
        <w:rPr>
          <w:rFonts w:ascii="Arial" w:hAnsi="Arial" w:cs="Arial"/>
          <w:sz w:val="24"/>
          <w:szCs w:val="24"/>
        </w:rPr>
        <w:t>Ao nascimento, a maioria dos pacientes com MPS é assintomática</w:t>
      </w:r>
      <w:r w:rsidR="007004E0" w:rsidRPr="00446CA2">
        <w:rPr>
          <w:rFonts w:ascii="Arial" w:hAnsi="Arial" w:cs="Arial"/>
          <w:sz w:val="24"/>
          <w:szCs w:val="24"/>
        </w:rPr>
        <w:t>.</w:t>
      </w:r>
      <w:r w:rsidRPr="003F585B">
        <w:rPr>
          <w:rFonts w:ascii="Arial" w:hAnsi="Arial" w:cs="Arial"/>
          <w:sz w:val="24"/>
          <w:szCs w:val="24"/>
        </w:rPr>
        <w:fldChar w:fldCharType="begin" w:fldLock="1"/>
      </w:r>
      <w:r w:rsidR="00195481" w:rsidRPr="00446CA2">
        <w:rPr>
          <w:rFonts w:ascii="Arial" w:hAnsi="Arial" w:cs="Arial"/>
          <w:sz w:val="24"/>
          <w:szCs w:val="24"/>
        </w:rPr>
        <w:instrText>ADDIN CSL_CITATION { "citationItems" : [ { "id" : "ITEM-1", "itemData" : { "DOI" : "10.1093/rheumatology/ker394", "ISBN"</w:instrText>
      </w:r>
      <w:r w:rsidR="00195481">
        <w:rPr>
          <w:rFonts w:ascii="Arial" w:hAnsi="Arial" w:cs="Arial"/>
          <w:sz w:val="24"/>
          <w:szCs w:val="24"/>
        </w:rPr>
        <w:instrText xml:space="preserve">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"id" : "ITEM-2", "itemData" : { "DOI" : "10.1016/j.ymgme.2013.06.007.Newborn", "author" : [ { "dropping-particle" : "", "family" : "Tomatsu", "given" : "Shunji", "non-dropping-particle" : "", "parse-names" : false, "suffix" : "" } ], "container-title" : "Mol Genet Metab", "id" : "ITEM-2", "issue" : "0", "issued" : { "date-parts" : [ [ "2014" ] ] }, "page" : "42-53", "title" : "Newborn screening and diagnosis of mucopolysaccharidoses", "type" : "article-journal", "volume" : "110" }, "uris" : [ "http://www.mendeley.com/documents/?uuid=5727db9d-5dcf-42f0-a331-ca2a5fb1fad0" ] } ], "mendeley" : { "formattedCitation" : "&lt;sup&gt;4,41&lt;/sup&gt;", "plainTextFormattedCitation" : "4,41", "previouslyFormattedCitation" : "&lt;sup&gt;4,41&lt;/sup&gt;"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4,41</w:t>
      </w:r>
      <w:r w:rsidRPr="003F585B">
        <w:rPr>
          <w:rFonts w:ascii="Arial" w:hAnsi="Arial" w:cs="Arial"/>
          <w:sz w:val="24"/>
          <w:szCs w:val="24"/>
        </w:rPr>
        <w:fldChar w:fldCharType="end"/>
      </w:r>
      <w:r w:rsidRPr="003F585B">
        <w:rPr>
          <w:rFonts w:ascii="Arial" w:hAnsi="Arial" w:cs="Arial"/>
          <w:sz w:val="24"/>
          <w:szCs w:val="24"/>
        </w:rPr>
        <w:t xml:space="preserve"> Mais tarde, ainda na infância, os indivíduos acometidos desenvolvem um largo espectro de sinais e sintomas comuns à doença, associados a outras características específicas aos diferentes tipos de MPS</w:t>
      </w:r>
      <w:r w:rsidR="007004E0">
        <w:rPr>
          <w:rFonts w:ascii="Arial" w:hAnsi="Arial" w:cs="Arial"/>
          <w:sz w:val="24"/>
          <w:szCs w:val="24"/>
        </w:rPr>
        <w:t>.</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"id" : "ITEM-2", "itemData" : { "DOI" : "10.1186/1546-0096-12-32", "ISSN" : "1546-0096", "PMID" : "25110468", "abstract" : "BACKGROUND: Children with mucopolysaccharidoses (MPS) often have musculoskeletal (MSK) abnormalities. Paediatric Gait, Arms, Legs, and Spine (pGALS), is a simple MSK assessment validated in school-age children to detect abnormal joints. We aimed to identify MSK abnormalities in children with MPS performing pGALS.\\n\\nMETHODS: Videos of children with a spectrum of MPS performing pGALS were analysed. A piloted proforma to record abnormalities for each pGALS manoeuvre observed in the videos (scored as normal/abnormal/not assessable) was used by three observers blinded to MPS subtype. Videos were scored independently and rescored for intra- and inter-observer consistency. Data were pooled and analysed.\\n\\nRESULTS: Eighteen videos of children [12 boys, 6 girls, median age 11 years (4-19)] with MPS (13 type I [5 Hurler, 8 attenuated type I]; 4 type II; 1 mannosidosis) were assessed. The most common abnormalities detected using pGALS were restrictions of the shoulder, elbow, wrist, jaw (&gt;75% cases), and fingers (2/3 cases). Mean intra-observer \u039a 0.74 (range 0.65-0.88) and inter-observer \u039a 0.62 (range 0.51-0.77). Hip manoeuvres were not clearly demonstrated in the videos.\\n\\nCONCLUSIONS: In this observational study, pGALS identifies MSK abnormalities in children with MPS. Restricted joint movement (especially upper limb) was a consistent finding. Future work includes pGALS assessment of the hip and testing pGALS in further children with attenuated MPS type I. The use of pGALS and awareness of patterns of joint involvement may be a useful adjunct to facilitate earlier recognition of these rare conditions and ultimately access to specialist care.", "author" : [ { "dropping-particle" : "", "family" : "Chan", "given" : "Mercedes O", "non-dropping-particle" : "", "parse-names" : false, "suffix" : "" }, { "dropping-particle" : "", "family" : "Sen", "given" : "Ethan S", "non-dropping-particle" : "", "parse-names" : false, "suffix" : "" }, { "dropping-particle" : "", "family" : "Hardy", "given" : "Elizabeth", "non-dropping-particle" : "", "parse-names" : false, "suffix" : "" }, { "dropping-particle" : "", "family" : "Hensman", "given" : "Pauline", "non-dropping-particle" : "", "parse-names" : false, "suffix" : "" }, { "dropping-particle" : "", "family" : "Wraith", "given" : "Edmond", "non-dropping-particle" : "", "parse-names" : false, "suffix" : "" }, { "dropping-particle" : "", "family" : "Jones", "given" : "Simon", "non-dropping-particle" : "", "parse-names" : false, "suffix" : "" }, { "dropping-particle" : "", "family" : "Rapley", "given" : "Tim", "non-dropping-particle" : "", "parse-names" : false, "suffix" : "" }, { "dropping-particle" : "", "family" : "Foster", "given" : "Helen E", "non-dropping-particle" : "", "parse-names" : false, "suffix" : "" } ], "container-title" : "Pediatric rheumatology online journal", "id" : "ITEM-2", "issue" : "32", "issued" : { "date-parts" : [ [ "2014" ] ] }, "page" : "1-9", "title" : "Assessment of musculoskeletal abnormalities in children with mucopolysaccharidoses using pGALS.", "type" : "article-journal", "volume" : "12" }, "uris" : [ "http://www.mendeley.com/documents/?uuid=bdf88c63-89a0-4de5-baa7-b0b8491d126a" ] } ], "mendeley" : { "formattedCitation" : "&lt;sup&gt;4,7&lt;/sup&gt;", "plainTextFormattedCitation" : "4,7", "previouslyFormattedCitation" : "&lt;sup&gt;4,7&lt;/sup&gt;"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4,7</w:t>
      </w:r>
      <w:r w:rsidRPr="003F585B">
        <w:rPr>
          <w:rFonts w:ascii="Arial" w:hAnsi="Arial" w:cs="Arial"/>
          <w:sz w:val="24"/>
          <w:szCs w:val="24"/>
        </w:rPr>
        <w:fldChar w:fldCharType="end"/>
      </w:r>
      <w:r w:rsidRPr="003F585B">
        <w:rPr>
          <w:rFonts w:ascii="Arial" w:hAnsi="Arial" w:cs="Arial"/>
          <w:sz w:val="24"/>
          <w:szCs w:val="24"/>
        </w:rPr>
        <w:t xml:space="preserve"> Estudo desenvolvido no Brasil refere que a média da idade no início das alterações clínicas em pacientes brasileiros foi de 18 meses e, ao diagnóstico, de 76 meses</w:t>
      </w:r>
      <w:r w:rsidR="007004E0">
        <w:rPr>
          <w:rFonts w:ascii="Arial" w:hAnsi="Arial" w:cs="Arial"/>
          <w:sz w:val="24"/>
          <w:szCs w:val="24"/>
        </w:rPr>
        <w:t>.</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"10.1002/ajmg.a.32320", "ISSN" : "15524825", "PMID" : "18546277", "abstract" : "Mucopolysaccharidoses (MPS) form a group of inherited metabolic disorders characterized by intralysosomal storage of glycosaminoglycans. This study aimed to investigate the path followed by Brazilian patients from birth to diagnosis. An interview was conducted with patient's parents or guardians with subsequent review of patient's medical records. One hundred thirteen patients with MPS were included (MPS I: 18, MPS II: 43, MPS IIIA: 2, MPS IIIB: 3, MPS IIIC: 1, MPS IVA: 15, MPS IVB: 1, MPS VI: 29, MPS VII: 1) from 97 families. Median age at the onset of signs/symptoms was 18 months (MPS I: 18, MPS II: 24, MPS IVA: 8, MPS VI: 8). Skeletal abnormalities (for MPS IVA and MPS VI), joint contractures (for MPS II), and typical facial features (for MPS I) were the most frequently reported first signs/symptoms. Several health professionals were involved in patient's care as of the onset of symptoms until biochemical diagnosis was established. Median age at diagnosis was 76 months (MPS I: 75, MPS II: 95, MPS IVA: 75, MPS VI: 52). Considering the group as a whole, there was a 4.8-year delay between the onset of signs/symptoms and the establishment of the diagnosis. Considering that specific therapies are available for some of these disorders and that early treatment is likely to change more favorably the natural history of the disease, efforts should be made to minimize this delay. We believe that this situation can be improved by measures that both increase awareness of health professionals about MPS and improve access to diagnostic tests.", "author" : [ { "dropping-particle" : "", "family" : "Vieira", "given" : "Taiane", "non-dropping-particle" : "", "parse-names" : false, "suffix" : "" }, { "dropping-particle" : "", "family" : "Schwartz", "given" : "Ida", "non-dropping-particle" : "", "parse-names" : false, "suffix" : "" }, { "dropping-particle" : "", "family" : "Mu\u00f1oz", "given" : "Ver\u00f3nica", "non-dropping-particle" : "", "parse-names" : false, "suffix" : "" }, { "dropping-particle" : "", "family" : "Pinto", "given" : "Louise", "non-dropping-particle" : "", "parse-names" : false, "suffix" : "" }, { "dropping-particle" : "", "family" : "Steiner", "given" : "Carlos", "non-dropping-particle" : "", "parse-names" : false, "suffix" : "" }, { "dropping-particle" : "", "family" : "Ribeiro", "given" : "M\u00e1rcia", "non-dropping-particle" : "", "parse-names" : false, "suffix" : "" }, { "dropping-particle" : "", "family" : "Boy", "given" : "Raquel", "non-dropping-particle" : "", "parse-names" : false, "suffix" : "" }, { "dropping-particle" : "", "family" : "Ferraz", "given" : "Victor", "non-dropping-particle" : "", "parse-names" : false, "suffix" : "" }, { "dropping-particle" : "", "family" : "Paula", "given" : "Ana", "non-dropping-particle" : "De", "parse-names" : false, "suffix" : "" }, { "dropping-particle" : "", "family" : "Kim", "given" : "Chong", "non-dropping-particle" : "", "parse-names" : false, "suffix" : "" }, { "dropping-particle" : "", "family" : "Acosta", "given" : "Angelina", "non-dropping-particle" : "", "parse-names" : false, "suffix" : "" }, { "dropping-particle" : "", "family" : "Giugliani", "given" : "Roberto", "non-dropping-particle" : "", "parse-names" : false, "suffix" : "" } ], "container-title" : "American Journal of Medical Genetics, Part A", "id" : "ITEM-1", "issue" : "13", "issued" : { "date-parts" : [ [ "2008" ] ] }, "page" : "1741-1747", "title" : "Mucopolysaccharidoses in Brazil: What happens from birth to biochemical diagnosis?", "type" : "article-journal", "volume" : "146" }, "uris" : [ "http://www.mendeley.com/documents/?uuid=c95bab34-473d-4850-8b09-2466ed3cf339" ] } ], "mendeley" : { "formattedCitation" : "&lt;sup&gt;42&lt;/sup&gt;", "plainTextFormattedCitation" : "42", "previouslyFormattedCitation" : "&lt;sup&gt;42&lt;/sup&gt;"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42</w:t>
      </w:r>
      <w:r w:rsidRPr="003F585B">
        <w:rPr>
          <w:rFonts w:ascii="Arial" w:hAnsi="Arial" w:cs="Arial"/>
          <w:sz w:val="24"/>
          <w:szCs w:val="24"/>
        </w:rPr>
        <w:fldChar w:fldCharType="end"/>
      </w:r>
      <w:r w:rsidRPr="003F585B">
        <w:rPr>
          <w:rFonts w:ascii="Arial" w:hAnsi="Arial" w:cs="Arial"/>
          <w:sz w:val="24"/>
          <w:szCs w:val="24"/>
        </w:rPr>
        <w:t xml:space="preserve"> Este intervalo entre o início das manifestações e o diagnóstico de MPS contribui para a instalação de danos irreversíveis sobre órgãos e sistemas</w:t>
      </w:r>
      <w:r w:rsidR="00EA3177">
        <w:rPr>
          <w:rFonts w:ascii="Arial" w:hAnsi="Arial" w:cs="Arial"/>
          <w:sz w:val="24"/>
          <w:szCs w:val="24"/>
        </w:rPr>
        <w:t xml:space="preserve">, </w:t>
      </w:r>
      <w:r w:rsidR="00115465">
        <w:rPr>
          <w:rFonts w:ascii="Arial" w:hAnsi="Arial" w:cs="Arial"/>
          <w:sz w:val="24"/>
          <w:szCs w:val="24"/>
        </w:rPr>
        <w:t>incluindo o cardíaco</w:t>
      </w:r>
      <w:r w:rsidR="00557D01">
        <w:rPr>
          <w:rFonts w:ascii="Arial" w:hAnsi="Arial" w:cs="Arial"/>
          <w:sz w:val="24"/>
          <w:szCs w:val="24"/>
        </w:rPr>
        <w:t>, respirat</w:t>
      </w:r>
      <w:r w:rsidR="00203EF9">
        <w:rPr>
          <w:rFonts w:ascii="Arial" w:hAnsi="Arial" w:cs="Arial"/>
          <w:sz w:val="24"/>
          <w:szCs w:val="24"/>
        </w:rPr>
        <w:t>ório, gastrointestinal</w:t>
      </w:r>
      <w:r w:rsidR="00F755AF">
        <w:rPr>
          <w:rFonts w:ascii="Arial" w:hAnsi="Arial" w:cs="Arial"/>
          <w:sz w:val="24"/>
          <w:szCs w:val="24"/>
        </w:rPr>
        <w:t>, musculoesquelético</w:t>
      </w:r>
      <w:r w:rsidR="00557D01">
        <w:rPr>
          <w:rFonts w:ascii="Arial" w:hAnsi="Arial" w:cs="Arial"/>
          <w:sz w:val="24"/>
          <w:szCs w:val="24"/>
        </w:rPr>
        <w:t xml:space="preserve"> e</w:t>
      </w:r>
      <w:r w:rsidR="00203EF9">
        <w:rPr>
          <w:rFonts w:ascii="Arial" w:hAnsi="Arial" w:cs="Arial"/>
          <w:sz w:val="24"/>
          <w:szCs w:val="24"/>
        </w:rPr>
        <w:t>,</w:t>
      </w:r>
      <w:r w:rsidR="00557D01">
        <w:rPr>
          <w:rFonts w:ascii="Arial" w:hAnsi="Arial" w:cs="Arial"/>
          <w:sz w:val="24"/>
          <w:szCs w:val="24"/>
        </w:rPr>
        <w:t xml:space="preserve"> também</w:t>
      </w:r>
      <w:r w:rsidR="00203EF9">
        <w:rPr>
          <w:rFonts w:ascii="Arial" w:hAnsi="Arial" w:cs="Arial"/>
          <w:sz w:val="24"/>
          <w:szCs w:val="24"/>
        </w:rPr>
        <w:t>,</w:t>
      </w:r>
      <w:r w:rsidR="00EA3177">
        <w:rPr>
          <w:rFonts w:ascii="Arial" w:hAnsi="Arial" w:cs="Arial"/>
          <w:sz w:val="24"/>
          <w:szCs w:val="24"/>
        </w:rPr>
        <w:t xml:space="preserve"> algum envolvimento de tecidos do sistema nervoso</w:t>
      </w:r>
      <w:r w:rsidR="007004E0">
        <w:rPr>
          <w:rFonts w:ascii="Arial" w:hAnsi="Arial" w:cs="Arial"/>
          <w:sz w:val="24"/>
          <w:szCs w:val="24"/>
        </w:rPr>
        <w:t>.</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"mendeley" : { "formattedCitation" : "&lt;sup&gt;4&lt;/sup&gt;", "plainTextFormattedCitation" : "4", "previouslyFormattedCitation" : "&lt;sup&gt;4&lt;/sup&gt;"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4</w:t>
      </w:r>
      <w:r w:rsidRPr="003F585B">
        <w:rPr>
          <w:rFonts w:ascii="Arial" w:hAnsi="Arial" w:cs="Arial"/>
          <w:sz w:val="24"/>
          <w:szCs w:val="24"/>
        </w:rPr>
        <w:fldChar w:fldCharType="end"/>
      </w:r>
    </w:p>
    <w:p w:rsidR="00EB34BF" w:rsidRPr="003F585B" w:rsidRDefault="00EB34BF" w:rsidP="00491682">
      <w:pPr>
        <w:spacing w:after="0" w:line="360" w:lineRule="auto"/>
        <w:jc w:val="both"/>
        <w:rPr>
          <w:rFonts w:ascii="Arial" w:hAnsi="Arial" w:cs="Arial"/>
          <w:sz w:val="24"/>
          <w:szCs w:val="24"/>
        </w:rPr>
      </w:pPr>
      <w:r w:rsidRPr="003F585B">
        <w:rPr>
          <w:rFonts w:ascii="Arial" w:hAnsi="Arial" w:cs="Arial"/>
          <w:sz w:val="24"/>
          <w:szCs w:val="24"/>
        </w:rPr>
        <w:lastRenderedPageBreak/>
        <w:t>O comprometimento articular e ósseo são, geralmente, as manifestações clínicas iniciais encontradas nas MPS</w:t>
      </w:r>
      <w:r w:rsidR="00325F5A">
        <w:rPr>
          <w:rFonts w:ascii="Arial" w:hAnsi="Arial" w:cs="Arial"/>
          <w:sz w:val="24"/>
          <w:szCs w:val="24"/>
        </w:rPr>
        <w:t>.</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"10.1093/rheumatology/ker390", "ISBN" : "1462-0332 (Electronic)\\n1462-0324 (Linking)", "ISSN" : "14620324", "PMID" : "22210670", "abstract" : "The mucopolysaccharidoses (MPSs) often present a diagnostic challenge, particularly for patients who have more slowly progressive disease phenotypes, as early disease manifestations can be subtle or non-specific. However, certain types of bone and joint involvement should always prompt consideration of an MPS diagnosis, such as early joint involvement without classic inflammatory features or erosive bone lesions, claw hand, spinal deformities or dysostosis multiplex. All such patients should be referred to a geneticist or metabolic specialist for diagnostic evaluation. The earlier the diagnosis is made, the better the potential outcome of treatment. Each type of MPS is associated both with deficient activity of a specific lysosomal enzyme that degrades specific glycosaminoglycans (GAGs) and with abnormalities in urinary GAG excretion. MPS patients usually excrete excess GAG in urine and/or have different relative proportions of types of GAG in urine as compared with age-matched normal subjects. Although urinary GAG analyses (both quantitative and qualitative) can suggest the most likely type of MPS, diagnosis must be confirmed by enzyme assay. Multiple assays may be necessary to identify the disease subtype. Correct identification of the MPS type is essential to guide treatment and management decisions.", "author" : [ { "dropping-particle" : "", "family" : "Lehman", "given" : "Thomas J A", "non-dropping-particle" : "", "parse-names" : false, "suffix" : "" }, { "dropping-particle" : "", "family" : "Miller", "given" : "Nicole", "non-dropping-particle" : "", "parse-names" : false, "suffix" : "" }, { "dropping-particle" : "", "family" : "Norquist", "given" : "Becky", "non-dropping-particle" : "", "parse-names" : false, "suffix" : "" }, { "dropping-particle" : "", "family" : "Underhill", "given" : "Lisa", "non-dropping-particle" : "", "parse-names" : false, "suffix" : "" }, { "dropping-particle" : "", "family" : "Keutzer", "given" : "Joan", "non-dropping-particle" : "", "parse-names" : false, "suffix" : "" } ], "container-title" : "Rheumatology", "id" : "ITEM-1", "issue" : "SUPPL. 5", "issued" : { "date-parts" : [ [ "2011" ] ] }, "page" : "41-48", "title" : "Diagnosis of the mucopolysaccharidoses", "type" : "article-journal", "volume" : "50" }, "uris" : [ "http://www.mendeley.com/documents/?uuid=2d68b9fd-2729-4930-b57e-e756814a94b9" ] } ], "mendeley" : { "formattedCitation" : "&lt;sup&gt;8&lt;/sup&gt;", "plainTextFormattedCitation" : "8", "previouslyFormattedCitation" : "&lt;sup&gt;8&lt;/sup&gt;"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8</w:t>
      </w:r>
      <w:r w:rsidRPr="003F585B">
        <w:rPr>
          <w:rFonts w:ascii="Arial" w:hAnsi="Arial" w:cs="Arial"/>
          <w:sz w:val="24"/>
          <w:szCs w:val="24"/>
        </w:rPr>
        <w:fldChar w:fldCharType="end"/>
      </w:r>
      <w:r w:rsidRPr="003F585B">
        <w:rPr>
          <w:rFonts w:ascii="Arial" w:hAnsi="Arial" w:cs="Arial"/>
          <w:sz w:val="24"/>
          <w:szCs w:val="24"/>
        </w:rPr>
        <w:t xml:space="preserve"> A injúria articular precoce, sem características inflamatórias clássicas</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"10.1186/1546-0096-7-18", "ISBN" : "1546009671", "ISSN" : "1546-0096", "PMID" : "19852785", "abstract" : "Background: Undiagnosed patients with the attenuated form of mucopolysaccharidosis (MPS) type I often have joint symptoms in childhood that prompt referral to a rheumatologist. A survey conducted by Genzyme Corporation of 60 European and Canadian rheumatologists and pediatric rheumatologists demonstrated that &lt; 20% recognized signs and symptoms of MPS I or could identify appropriate diagnosis tests. These results prompted formation of an international working group of rheumatologists, pediatric rheumatologists, and experts on MPS I to formulate a rheumatology-based diagnostic algorithm. The resulting algorithm applies to all MPS disorders with musculoskeletal manifestations. Bone and joint manifestations are prominent among most patients with MPS disorders. These life-threatening lysosomal storage diseases are caused by deficient activity of specific enzymes involved in the degradation of glycosaminoglycans. Patients with attenuated MPS disease often experience diagnostic delays. Enzyme replacement therapy is now commercially available for MPS I (laronidase), MPS II (idursulfase), and MPS VI (galsulfase). Presentation of the hypothesis: Evolving joint pain and joint contractures in the absence of inflammation should always raise the suspicion of an MPS disorder. All such patients should undergo urinary glycosaminoglycan (uGAG) analysis (not spot tests for screening) in a reputable laboratory. Elevated uGAG levels and/or an abnormal uGAG pattern confirms an MPS disorder and specific enzyme testing will determine the MPS type. If uGAG analysis is unavailable and the patient exhibits any other common sign or symptom of an MPS disorder, such as corneal clouding, history of hernia surgery, frequent respiratory and/or ear, nose and throat infections; carpal tunnel syndrome, or heart murmur, proceed directly to enzymatic testing. Refer patients with confirmed MPS to a geneticist or metabolic specialist for further evaluation and treatment. Testing of the hypothesis: We propose that rheumatologists, pediatric rheumatologists, and orthopedists consider our diagnostic algorithm when evaluating patients with joint pain and joint contractures. Implications of the hypothesis: Children and young adults can suffer for years and sometimes even decades with unrecognized MPS. Rheumatologists may facilitate early diagnosis of MPS based on the presenting signs and symptoms, followed by appropriate testing. Early diagnosis helps ensure prompt and appropriate treatment for t\u2026", "author" : [ { "dropping-particle" : "", "family" : "Cimaz", "given" : "Rolando", "non-dropping-particle" : "", "parse-names" : false, "suffix" : "" }, { "dropping-particle" : "", "family" : "Coppa", "given" : "Giovanni Valentino", "non-dropping-particle" : "", "parse-names" : false, "suffix" : "" }, { "dropping-particle" : "", "family" : "Kon\u00e9-Paut", "given" : "Isabelle", "non-dropping-particle" : "", "parse-names" : false, "suffix" : "" }, { "dropping-particle" : "", "family" : "Link", "given" : "Bianca", "non-dropping-particle" : "", "parse-names" : false, "suffix" : "" }, { "dropping-particle" : "", "family" : "Pastores", "given" : "Gregory M", "non-dropping-particle" : "", "parse-names" : false, "suffix" : "" }, { "dropping-particle" : "", "family" : "Elorduy", "given" : "Maria Rua", "non-dropping-particle" : "", "parse-names" : false, "suffix" : "" }, { "dropping-particle" : "", "family" : "Spencer", "given" : "Charles", "non-dropping-particle" : "", "parse-names" : false, "suffix" : "" }, { "dropping-particle" : "", "family" : "Thorne", "given" : "Carter", "non-dropping-particle" : "", "parse-names" : false, "suffix" : "" }, { "dropping-particle" : "", "family" : "Wulffraat", "given" : "Nico", "non-dropping-particle" : "", "parse-names" : false, "suffix" : "" }, { "dropping-particle" : "", "family" : "Manger", "given" : "Bernhard", "non-dropping-particle" : "", "parse-names" : false, "suffix" : "" } ], "container-title" : "Pediatric rheumatology online journal", "id" : "ITEM-1", "issue" : "18", "issued" : { "date-parts" : [ [ "2009" ] ] }, "title" : "Joint contractures in the absence of inflammation may indicate mucopolysaccharidosis", "type" : "article-journal", "volume" : "7" }, "uris" : [ "http://www.mendeley.com/documents/?uuid=96583ec7-af4b-4efc-a2d8-a210ab4437cd" ] } ], "mendeley" : { "formattedCitation" : "&lt;sup&gt;43&lt;/sup&gt;", "plainTextFormattedCitation" : "43", "previouslyFormattedCitation" : "&lt;sup&gt;43&lt;/sup&gt;"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43</w:t>
      </w:r>
      <w:r w:rsidRPr="003F585B">
        <w:rPr>
          <w:rFonts w:ascii="Arial" w:hAnsi="Arial" w:cs="Arial"/>
          <w:sz w:val="24"/>
          <w:szCs w:val="24"/>
        </w:rPr>
        <w:fldChar w:fldCharType="end"/>
      </w:r>
      <w:r w:rsidRPr="003F585B">
        <w:rPr>
          <w:rFonts w:ascii="Arial" w:hAnsi="Arial" w:cs="Arial"/>
          <w:sz w:val="24"/>
          <w:szCs w:val="24"/>
        </w:rPr>
        <w:t>, gera di</w:t>
      </w:r>
      <w:r w:rsidR="00491B77">
        <w:rPr>
          <w:rFonts w:ascii="Arial" w:hAnsi="Arial" w:cs="Arial"/>
          <w:sz w:val="24"/>
          <w:szCs w:val="24"/>
        </w:rPr>
        <w:t>minuição da mobilidade</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"10.1093/rheumatology/ker390", "ISBN" : "1462-0332 (Electronic)\\n1462-0324 (Linking)", "ISSN" : "14620324", "PMID" : "22210670", "abstract" : "The mucopolysaccharidoses (MPSs) often present a diagnostic challenge, particularly for patients who have more slowly progressive disease phenotypes, as early disease manifestations can be subtle or non-specific. However, certain types of bone and joint involvement should always prompt consideration of an MPS diagnosis, such as early joint involvement without classic inflammatory features or erosive bone lesions, claw hand, spinal deformities or dysostosis multiplex. All such patients should be referred to a geneticist or metabolic specialist for diagnostic evaluation. The earlier the diagnosis is made, the better the potential outcome of treatment. Each type of MPS is associated both with deficient activity of a specific lysosomal enzyme that degrades specific glycosaminoglycans (GAGs) and with abnormalities in urinary GAG excretion. MPS patients usually excrete excess GAG in urine and/or have different relative proportions of types of GAG in urine as compared with age-matched normal subjects. Although urinary GAG analyses (both quantitative and qualitative) can suggest the most likely type of MPS, diagnosis must be confirmed by enzyme assay. Multiple assays may be necessary to identify the disease subtype. Correct identification of the MPS type is essential to guide treatment and management decisions.", "author" : [ { "dropping-particle" : "", "family" : "Lehman", "given" : "Thomas J A", "non-dropping-particle" : "", "parse-names" : false, "suffix" : "" }, { "dropping-particle" : "", "family" : "Miller", "given" : "Nicole", "non-dropping-particle" : "", "parse-names" : false, "suffix" : "" }, { "dropping-particle" : "", "family" : "Norquist", "given" : "Becky", "non-dropping-particle" : "", "parse-names" : false, "suffix" : "" }, { "dropping-particle" : "", "family" : "Underhill", "given" : "Lisa", "non-dropping-particle" : "", "parse-names" : false, "suffix" : "" }, { "dropping-particle" : "", "family" : "Keutzer", "given" : "Joan", "non-dropping-particle" : "", "parse-names" : false, "suffix" : "" } ], "container-title" : "Rheumatology", "id" : "ITEM-1", "issue" : "SUPPL. 5", "issued" : { "date-parts" : [ [ "2011" ] ] }, "page" : "41-48", "title" : "Diagnosis of the mucopolysaccharidoses", "type" : "article-journal", "volume" : "50" }, "uris" : [ "http://www.mendeley.com/documents/?uuid=2d68b9fd-2729-4930-b57e-e756814a94b9" ] }, { "id" : "ITEM-2", "itemData" : { "DOI" : "10.1590/S0104-42302010000300009", "ISSN" : "0104-4230", "abstract" : "As mucopolissacaridoses (MPS) s\u00e3o doen\u00e7as gen\u00e9ticas raras causadas pela defici\u00eancia de enzimas lisoss\u00f4micas espec\u00edficas que afetam o catabolismo de glicosaminoglicanos (GAG). O ac\u00famulo de GAG em v\u00e1rios \u00f3rg\u00e3os e tecidos nos pacientes afetados pelas MPS resulta em uma s\u00e9rie de sinais e sintomas, integrantes de um quadro cl\u00ednico multissist\u00eamico que compromete ossos e articula\u00e7\u00f5es, vias respirat\u00f3rias, sistema cardiovascular e muitos outros \u00f3rg\u00e3os e tecidos, incluindo, em alguns casos, as fun\u00e7\u00f5es cognitivas. J\u00e1 foram identificados 11 defeitos enzim\u00e1ticos que causam sete tipos diferentes de MPS. Antes do advento de terapias dirigidas para a restaura\u00e7\u00e3o da atividade da enzima deficiente, o tratamento das MPS tinha como principal foco a preven\u00e7\u00e3o e o cuidado das complica\u00e7\u00f5es, aspecto ainda bastante importante no manejo desses pacientes. Na d\u00e9cada de 80 foi proposto o tratamento das MPS com transplante de medula \u00f3ssea/transplante de c\u00e9lulas tronco hematopoi\u00e9ticas (TMO/TCTH) e na d\u00e9cada de 90 come\u00e7ou o desenvolvimento da Terapia de Reposi\u00e7\u00e3o Enzim\u00e1tica (TRE), que se tornou uma realidade aprovada para uso cl\u00ednico nas MPS I, II e VI na primeira d\u00e9cada do s\u00e9culo 21. Os autores deste trabalho t\u00eam a convic\u00e7\u00e3o de que um melhor futuro para os pacientes afetados pelas MPS depende da identifica\u00e7\u00e3o, compreens\u00e3o e manejo adequado das manifesta\u00e7\u00f5es multissist\u00eamicas dessas doen\u00e7as, incluindo medidas de suporte (que devem fazer parte da assist\u00eancia multidisciplinar regular destes pacientes) e terapias espec\u00edficas. Embora a inibi\u00e7\u00e3o da s\u00edntese de GAG e o resgate da atividade enzim\u00e1tica com mol\u00e9culas pequenas tamb\u00e9m possam vir a ter um papel no manejo das MPS, o grande avan\u00e7o dispon\u00edvel no momento \u00e9 a TRE intravenosa. A TRE permitiu modificar radicalmente o panorama do tratamento das mucopolissacaridoses I, II e VI na \u00faltima d\u00e9cada, sendo que ainda pode estender seus benef\u00edcios em breve para a MPS IV A (cuja TRE j\u00e1 est\u00e1 em desenvolvimento cl\u00ednico), com perspectivas para o tratamento da MPS III A e do d\u00e9ficit cognitivo na MPS II atrav\u00e9s de administra\u00e7\u00e3o da enzima diretamente no sistema nervoso central (SNC). Um grande n\u00famero de centros brasileiros, incluindo servi\u00e7os de todas as regi\u00f5es do pa\u00eds, j\u00e1 t\u00eam experi\u00eancia com TRE para MPS I, II e VI. Essa experi\u00eancia foi adquirida n\u00e3o s\u00f3 com o tratamento de pacientes como tamb\u00e9m com a participa\u00e7\u00e3o de alguns grupos em ensaios cl\u00ednicos envolvendo TRE para essas condi\u00e7\u00f5es. Somados os tr\u00eas tipos de MPS, mais de 250 pacientes j\u00e1 foram tratado\u2026", "author" : [ { "dropping-particle" : "", "family" : "Giugliani R, Federhen A, Rojas MV, Vieira TA, Artigal\u00e1s O, Pinto LL", "given" : "et al.", "non-dropping-particle" : "", "parse-names" : false, "suffix" : "" } ], "container-title" : "Rev Assoc Med Bras", "id" : "ITEM-2", "issue" : "3", "issued" : { "date-parts" : [ [ "2010" ] ] }, "page" : "271-277", "title" : "Terapia de reposi\u00e7\u00e3o enzim\u00e1tica para as mucopolissacaridoses I , II e VI: recomenda\u00e7\u00f5es de um grupo de especialistas brasileiros", "type" : "article-journal", "volume" : "56" }, "uris" : [ "http://www.mendeley.com/documents/?uuid=20e9b74c-f667-4827-868e-144e7b460615" ] }, { "id" : "ITEM-3", "itemData" : { "DOI" : "10.1590/S1415-47572010005000093", "ISBN" : "1678-4685 (Electronic)\\r1415-4757 (Linking)", "ISSN" : "14154757", "PMID" : "21637564", "abstract" : "Mucopolysaccharidoses (MPS) are rare genetic diseases caused by the deficiency of one of the lysosomal enzymes involved in the glycosaminoglycan (GAG) breakdown pathway. This metabolic block leads to the accumulation of GAG in various organs and tissues of the affected patients, resulting in a multisystemic clinical picture, sometimes including cognitive impairment. Until the beginning of the XXI century, treatment was mainly supportive. Bone marrow transplantation improved the natural course of the disease in some types of MPS, but the morbidity and mortality restricted its use to selected cases. The identification of the genes involved, the new molecular biology tools and the availability of animal models made it possible to develop specific enzyme replacement therapies (ERT) for these diseases. At present, a great number of Brazilian medical centers from all regions of the country have experience with ERT for MPS I, II, and VI, acquired not only through patient treatment but also in clinical trials. Taking the three types of MPS together, over 200 patients have been treated with ERT in our country. This document summarizes the experience of the professionals involved, along with the data available in the international literature, bringing together and harmonizing the information available on the management of these severe and progressive diseases, thus disclosing new prospects for Brazilian patients affected by these conditions.", "author" : [ { "dropping-particle" : "", "family" : "Giugliani", "given" : "Roberto", "non-dropping-particle" : "", "parse-names" : false, "suffix" : "" }, { "dropping-particle" : "", "family" : "Federhen", "given" : "Andressa", "non-dropping-particle" : "", "parse-names" : false, "suffix" : "" }, { "dropping-particle" : "", "family" : "Rojas", "given" : "Maria Ver\u00f4nica Mu\u00f1oz", "non-dropping-particle" : "", "parse-names" : false, "suffix" : "" }, { "dropping-particle" : "", "family" : "Vieira", "given" : "Taiane", "non-dropping-particle" : "", "parse-names" : false, "suffix" : "" }, { "dropping-particle" : "", "family" : "Artigal\u00e1s", "given" : "Osvaldo", "non-dropping-particle" : "", "parse-names" : false, "suffix" : "" }, { "dropping-particle" : "", "family" : "Pinto", "given" : "Louise Lapagesse", "non-dropping-particle" : "", "parse-names" : false, "suffix" : "" }, { "dropping-particle" : "", "family" : "Azevedo", "given" : "Ana Cec\u00edlia", "non-dropping-particle" : "", "parse-names" : false, "suffix" : "" }, { "dropping-particle" : "", "family" : "Acosta", "given" : "Angelina", "non-dropping-particle" : "", "parse-names" : false, "suffix" : "" }, { "dropping-particle" : "", "family" : "Bonfim", "given" : "Carmen", "non-dropping-particle" : "", "parse-names" : false, "suffix" : "" }, { "dropping-particle" : "", "family" : "Louren\u00e7o", "given" : "Charles Marques", "non-dropping-particle" : "", "parse-names" : false, "suffix" : "" }, { "dropping-particle" : "", "family" : "Kim", "given" : "Chong Ae", "non-dropping-particle" : "", "parse-names" : false, "suffix" : "" }, { "dropping-particle" : "", "family" : "Horovitz", "given" : "Dafne", "non-dropping-particle" : "", "parse-names" : false, "suffix" : "" }, { "dropping-particle" : "", "family" : "Bonfim", "given" : "Denize", "non-dropping-particle" : "", "parse-names" : false, "suffix" : "" }, { "dropping-particle" : "", "family" : "Norato", "given" : "Denise", "non-dropping-particle" : "", "parse-names" : false, "suffix" : "" }, { "dropping-particle" : "", "family" : "Marinho", "given" : "Diane", "non-dropping-particle" : "", "parse-names" : false, "suffix" : "" }, { "dropping-particle" : "", "family" : "Palhares", "given" : "Durval", "non-dropping-particle" : "", "parse-names" : false, "suffix" : "" }, { "dropping-particle" : "", "family" : "Santos", "given" : "Emerson Santana", "non-dropping-particle" : "", "parse-names" : false, "suffix" : "" }, { "dropping-particle" : "", "family" : "Ribeiro", "given" : "Erlane", "non-dropping-particle" : "", "parse-names" : false, "suffix" : "" }, { "dropping-particle" : "", "family" : "Valadares", "given" : "Eug\u00eania", "non-dropping-particle" : "", "parse-names" : false, "suffix" : "" }, { "dropping-particle" : "", "family" : "Guarany", "given" : "F\u00e1bio", "non-dropping-particle" : "", "parse-names" : false, "suffix" : "" }, { "dropping-particle" : "", "family" : "Lucca", "given" : "Gisele Rosone", "non-dropping-particle" : "de", "parse-names" : false, "suffix" : "" }, { "dropping-particle" : "", "family" : "Pimentel", "given" : "Helena", "non-dropping-particle" : "", "parse-names" : false, "suffix" : "" }, { "dropping-particle" : "", "family" : "Souza", "given" : "Isabel Neves", "non-dropping-particle" : "de", "parse-names" : false, "suffix" : "" }, { "dropping-particle" : "", "family" : "Neto", "given" : "Jord\u00e3o Correa", "non-dropping-particle" : "", "parse-names" : false, "suffix" : "" }, { "dropping-particle" : "", "family" : "Fraga", "given" : "Jos\u00e9 Carlos", "non-dropping-particle" : "", "parse-names" : false, "suffix" : "" }, { "dropping-particle" : "", "family" : "Goes", "given" : "Jos\u00e9 Eduardo", "non-dropping-particle" : "", "parse-names" : false, "suffix" : "" }, { "dropping-particle" : "", "family" : "Cabral", "given" : "Jos\u00e9 Maria", "non-dropping-particle" : "", "parse-names" : false, "suffix" : "" }, { "dropping-particle" : "", "family" : "Simionato", "given" : "Jos\u00e9", "non-dropping-particle" : "", "parse-names" : false, "suffix" : "" }, { "dropping-particle" : "", "family" : "Llerena", "given" : "Juan", "non-dropping-particle" : "", "parse-names" : false, "suffix" : "" }, { "dropping-particle" : "", "family" : "Jardim", "given" : "Laura", "non-dropping-particle" : "", "parse-names" : false, "suffix" : "" }, { "dropping-particle" : "", "family" : "Giuliani", "given" : "Liane", "non-dropping-particle" : "", "parse-names" : false, "suffix" : "" }, { "dropping-particle" : "", "family" : "Silva", "given" : "Luiz Carlos Santana", "non-dropping-particle" : "da", "parse-names" : false, "suffix" : "" }, { "dropping-particle" : "", "family" : "Santos", "given" : "Mara L.", "non-dropping-particle" : "", "parse-names" : false, "suffix" : "" }, { "dropping-particle" : "", "family" : "Moreira", "given" : "Maria Angela", "non-dropping-particle" : "", "parse-names" : false, "suffix" : "" }, { "dropping-particle" : "", "family" : "Kerstenetzky", "given" : "Marcelo", "non-dropping-particle" : "", "parse-names" : false, "suffix" : "" }, { "dropping-particle" : "", "family" : "Ribeiro", "given" : "M\u00e1rcia", "non-dropping-particle" : "", "parse-names" : false, "suffix" : "" }, { "dropping-particle" : "", "family" : "Ruas", "given" : "Nicole", "non-dropping-particle" : "", "parse-names" : false, "suffix" : "" }, { "dropping-particle" : "", "family" : "Barrios", "given" : "Patricia", "non-dropping-particle" : "", "parse-names" : false, "suffix" : "" }, { "dropping-particle" : "", "family" : "Aranda", "given" : "Paulo", "non-dropping-particle" : "", "parse-names" : false, "suffix" : "" }, { "dropping-particle" : "", "family" : "Honjo", "given" : "Rachel", "non-dropping-particle" : "", "parse-names" : false, "suffix" : "" }, { "dropping-particle" : "", "family" : "Boy", "given" : "Raquel", "non-dropping-particle" : "", "parse-names" : false, "suffix" : "" }, { "dropping-particle" : "", "family" : "Costa", "given" : "Ronaldo", "non-dropping-particle" : "", "parse-names" : false, "suffix" : "" }, { "dropping-particle" : "", "family" : "Souza", "given" : "Carolina", "non-dropping-particle" : "", "parse-names" : false, "suffix" : "" }, { "dropping-particle" : "", "family" : "Alcantara", "given" : "Flavio F.", "non-dropping-particle" : "", "parse-names" : false, "suffix" : "" }, { "dropping-particle" : "", "family" : "Avilla", "given" : "Silvio Gilberto A", "non-dropping-particle" : "", "parse-names" : false, "suffix" : "" }, { "dropping-particle" : "", "family" : "Fagondes", "given" : "Simone", "non-dropping-particle" : "", "parse-names" : false, "suffix" : "" }, { "dropping-particle" : "", "family" : "Martins", "given" : "Ana Maria", "non-dropping-particle" : "", "parse-names" : false, "suffix" : "" } ], "container-title" : "Genetics and Molecular Biology", "id" : "ITEM-3", "issue" : "4", "issued" : { "date-parts" : [ [ "2010" ] ] }, "page" : "589-604", "title" : "Mucopolysaccharidosis I, II, and VI: Brief review and guidelines for treatment", "type" : "article-journal", "volume" : "33" }, "uris" : [ "http://www.mendeley.com/documents/?uuid=f17d1c38-f17e-4c99-aede-379c6264f7a4" ] } ], "mendeley" : { "formattedCitation" : "&lt;sup&gt;8,24,25&lt;/sup&gt;", "plainTextFormattedCitation" : "8,24,25", "previouslyFormattedCitation" : "&lt;sup&gt;8,24,25&lt;/sup&gt;"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8,24,25</w:t>
      </w:r>
      <w:r w:rsidRPr="003F585B">
        <w:rPr>
          <w:rFonts w:ascii="Arial" w:hAnsi="Arial" w:cs="Arial"/>
          <w:sz w:val="24"/>
          <w:szCs w:val="24"/>
        </w:rPr>
        <w:fldChar w:fldCharType="end"/>
      </w:r>
      <w:r w:rsidR="002E4220">
        <w:rPr>
          <w:rFonts w:ascii="Arial" w:hAnsi="Arial" w:cs="Arial"/>
          <w:sz w:val="24"/>
          <w:szCs w:val="24"/>
        </w:rPr>
        <w:t>. É o que o</w:t>
      </w:r>
      <w:r w:rsidRPr="003F585B">
        <w:rPr>
          <w:rFonts w:ascii="Arial" w:hAnsi="Arial" w:cs="Arial"/>
          <w:sz w:val="24"/>
          <w:szCs w:val="24"/>
        </w:rPr>
        <w:t>corre nas situações em que os pacientes desenvolvem mãos em garra</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"10.1093/rheumatology/ker390", "ISBN" : "1462-0332 (Electronic)\\n1462-0324 (Linking)", "ISSN" : "14620324", "PMID" : "22210670", "abstract" : "The mucopolysaccharidoses (MPSs) often present a diagnostic challenge, particularly for patients who have more slowly progressive disease phenotypes, as early disease manifestations can be subtle or non-specific. However, certain types of bone and joint involvement should always prompt consideration of an MPS diagnosis, such as early joint involvement without classic inflammatory features or erosive bone lesions, claw hand, spinal deformities or dysostosis multiplex. All such patients should be referred to a geneticist or metabolic specialist for diagnostic evaluation. The earlier the diagnosis is made, the better the potential outcome of treatment. Each type of MPS is associated both with deficient activity of a specific lysosomal enzyme that degrades specific glycosaminoglycans (GAGs) and with abnormalities in urinary GAG excretion. MPS patients usually excrete excess GAG in urine and/or have different relative proportions of types of GAG in urine as compared with age-matched normal subjects. Although urinary GAG analyses (both quantitative and qualitative) can suggest the most likely type of MPS, diagnosis must be confirmed by enzyme assay. Multiple assays may be necessary to identify the disease subtype. Correct identification of the MPS type is essential to guide treatment and management decisions.", "author" : [ { "dropping-particle" : "", "family" : "Lehman", "given" : "Thomas J A", "non-dropping-particle" : "", "parse-names" : false, "suffix" : "" }, { "dropping-particle" : "", "family" : "Miller", "given" : "Nicole", "non-dropping-particle" : "", "parse-names" : false, "suffix" : "" }, { "dropping-particle" : "", "family" : "Norquist", "given" : "Becky", "non-dropping-particle" : "", "parse-names" : false, "suffix" : "" }, { "dropping-particle" : "", "family" : "Underhill", "given" : "Lisa", "non-dropping-particle" : "", "parse-names" : false, "suffix" : "" }, { "dropping-particle" : "", "family" : "Keutzer", "given" : "Joan", "non-dropping-particle" : "", "parse-names" : false, "suffix" : "" } ], "container-title" : "Rheumatology", "id" : "ITEM-1", "issue" : "SUPPL. 5", "issued" : { "date-parts" : [ [ "2011" ] ] }, "page" : "41-48", "title" : "Diagnosis of the mucopolysaccharidoses", "type" : "article-journal", "volume" : "50" }, "uris" : [ "http://www.mendeley.com/documents/?uuid=2d68b9fd-2729-4930-b57e-e756814a94b9" ] } ], "mendeley" : { "formattedCitation" : "&lt;sup&gt;8&lt;/sup&gt;", "plainTextFormattedCitation" : "8", "previouslyFormattedCitation" : "&lt;sup&gt;8&lt;/sup&gt;"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8</w:t>
      </w:r>
      <w:r w:rsidRPr="003F585B">
        <w:rPr>
          <w:rFonts w:ascii="Arial" w:hAnsi="Arial" w:cs="Arial"/>
          <w:sz w:val="24"/>
          <w:szCs w:val="24"/>
        </w:rPr>
        <w:fldChar w:fldCharType="end"/>
      </w:r>
      <w:r w:rsidRPr="003F585B">
        <w:rPr>
          <w:rFonts w:ascii="Arial" w:hAnsi="Arial" w:cs="Arial"/>
          <w:sz w:val="24"/>
          <w:szCs w:val="24"/>
        </w:rPr>
        <w:t xml:space="preserve"> e/ou síndrome do túnel do carpo</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"10.1186/1750-1172-7-22", "ISBN" : "1750-1172 (Electronic)\\r1750-1172 (Linking)", "ISSN" : "1750-1172", "PMID" : "22524701", "abstract" : "BACKGROUND: Mucopolysaccharidosis type I (MPS I) is traditionally divided into three phenotypes: the severe Hurler (MPS I-H) phenotype, the intermediate Hurler-Scheie (MPS I-H/S) phenotype and the attenuated Scheie (MPS I-S) phenotype. However, there are no clear criteria for delineating the different phenotypes. Because decisions about optimal treatment (enzyme replacement therapy or hematopoietic stem cell transplantation) need to be made quickly and depend on the presumed phenotype, an assessment of phenotypic severity should be performed soon after diagnosis. Therefore, a numerical severity scale for classifying different MPS I phenotypes at diagnosis based on clinical signs and symptoms was developed.\\n\\nMETHODS: A consensus procedure based on a combined modified Delphi method and a nominal group technique was undertaken. It consisted of two written rounds and a face-to-face meeting. Sixteen MPS I experts participated in the process. The main goal was to identify the most important indicators of phenotypic severity and include these in a numerical severity scale. The correlation between the median subjective expert MPS I rating and the scores derived from this severity scale was used as an indicator of validity.\\n\\nRESULTS: Full consensus was reached on six key clinical items for assessing severity: age of onset of signs and symptoms, developmental delay, joint stiffness/arthropathy/contractures, kyphosis, cardiomyopathy and large head/frontal bossing. Due to the remarkably large variability in the expert MPS I assessments, however, a reliable numerical scale could not be constructed. Because of this variability, such a scale would always result in patients whose calculated severity score differed unacceptably from the median expert severity score, which was considered to be the 'gold standard'.\\n\\nCONCLUSIONS: Although consensus was reached on the six key items for assessing phenotypic severity in MPS I, expert opinion on phenotypic severity at diagnosis proved to be highly variable. This subjectivity emphasizes the need for validated biomarkers and improved genotype-phenotype correlations that can be incorporated into phenotypic severity assessments at diagnosis.", "author" : [ { "dropping-particle" : "", "family" : "Ru", "given" : "Minke H", "non-dropping-particle" : "", "parse-names" : false, "suffix" : "" }, { "dropping-particle" : "", "family" : "Teunissen", "given" : "Quirine GA", "non-dropping-particle" : "", "parse-names" : false, "suffix" : "" }, { "dropping-particle" : "", "family" : "Lee", "given" : "Johanna H", "non-dropping-particle" : "van der", "parse-names" : false, "suffix" : "" }, { "dropping-particle" : "", "family" : "Beck", "given" : "Michael", "non-dropping-particle" : "", "parse-names" : false, "suffix" : "" }, { "dropping-particle" : "", "family" : "Bodamer", "given" : "Olaf A", "non-dropping-particle" : "", "parse-names" : false, "suffix" : "" }, { "dropping-particle" : "", "family" : "Clarke", "given" : "Lorne A", "non-dropping-particle" : "", "parse-names" : false, "suffix" : "" }, { "dropping-particle" : "", "family" : "Hollak", "given" : "Carla E", "non-dropping-particle" : "", "parse-names" : false, "suffix" : "" }, { "dropping-particle" : "", "family" : "Lin", "given" : "Shuan-Pei", "non-dropping-particle" : "", "parse-names" : false, "suffix" : "" }, { "dropping-particle" : "", "family" : "Munoz Rojas", "given" : "Maria-Veronica", "non-dropping-particle" : "", "parse-names" : false, "suffix" : "" }, { "dropping-particle" : "", "family" : "Pastores", "given" : "Gregory M", "non-dropping-particle" : "", "parse-names" : false, "suffix" : "" }, { "dropping-particle" : "", "family" : "Raiman", "given" : "Julian A", "non-dropping-particle" : "", "parse-names" : false, "suffix" : "" }, { "dropping-particle" : "", "family" : "Scarpa", "given" : "Maurizio", "non-dropping-particle" : "", "parse-names" : false, "suffix" : "" }, { "dropping-particle" : "", "family" : "Treacy", "given" : "Eileen P", "non-dropping-particle" : "", "parse-names" : false, "suffix" : "" }, { "dropping-particle" : "", "family" : "Tylki-Szymanska", "given" : "Anna", "non-dropping-particle" : "", "parse-names" : false, "suffix" : "" }, { "dropping-particle" : "", "family" : "Wraith", "given" : "Edmond", "non-dropping-particle" : "", "parse-names" : false, "suffix" : "" }, { "dropping-particle" : "", "family" : "Zeman", "given" : "Jiri", "non-dropping-particle" : "", "parse-names" : false, "suffix" : "" }, { "dropping-particle" : "", "family" : "Wijburg", "given" : "Frits A", "non-dropping-particle" : "", "parse-names" : false, "suffix" : "" } ], "container-title" : "Orphanet Journal of Rare Diseases", "id" : "ITEM-1", "issue" : "1", "issued" : { "date-parts" : [ [ "2012" ] ] }, "page" : "22", "publisher" : "BioMed Central Ltd", "title" : "Capturing phenotypic heterogeneity in MPS I: results of an international consensus procedure", "type" : "article-journal", "volume" : "7" }, "uris" : [ "http://www.mendeley.com/documents/?uuid=b64ca157-1fe5-4b55-8b95-4b9d43a636a5" ] }, { "id" : "ITEM-2", "itemData" : { "DOI" : "10.1007/s10545-014-9737-0", "ISBN" : "1573-2665; 0141-8955", "ISSN" : "15732665", "PMID" : "25048386", "abstract" : "BACKGROUND: While clinical observations suggest that many patients with mucopolysaccharidosis (MPS) experience chronic pain, few studies have assessed its extent and impact. We therefore investigated its prevalence in patients with all types of MPS in the Netherlands. We also examined the association between pain and health related quality of life (HRQoL) and other clinical variables.\\n\\nMETHODS: We conducted a nationwide MPS survey that used questionnaires on MPS and disease-related symptoms (MPS-specific questionnaire), developmental level (Vineland Screener 0-6 years), quality of life (PedsQl and SF-36), and disability (Childhood Health Assessment Questionnaire). Depending on their age and developmental level, patients or their parents were asked to assess pain by keeping a pain diary for five consecutive days: either the Non-communicating Children's Pain Checklist - Revised (3-18 years intellectually disabled and children &lt;8 years), the VAS-score (&gt; 18 years), or the Faces Pain Scale - Revised (8-18 years).\\n\\nRESULTS: Eighty-nine MPS patients were invited, 55 of whom agreed to participate (response rate 62 %; median age 10.9 years, range 2.9-47.2 years). They covered a wide spectrum in all age groups, ranging from no pain to severe pain. Forty percent scored above the cut-off value for pain. Most reported pain sites were the back and hips. While the MPS III group experienced the highest frequency of pain (52.9 %), 50 % of patients with an intellectual disability seemed to experience pain, versus 30 % of patients with a normal intelligence. MPS patients scored much lower (i.e., more pain) than a random sample of the Dutch population on the bodily pain domain of the SF-36 scale and the PedsQl.\\n\\nCONCLUSION: With or without intellectual disabilities, many MPS patients experience pain. We recommend that standardized pain assessments are included in the regular follow-up program of patients with MPS.", "author" : [ { "dropping-particle" : "", "family" : "Brands", "given" : "Marion M G", "non-dropping-particle" : "", "parse-names" : false, "suffix" : "" }, { "dropping-particle" : "", "family" : "G\u00fcng\u00f6r", "given" : "Deniz", "non-dropping-particle" : "", "parse-names" : false, "suffix" : "" }, { "dropping-particle" : "", "family" : "Hout", "given" : "Johanna M P", "non-dropping-particle" : "van den", "parse-names" : false, "suffix" : "" }, { "dropping-particle" : "", "family" : "Karstens", "given" : "Francois P J", "non-dropping-particle" : "", "parse-names" : false, "suffix" : "" }, { "dropping-particle" : "", "family" : "Oussoren", "given" : "Esmee", "non-dropping-particle" : "", "parse-names" : false, "suffix" : "" }, { "dropping-particle" : "", "family" : "Plug", "given" : "Iris", "non-dropping-particle" : "", "parse-names" : false, "suffix" : "" }, { "dropping-particle" : "", "family" : "Boelens", "given" : "Jaap Jan", "non-dropping-particle" : "", "parse-names" : false, "suffix" : "" }, { "dropping-particle" : "", "family" : "Hasselt", "given" : "Peter M.", "non-dropping-particle" : "van", "parse-names" : false, "suffix" : "" }, { "dropping-particle" : "", "family" : "Hollak", "given" : "Carla E M", "non-dropping-particle" : "", "parse-names" : false, "suffix" : "" }, { "dropping-particle" : "", "family" : "Mulder", "given" : "Margot F.", "non-dropping-particle" : "", "parse-names" : false, "suffix" : "" }, { "dropping-particle" : "", "family" : "Gozalbo", "given" : "Estela Rubio", "non-dropping-particle" : "", "parse-names" : false, "suffix" : "" }, { "dropping-particle" : "", "family" : "Smeitink", "given" : "Jan A.", "non-dropping-particle" : "", "parse-names" : false, "suffix" : "" }, { "dropping-particle" : "", "family" : "Smit", "given" : "G. Peter A", "non-dropping-particle" : "", "parse-names" : false, "suffix" : "" }, { "dropping-particle" : "", "family" : "Wijburg", "given" : "Frits A.", "non-dropping-particle" : "", "parse-names" : false, "suffix" : "" }, { "dropping-particle" : "", "family" : "Meutgeert", "given" : "Hanka", "non-dropping-particle" : "", "parse-names" : false, "suffix" : "" }, { "dropping-particle" : "", "family" : "Ploeg", "given" : "Ans T.", "non-dropping-particle" : "van der", "parse-names" : false, "suffix" : "" } ], "container-title" : "Journal of Inherited Metabolic Disease", "id" : "ITEM-2", "issue" : "2", "issued" : { "date-parts" : [ [ "2015" ] ] }, "page" : "323-331", "title" : "Pain: a prevalent feature in patients with mucopolysaccharidosis. Results of a cross-sectional national survey", "type" : "article-journal", "volume" : "38" }, "uris" : [ "http://www.mendeley.com/documents/?uuid=cdd25880-97d6-4726-89b5-ca089c99d649" ] } ], "mendeley" : { "formattedCitation" : "&lt;sup&gt;33,44&lt;/sup&gt;", "plainTextFormattedCitation" : "33,44", "previouslyFormattedCitation" : "&lt;sup&gt;33,44&lt;/sup&gt;"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33,44</w:t>
      </w:r>
      <w:r w:rsidRPr="003F585B">
        <w:rPr>
          <w:rFonts w:ascii="Arial" w:hAnsi="Arial" w:cs="Arial"/>
          <w:sz w:val="24"/>
          <w:szCs w:val="24"/>
        </w:rPr>
        <w:fldChar w:fldCharType="end"/>
      </w:r>
      <w:r w:rsidRPr="003F585B">
        <w:rPr>
          <w:rFonts w:ascii="Arial" w:hAnsi="Arial" w:cs="Arial"/>
          <w:sz w:val="24"/>
          <w:szCs w:val="24"/>
        </w:rPr>
        <w:t xml:space="preserve">, caracterizadas por restrição articular de punho e dedos e deformidades em flexão das articulações interfalangeanas, </w:t>
      </w:r>
      <w:r w:rsidR="00491B77">
        <w:rPr>
          <w:rFonts w:ascii="Arial" w:hAnsi="Arial" w:cs="Arial"/>
          <w:sz w:val="24"/>
          <w:szCs w:val="24"/>
        </w:rPr>
        <w:t>o que pode</w:t>
      </w:r>
      <w:r w:rsidRPr="003F585B">
        <w:rPr>
          <w:rFonts w:ascii="Arial" w:hAnsi="Arial" w:cs="Arial"/>
          <w:sz w:val="24"/>
          <w:szCs w:val="24"/>
        </w:rPr>
        <w:t xml:space="preserve"> ocasionar redução ou perda total da função da mão</w:t>
      </w:r>
      <w:r w:rsidR="00491B77">
        <w:rPr>
          <w:rFonts w:ascii="Arial" w:hAnsi="Arial" w:cs="Arial"/>
          <w:sz w:val="24"/>
          <w:szCs w:val="24"/>
        </w:rPr>
        <w:t>.</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"mendeley" : { "formattedCitation" : "&lt;sup&gt;4&lt;/sup&gt;", "plainTextFormattedCitation" : "4", "previouslyFormattedCitation" : "&lt;sup&gt;4&lt;/sup&gt;"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4</w:t>
      </w:r>
      <w:r w:rsidRPr="003F585B">
        <w:rPr>
          <w:rFonts w:ascii="Arial" w:hAnsi="Arial" w:cs="Arial"/>
          <w:sz w:val="24"/>
          <w:szCs w:val="24"/>
        </w:rPr>
        <w:fldChar w:fldCharType="end"/>
      </w:r>
      <w:r w:rsidR="00491B77">
        <w:rPr>
          <w:rFonts w:ascii="Arial" w:hAnsi="Arial" w:cs="Arial"/>
          <w:sz w:val="24"/>
          <w:szCs w:val="24"/>
        </w:rPr>
        <w:t xml:space="preserve"> </w:t>
      </w:r>
      <w:r w:rsidRPr="003F585B">
        <w:rPr>
          <w:rFonts w:ascii="Arial" w:hAnsi="Arial" w:cs="Arial"/>
          <w:sz w:val="24"/>
          <w:szCs w:val="24"/>
        </w:rPr>
        <w:t>Contrário a esta condição, pacientes com MPS IV apresentam frouxidão ligamentar e hipermobilidade articular, decorrente da deterioração do tecido c</w:t>
      </w:r>
      <w:r w:rsidR="00491B77">
        <w:rPr>
          <w:rFonts w:ascii="Arial" w:hAnsi="Arial" w:cs="Arial"/>
          <w:sz w:val="24"/>
          <w:szCs w:val="24"/>
        </w:rPr>
        <w:t>onjuntivo próximo à articulação. Essa condição pode gerar</w:t>
      </w:r>
      <w:r w:rsidRPr="003F585B">
        <w:rPr>
          <w:rFonts w:ascii="Arial" w:hAnsi="Arial" w:cs="Arial"/>
          <w:sz w:val="24"/>
          <w:szCs w:val="24"/>
        </w:rPr>
        <w:t xml:space="preserve"> subluxação atlantoaxial e instabilidade cervical por exemplo, resultando em paralisia ou morte precoce, por volta da segunda ou terceira década</w:t>
      </w:r>
      <w:r w:rsidR="007D15F8">
        <w:rPr>
          <w:rFonts w:ascii="Arial" w:hAnsi="Arial" w:cs="Arial"/>
          <w:sz w:val="24"/>
          <w:szCs w:val="24"/>
        </w:rPr>
        <w:t>s</w:t>
      </w:r>
      <w:r w:rsidRPr="003F585B">
        <w:rPr>
          <w:rFonts w:ascii="Arial" w:hAnsi="Arial" w:cs="Arial"/>
          <w:sz w:val="24"/>
          <w:szCs w:val="24"/>
        </w:rPr>
        <w:t xml:space="preserve"> de vida</w:t>
      </w:r>
      <w:r w:rsidR="002E4220">
        <w:rPr>
          <w:rFonts w:ascii="Arial" w:hAnsi="Arial" w:cs="Arial"/>
          <w:sz w:val="24"/>
          <w:szCs w:val="24"/>
        </w:rPr>
        <w:t>.</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"10.1007/s10545-007-0529-7", "ISBN" : "1573-2665 (Electronic)\\n0141-8955 (Linking)", "ISSN" : "01418955", "PMID" : "17347914", "abstract" : "Mucopolysaccharidosis IVA (MPS IVA; Morquio A disease) is a lysosomal storage disorder caused by deficiency of N-acetylgalactosamine-6-sulfate sulfa-tase. The natural history of this disease is incompletely understood. To study which variables influence the clinical outcome, we conducted a study in which MPS IVA pa-tients were asked to fill out a questionnaire with inquiries regarding family history, diagnosis, signs and symptoms, height, weight, surgical history, physical activity, and general complaints. A total of 326 patients (172 male, 154 female) from 42 countries enrolled in the Morquio A Registry programme. The mean age of patients enrolled was 14.9 years for males and 19.1 years for females, with a wide range of 1\u201373 years. Sixty-four per cent of the patients were under 18 years. Initial symptoms were recognized between 1 and 3 years of age (mean age 2.1 years) and mean age at diagnosis for the patients was 4.7 years. A progressive skeletal dysplasia was commonly observed among the MPS IVA patients. Fifty per cent of patients underwent surgical operations to improve their quality of life. The most frequent surgical sites include neck (51%), ear (33%), leg (26%) and", "author" : [ { "dropping-particle" : "", "family" : "Monta\u00f1o", "given" : "A. M.", "non-dropping-particle" : "", "parse-names" : false, "suffix" : "" }, { "dropping-particle" : "", "family" : "Tomatsu", "given" : "S.", "non-dropping-particle" : "", "parse-names" : false, "suffix" : "" }, { "dropping-particle" : "", "family" : "Gottesman", "given" : "G. S.", "non-dropping-particle" : "", "parse-names" : false, "suffix" : "" }, { "dropping-particle" : "", "family" : "Smith", "given" : "M.", "non-dropping-particle" : "", "parse-names" : false, "suffix" : "" }, { "dropping-particle" : "", "family" : "Orii", "given" : "T.", "non-dropping-particle" : "", "parse-names" : false, "suffix" : "" } ], "container-title" : "Journal of Inherited Metabolic Disease", "id" : "ITEM-1", "issue" : "2", "issued" : { "date-parts" : [ [ "2007" ] ] }, "page" : "165-174", "title" : "International Morquio A Registry: Clinical manifestation and natural course of Morquio A disease", "type" : "article-journal", "volume" : "30" }, "uris" : [ "http://www.mendeley.com/documents/?uuid=2ff146e2-f061-4ec1-b8a0-37fac9fb6f05" ] }, { "id" : "ITEM-2", "itemData" : { "DOI" : "10.1007/s00167-012-2289-7", "ISBN" : "1433-7347 (Electronic)\\r0942-2056 (Linking)", "ISSN" : "14337347", "PMID" : "24839594", "abstract" : "Patients with mucopolysaccharidosis type IVA (MPS IVA; Morquio A syndrome) have accumulation of the glycosaminoglycans, keratan sulfate, and chondroitin-6-sulfate, in bone and cartilage, causing systemic spondyloepiphyseal dysplasia. Features include lumbar gibbus, pectus carinatum, faring of the rib cage, marked short stature, cervical instability and stenosis, kyphoscoliosis, genu valgum, and laxity of joints. Generally, MPS IVA patients are wheelchair-bound as teenagers and do not survive beyond the second or third decade of life as a result of severe bone dysplasia, causing restrictive lung disease and airway narrowing, increasing potential for pneumonia and apnea; stenosis and instability of the upper cervical region; high risk during anesthesia administration due to narrowed airway as well as thoracoabdominal dysfunction; and surgical complications. Patients often need multiple surgical procedures, including cervical decompression and fusion, hip reconstruction and replacement, and femoral or tibial osteotomy, throughout their lifetime. Current measures to intervene in disease progression are largely palliative, and improved therapies are urgently needed. A clinical trial for enzyme replacement therapy (ERT) and an investigational trial for hematopoietic stem cell transplantation (HSCT) are underway. Whether sufficient enzyme will be delivered effectively to bone, especially cartilage (avascular region) to prevent the devastating skeletal dysplasias remains unclear. This review provides an overview of historical aspects of studies on MPS IVA, including clinical manifestations and pathogenesis of MPS IVA, orthopedic surgical interventions, and anesthetic care. It also describes perspectives on potential ERT, HSCT, and gene therapy.", "author" : [ { "dropping-particle" : "", "family" : "Tomatsu S, Mackenzie WG, Theroux MC, Mason RW, Thacker MM, Shaffer TH, Monta\u00f1o AM, Rowan D, Sly W, Alm\u00e9ciga-D\u00edaz CJ, Barrera LA, Chinen Y, Yasuda E, Ruhnke K, Suzuki Y", "given" : "Orii T.", "non-dropping-particle" : "", "parse-names" : false, "suffix" : "" } ], "container-title" : "Res Rep Endocr Disord.", "id" : "ITEM-2", "issue" : "1", "issued" : { "date-parts" : [ [ "2012" ] ] }, "page" : "65-77", "title" : "Current and emerging treatments and surgical interventions for Morquio A syndrome: a review", "type" : "article-journal", "volume" : "2" }, "uris" : [ "http://www.mendeley.com/documents/?uuid=fcf63449-eb68-435e-9882-fc5b9864657a" ] } ], "mendeley" : { "formattedCitation" : "&lt;sup&gt;45,46&lt;/sup&gt;", "plainTextFormattedCitation" : "45,46", "previouslyFormattedCitation" : "&lt;sup&gt;45,46&lt;/sup&gt;"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45,46</w:t>
      </w:r>
      <w:r w:rsidRPr="003F585B">
        <w:rPr>
          <w:rFonts w:ascii="Arial" w:hAnsi="Arial" w:cs="Arial"/>
          <w:sz w:val="24"/>
          <w:szCs w:val="24"/>
        </w:rPr>
        <w:fldChar w:fldCharType="end"/>
      </w:r>
    </w:p>
    <w:p w:rsidR="00A62F69" w:rsidRDefault="00A62F69" w:rsidP="00491682">
      <w:pPr>
        <w:spacing w:after="0" w:line="360" w:lineRule="auto"/>
        <w:jc w:val="both"/>
        <w:rPr>
          <w:rFonts w:ascii="Arial" w:hAnsi="Arial" w:cs="Arial"/>
          <w:sz w:val="24"/>
          <w:szCs w:val="24"/>
        </w:rPr>
      </w:pPr>
    </w:p>
    <w:p w:rsidR="00EB34BF" w:rsidRPr="003F585B" w:rsidRDefault="00EB34BF" w:rsidP="00491682">
      <w:pPr>
        <w:spacing w:after="0" w:line="360" w:lineRule="auto"/>
        <w:jc w:val="both"/>
        <w:rPr>
          <w:rFonts w:ascii="Arial" w:hAnsi="Arial" w:cs="Arial"/>
          <w:sz w:val="24"/>
          <w:szCs w:val="24"/>
        </w:rPr>
      </w:pPr>
      <w:r w:rsidRPr="003F585B">
        <w:rPr>
          <w:rFonts w:ascii="Arial" w:hAnsi="Arial" w:cs="Arial"/>
          <w:sz w:val="24"/>
          <w:szCs w:val="24"/>
        </w:rPr>
        <w:t>A</w:t>
      </w:r>
      <w:r w:rsidR="00135DE7">
        <w:rPr>
          <w:rFonts w:ascii="Arial" w:hAnsi="Arial" w:cs="Arial"/>
          <w:sz w:val="24"/>
          <w:szCs w:val="24"/>
        </w:rPr>
        <w:t>s a</w:t>
      </w:r>
      <w:r w:rsidRPr="003F585B">
        <w:rPr>
          <w:rFonts w:ascii="Arial" w:hAnsi="Arial" w:cs="Arial"/>
          <w:sz w:val="24"/>
          <w:szCs w:val="24"/>
        </w:rPr>
        <w:t>lterações esqueléticas</w:t>
      </w:r>
      <w:r w:rsidR="00135DE7">
        <w:rPr>
          <w:rFonts w:ascii="Arial" w:hAnsi="Arial" w:cs="Arial"/>
          <w:sz w:val="24"/>
          <w:szCs w:val="24"/>
        </w:rPr>
        <w:t xml:space="preserve"> nos indivíduos diagnosticados com MPS</w:t>
      </w:r>
      <w:r w:rsidRPr="003F585B">
        <w:rPr>
          <w:rFonts w:ascii="Arial" w:hAnsi="Arial" w:cs="Arial"/>
          <w:sz w:val="24"/>
          <w:szCs w:val="24"/>
        </w:rPr>
        <w:t xml:space="preserve"> são demonstradas por deformidades na coluna vertebral (cifose toracolombar ou gibosidade</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"10.1093/rheumatology/ker390", "ISBN" : "1462-0332 (Electronic)\\n1462-0324 (Linking)", "ISSN" : "14620324", "PMID" : "22210670", "abstract" : "The mucopolysaccharidoses (MPSs) often present a diagnostic challenge, particularly for patients who have more slowly progressive disease phenotypes, as early disease manifestations can be subtle or non-specific. However, certain types of bone and joint involvement should always prompt consideration of an MPS diagnosis, such as early joint involvement without classic inflammatory features or erosive bone lesions, claw hand, spinal deformities or dysostosis multiplex. All such patients should be referred to a geneticist or metabolic specialist for diagnostic evaluation. The earlier the diagnosis is made, the better the potential outcome of treatment. Each type of MPS is associated both with deficient activity of a specific lysosomal enzyme that degrades specific glycosaminoglycans (GAGs) and with abnormalities in urinary GAG excretion. MPS patients usually excrete excess GAG in urine and/or have different relative proportions of types of GAG in urine as compared with age-matched normal subjects. Although urinary GAG analyses (both quantitative and qualitative) can suggest the most likely type of MPS, diagnosis must be confirmed by enzyme assay. Multiple assays may be necessary to identify the disease subtype. Correct identification of the MPS type is essential to guide treatment and management decisions.", "author" : [ { "dropping-particle" : "", "family" : "Lehman", "given" : "Thomas J A", "non-dropping-particle" : "", "parse-names" : false, "suffix" : "" }, { "dropping-particle" : "", "family" : "Miller", "given" : "Nicole", "non-dropping-particle" : "", "parse-names" : false, "suffix" : "" }, { "dropping-particle" : "", "family" : "Norquist", "given" : "Becky", "non-dropping-particle" : "", "parse-names" : false, "suffix" : "" }, { "dropping-particle" : "", "family" : "Underhill", "given" : "Lisa", "non-dropping-particle" : "", "parse-names" : false, "suffix" : "" }, { "dropping-particle" : "", "family" : "Keutzer", "given" : "Joan", "non-dropping-particle" : "", "parse-names" : false, "suffix" : "" } ], "container-title" : "Rheumatology", "id" : "ITEM-1", "issue" : "SUPPL. 5", "issued" : { "date-parts" : [ [ "2011" ] ] }, "page" : "41-48", "title" : "Diagnosis of the mucopolysaccharidoses", "type" : "article-journal", "volume" : "50" }, "uris" : [ "http://www.mendeley.com/documents/?uuid=2d68b9fd-2729-4930-b57e-e756814a94b9" ] }, { "id" : "ITEM-2", "itemData" : { "DOI" : "10.1590/S1415-47572010005000093", "ISBN" : "1678-4685 (Electronic)\\r1415-4757 (Linking)", "ISSN" : "14154757", "PMID" : "21637564", "abstract" : "Mucopolysaccharidoses (MPS) are rare genetic diseases caused by the deficiency of one of the lysosomal enzymes involved in the glycosaminoglycan (GAG) breakdown pathway. This metabolic block leads to the accumulation of GAG in various organs and tissues of the affected patients, resulting in a multisystemic clinical picture, sometimes including cognitive impairment. Until the beginning of the XXI century, treatment was mainly supportive. Bone marrow transplantation improved the natural course of the disease in some types of MPS, but the morbidity and mortality restricted its use to selected cases. The identification of the genes involved, the new molecular biology tools and the availability of animal models made it possible to develop specific enzyme replacement therapies (ERT) for these diseases. At present, a great number of Brazilian medical centers from all regions of the country have experience with ERT for MPS I, II, and VI, acquired not only through patient treatment but also in clinical trials. Taking the three types of MPS together, over 200 patients have been treated with ERT in our country. This document summarizes the experience of the professionals involved, along with the data available in the international literature, bringing together and harmonizing the information available on the management of these severe and progressive diseases, thus disclosing new prospects for Brazilian patients affected by these conditions.", "author" : [ { "dropping-particle" : "", "family" : "Giugliani", "given" : "Roberto", "non-dropping-particle" : "", "parse-names" : false, "suffix" : "" }, { "dropping-particle" : "", "family" : "Federhen", "given" : "Andressa", "non-dropping-particle" : "", "parse-names" : false, "suffix" : "" }, { "dropping-particle" : "", "family" : "Rojas", "given" : "Maria Ver\u00f4nica Mu\u00f1oz", "non-dropping-particle" : "", "parse-names" : false, "suffix" : "" }, { "dropping-particle" : "", "family" : "Vieira", "given" : "Taiane", "non-dropping-particle" : "", "parse-names" : false, "suffix" : "" }, { "dropping-particle" : "", "family" : "Artigal\u00e1s", "given" : "Osvaldo", "non-dropping-particle" : "", "parse-names" : false, "suffix" : "" }, { "dropping-particle" : "", "family" : "Pinto", "given" : "Louise Lapagesse", "non-dropping-particle" : "", "parse-names" : false, "suffix" : "" }, { "dropping-particle" : "", "family" : "Azevedo", "given" : "Ana Cec\u00edlia", "non-dropping-particle" : "", "parse-names" : false, "suffix" : "" }, { "dropping-particle" : "", "family" : "Acosta", "given" : "Angelina", "non-dropping-particle" : "", "parse-names" : false, "suffix" : "" }, { "dropping-particle" : "", "family" : "Bonfim", "given" : "Carmen", "non-dropping-particle" : "", "parse-names" : false, "suffix" : "" }, { "dropping-particle" : "", "family" : "Louren\u00e7o", "given" : "Charles Marques", "non-dropping-particle" : "", "parse-names" : false, "suffix" : "" }, { "dropping-particle" : "", "family" : "Kim", "given" : "Chong Ae", "non-dropping-particle" : "", "parse-names" : false, "suffix" : "" }, { "dropping-particle" : "", "family" : "Horovitz", "given" : "Dafne", "non-dropping-particle" : "", "parse-names" : false, "suffix" : "" }, { "dropping-particle" : "", "family" : "Bonfim", "given" : "Denize", "non-dropping-particle" : "", "parse-names" : false, "suffix" : "" }, { "dropping-particle" : "", "family" : "Norato", "given" : "Denise", "non-dropping-particle" : "", "parse-names" : false, "suffix" : "" }, { "dropping-particle" : "", "family" : "Marinho", "given" : "Diane", "non-dropping-particle" : "", "parse-names" : false, "suffix" : "" }, { "dropping-particle" : "", "family" : "Palhares", "given" : "Durval", "non-dropping-particle" : "", "parse-names" : false, "suffix" : "" }, { "dropping-particle" : "", "family" : "Santos", "given" : "Emerson Santana", "non-dropping-particle" : "", "parse-names" : false, "suffix" : "" }, { "dropping-particle" : "", "family" : "Ribeiro", "given" : "Erlane", "non-dropping-particle" : "", "parse-names" : false, "suffix" : "" }, { "dropping-particle" : "", "family" : "Valadares", "given" : "Eug\u00eania", "non-dropping-particle" : "", "parse-names" : false, "suffix" : "" }, { "dropping-particle" : "", "family" : "Guarany", "given" : "F\u00e1bio", "non-dropping-particle" : "", "parse-names" : false, "suffix" : "" }, { "dropping-particle" : "", "family" : "Lucca", "given" : "Gisele Rosone", "non-dropping-particle" : "de", "parse-names" : false, "suffix" : "" }, { "dropping-particle" : "", "family" : "Pimentel", "given" : "Helena", "non-dropping-particle" : "", "parse-names" : false, "suffix" : "" }, { "dropping-particle" : "", "family" : "Souza", "given" : "Isabel Neves", "non-dropping-particle" : "de", "parse-names" : false, "suffix" : "" }, { "dropping-particle" : "", "family" : "Neto", "given" : "Jord\u00e3o Correa", "non-dropping-particle" : "", "parse-names" : false, "suffix" : "" }, { "dropping-particle" : "", "family" : "Fraga", "given" : "Jos\u00e9 Carlos", "non-dropping-particle" : "", "parse-names" : false, "suffix" : "" }, { "dropping-particle" : "", "family" : "Goes", "given" : "Jos\u00e9 Eduardo", "non-dropping-particle" : "", "parse-names" : false, "suffix" : "" }, { "dropping-particle" : "", "family" : "Cabral", "given" : "Jos\u00e9 Maria", "non-dropping-particle" : "", "parse-names" : false, "suffix" : "" }, { "dropping-particle" : "", "family" : "Simionato", "given" : "Jos\u00e9", "non-dropping-particle" : "", "parse-names" : false, "suffix" : "" }, { "dropping-particle" : "", "family" : "Llerena", "given" : "Juan", "non-dropping-particle" : "", "parse-names" : false, "suffix" : "" }, { "dropping-particle" : "", "family" : "Jardim", "given" : "Laura", "non-dropping-particle" : "", "parse-names" : false, "suffix" : "" }, { "dropping-particle" : "", "family" : "Giuliani", "given" : "Liane", "non-dropping-particle" : "", "parse-names" : false, "suffix" : "" }, { "dropping-particle" : "", "family" : "Silva", "given" : "Luiz Carlos Santana", "non-dropping-particle" : "da", "parse-names" : false, "suffix" : "" }, { "dropping-particle" : "", "family" : "Santos", "given" : "Mara L.", "non-dropping-particle" : "", "parse-names" : false, "suffix" : "" }, { "dropping-particle" : "", "family" : "Moreira", "given" : "Maria Angela", "non-dropping-particle" : "", "parse-names" : false, "suffix" : "" }, { "dropping-particle" : "", "family" : "Kerstenetzky", "given" : "Marcelo", "non-dropping-particle" : "", "parse-names" : false, "suffix" : "" }, { "dropping-particle" : "", "family" : "Ribeiro", "given" : "M\u00e1rcia", "non-dropping-particle" : "", "parse-names" : false, "suffix" : "" }, { "dropping-particle" : "", "family" : "Ruas", "given" : "Nicole", "non-dropping-particle" : "", "parse-names" : false, "suffix" : "" }, { "dropping-particle" : "", "family" : "Barrios", "given" : "Patricia", "non-dropping-particle" : "", "parse-names" : false, "suffix" : "" }, { "dropping-particle" : "", "family" : "Aranda", "given" : "Paulo", "non-dropping-particle" : "", "parse-names" : false, "suffix" : "" }, { "dropping-particle" : "", "family" : "Honjo", "given" : "Rachel", "non-dropping-particle" : "", "parse-names" : false, "suffix" : "" }, { "dropping-particle" : "", "family" : "Boy", "given" : "Raquel", "non-dropping-particle" : "", "parse-names" : false, "suffix" : "" }, { "dropping-particle" : "", "family" : "Costa", "given" : "Ronaldo", "non-dropping-particle" : "", "parse-names" : false, "suffix" : "" }, { "dropping-particle" : "", "family" : "Souza", "given" : "Carolina", "non-dropping-particle" : "", "parse-names" : false, "suffix" : "" }, { "dropping-particle" : "", "family" : "Alcantara", "given" : "Flavio F.", "non-dropping-particle" : "", "parse-names" : false, "suffix" : "" }, { "dropping-particle" : "", "family" : "Avilla", "given" : "Silvio Gilberto A", "non-dropping-particle" : "", "parse-names" : false, "suffix" : "" }, { "dropping-particle" : "", "family" : "Fagondes", "given" : "Simone", "non-dropping-particle" : "", "parse-names" : false, "suffix" : "" }, { "dropping-particle" : "", "family" : "Martins", "given" : "Ana Maria", "non-dropping-particle" : "", "parse-names" : false, "suffix" : "" } ], "container-title" : "Genetics and Molecular Biology", "id" : "ITEM-2", "issue" : "4", "issued" : { "date-parts" : [ [ "2010" ] ] }, "page" : "589-604", "title" : "Mucopolysaccharidosis I, II, and VI: Brief review and guidelines for treatment", "type" : "article-journal", "volume" : "33" }, "uris" : [ "http://www.mendeley.com/documents/?uuid=f17d1c38-f17e-4c99-aede-379c6264f7a4" ] } ], "mendeley" : { "formattedCitation" : "&lt;sup&gt;8,25&lt;/sup&gt;", "plainTextFormattedCitation" : "8,25", "previouslyFormattedCitation" : "&lt;sup&gt;8,25&lt;/sup&gt;"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8,25</w:t>
      </w:r>
      <w:r w:rsidRPr="003F585B">
        <w:rPr>
          <w:rFonts w:ascii="Arial" w:hAnsi="Arial" w:cs="Arial"/>
          <w:sz w:val="24"/>
          <w:szCs w:val="24"/>
        </w:rPr>
        <w:fldChar w:fldCharType="end"/>
      </w:r>
      <w:r w:rsidRPr="003F585B">
        <w:rPr>
          <w:rFonts w:ascii="Arial" w:hAnsi="Arial" w:cs="Arial"/>
          <w:sz w:val="24"/>
          <w:szCs w:val="24"/>
        </w:rPr>
        <w:t>, escoliose</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"10.1093/rheumatology/ker393", "ISBN" : "1462-0324", "ISSN" : "14620324", "PMID" : "22210667", "abstract" : "Skeletal abnormalities are an early and prominent feature of most mucopolysaccharide (MPS) disorders, with the degree of skeletal involvement varying between and within MPS subtypes. Most patients exhibit a constellation of radiographic abnormalities known as dysostosis multiplex, consisting of abnormally shaped vertebrae and ribs, enlarged skull, spatulate ribs, hypoplastic epiphyses, thickened diaphyses and bullet-shaped metacarpals. Thoracolumbar kyphosis or the gibbus deformity is often a key diagnostic clue. Also common are hip dysplasia, genu valgum and, later in the course of the disease, spinal cord compression, which can be life-threatening. Short stature is ubiquitous. Treatment of skeletal manifestations usually involves surgical intervention. All patients with MPS should be considered at high risk for surgical intervention requiring anaesthesia because of airway and cardiac disease manifestations. Regular imaging of the cervical, thoracic and lumbar spine, the hips and the lower extremities is recommended for patients with MPS.", "author" : [ { "dropping-particle" : "", "family" : "White", "given" : "Klane K.", "non-dropping-particle" : "", "parse-names" : false, "suffix" : "" } ], "container-title" : "Rheumatology", "id" : "ITEM-1", "issue" : "SUPPL. 5", "issued" : { "date-parts" : [ [ "2011" ] ] }, "page" : "26-33", "title" : "Orthopaedic aspects of mucopolysaccharidoses", "type" : "article-journal", "volume" : "50" }, "uris" : [ "http://www.mendeley.com/documents/?uuid=4eeeaa73-297b-4963-b62e-7030ea597ac3" ] } ], "mendeley" : { "formattedCitation" : "&lt;sup&gt;47&lt;/sup&gt;", "plainTextFormattedCitation" : "47", "previouslyFormattedCitation" : "&lt;sup&gt;47&lt;/sup&gt;"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47</w:t>
      </w:r>
      <w:r w:rsidRPr="003F585B">
        <w:rPr>
          <w:rFonts w:ascii="Arial" w:hAnsi="Arial" w:cs="Arial"/>
          <w:sz w:val="24"/>
          <w:szCs w:val="24"/>
        </w:rPr>
        <w:fldChar w:fldCharType="end"/>
      </w:r>
      <w:r w:rsidRPr="003F585B">
        <w:rPr>
          <w:rFonts w:ascii="Arial" w:hAnsi="Arial" w:cs="Arial"/>
          <w:sz w:val="24"/>
          <w:szCs w:val="24"/>
        </w:rPr>
        <w:t xml:space="preserve"> e hiperlordose lombar</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"author" : [ { "dropping-particle" : "", "family" : "Valayannopoulos V, Nicely H, Paul Harmatz P", "given" : "Turbeville S", "non-dropping-particle" : "", "parse-names" : false, "suffix" : "" } ], "container-title" : "Orphanet Journal of Rare Diseases", "id" : "ITEM-1", "issue" : "5", "issued" : { "date-parts" : [ [ "2010" ] ] }, "title" : "Mucopolysaccharidosis VI", "type" : "article-journal", "volume" : "5" }, "uris" : [ "http://www.mendeley.com/documents/?uuid=b6acff33-37c2-4f0b-a1fa-dc9a5fcfccf5" ] } ], "mendeley" : { "formattedCitation" : "&lt;sup&gt;20&lt;/sup&gt;", "plainTextFormattedCitation" : "20", "previouslyFormattedCitation" : "&lt;sup&gt;20&lt;/sup&gt;"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20</w:t>
      </w:r>
      <w:r w:rsidRPr="003F585B">
        <w:rPr>
          <w:rFonts w:ascii="Arial" w:hAnsi="Arial" w:cs="Arial"/>
          <w:sz w:val="24"/>
          <w:szCs w:val="24"/>
        </w:rPr>
        <w:fldChar w:fldCharType="end"/>
      </w:r>
      <w:r w:rsidR="00332E5D">
        <w:rPr>
          <w:rFonts w:ascii="Arial" w:hAnsi="Arial" w:cs="Arial"/>
          <w:sz w:val="24"/>
          <w:szCs w:val="24"/>
        </w:rPr>
        <w:t>);</w:t>
      </w:r>
      <w:r w:rsidRPr="003F585B">
        <w:rPr>
          <w:rFonts w:ascii="Arial" w:hAnsi="Arial" w:cs="Arial"/>
          <w:sz w:val="24"/>
          <w:szCs w:val="24"/>
        </w:rPr>
        <w:t xml:space="preserve"> alterações na caixa torácica (pectus carinatum)</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"10.1016/j.ymgme.2014.12.001", "author" : [ { "dropping-particle" : "", "family" : "Tomatsu", "given" : "Shunji", "non-dropping-particle" : "", "parse-names" : false, "suffix" : "" }, { "dropping-particle" : "", "family" : "Alm\u00e9ciga-D\u00edaz", "given" : "Carlos J", "non-dropping-particle" : "", "parse-names" : false, "suffix" : "" }, { "dropping-particle" : "", "family" : "Monta\u00f1o", "given" : "Adriana M", "non-dropping-particle" : "", "parse-names" : false, "suffix" : "" }, { "dropping-particle" : "", "family" : "Yabe", "given" : "Hiromasa", "non-dropping-particle" : "", "parse-names" : false, "suffix" : "" }, { "dropping-particle" : "", "family" : "Tanaka", "given" : "Akemi", "non-dropping-particle" : "", "parse-names" : false, "suffix" : "" }, { "dropping-particle" : "", "family" : "Dung", "given" : "Vu Chi", "non-dropping-particle" : "", "parse-names" : false, "suffix" : "" }, { "dropping-particle" : "", "family" : "Giugliani", "given" : "Roberto", "non-dropping-particle" : "", "parse-names" : false, "suffix" : "" }, { "dropping-particle" : "", "family" : "Kubaski", "given" : "Francyne", "non-dropping-particle" : "", "parse-names" : false, "suffix" : "" }, { "dropping-particle" : "", "family" : "Mason", "given" : "Robert W", "non-dropping-particle" : "", "parse-names" : false, "suffix" : "" }, { "dropping-particle" : "", "family" : "Yasuda", "given" : "Eriko", "non-dropping-particle" : "", "parse-names" : false, "suffix" : "" }, { "dropping-particle" : "", "family" : "Sawamoto", "given" : "Kazuki", "non-dropping-particle" : "", "parse-names" : false, "suffix" : "" }, { "dropping-particle" : "", "family" : "Mackenzie", "given" : "William", "non-dropping-particle" : "", "parse-names" : false, "suffix" : "" }, { "dropping-particle" : "", "family" : "Suzuki", "given" : "Yasuyuki", "non-dropping-particle" : "", "parse-names" : false, "suffix" : "" }, { "dropping-particle" : "", "family" : "Orii", "given" : "Kenji E", "non-dropping-particle" : "", "parse-names" : false, "suffix" : "" }, { "dropping-particle" : "", "family" : "Barrera", "given" : "Luis A", "non-dropping-particle" : "", "parse-names" : false, "suffix" : "" }, { "dropping-particle" : "", "family" : "Sly", "given" : "William S", "non-dropping-particle" : "", "parse-names" : false, "suffix" : "" }, { "dropping-particle" : "", "family" : "Orii", "given" : "Tadao", "non-dropping-particle" : "", "parse-names" : false, "suffix" : "" }, { "dropping-particle" : "", "family" : "Colombia", "given" : "D C", "non-dropping-particle" : "", "parse-names" : false, "suffix" : "" } ], "container-title" : "Mol Genet Metab", "id" : "ITEM-1", "issue" : "2", "issued" : { "date-parts" : [ [ "2015" ] ] }, "page" : "94-109", "title" : "Therapies for the bone in mucopolysaccharidoses", "type" : "article-journal", "volume" : "114" }, "uris" : [ "http://www.mendeley.com/documents/?uuid=b2d6fc11-b4ba-3f52-989c-e8d9484889d9" ] } ], "mendeley" : { "formattedCitation" : "&lt;sup&gt;6&lt;/sup&gt;", "plainTextFormattedCitation" : "6", "previouslyFormattedCitation" : "&lt;sup&gt;6&lt;/sup&gt;"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6</w:t>
      </w:r>
      <w:r w:rsidRPr="003F585B">
        <w:rPr>
          <w:rFonts w:ascii="Arial" w:hAnsi="Arial" w:cs="Arial"/>
          <w:sz w:val="24"/>
          <w:szCs w:val="24"/>
        </w:rPr>
        <w:fldChar w:fldCharType="end"/>
      </w:r>
      <w:r w:rsidR="00332E5D">
        <w:rPr>
          <w:rFonts w:ascii="Arial" w:hAnsi="Arial" w:cs="Arial"/>
          <w:sz w:val="24"/>
          <w:szCs w:val="24"/>
        </w:rPr>
        <w:t>;</w:t>
      </w:r>
      <w:r w:rsidRPr="003F585B">
        <w:rPr>
          <w:rFonts w:ascii="Arial" w:hAnsi="Arial" w:cs="Arial"/>
          <w:sz w:val="24"/>
          <w:szCs w:val="24"/>
        </w:rPr>
        <w:t xml:space="preserve"> baixa estatura devido retardo do crescimento</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"10.1093/rheumatology/ker390", "ISBN" : "1462-0332 (Electronic)\\n1462-0324 (Linking)", "ISSN" : "14620324", "PMID" : "22210670", "abstract" : "The mucopolysaccharidoses (MPSs) often present a diagnostic challenge, particularly for patients who have more slowly progressive disease phenotypes, as early disease manifestations can be subtle or non-specific. However, certain types of bone and joint involvement should always prompt consideration of an MPS diagnosis, such as early joint involvement without classic inflammatory features or erosive bone lesions, claw hand, spinal deformities or dysostosis multiplex. All such patients should be referred to a geneticist or metabolic specialist for diagnostic evaluation. The earlier the diagnosis is made, the better the potential outcome of treatment. Each type of MPS is associated both with deficient activity of a specific lysosomal enzyme that degrades specific glycosaminoglycans (GAGs) and with abnormalities in urinary GAG excretion. MPS patients usually excrete excess GAG in urine and/or have different relative proportions of types of GAG in urine as compared with age-matched normal subjects. Although urinary GAG analyses (both quantitative and qualitative) can suggest the most likely type of MPS, diagnosis must be confirmed by enzyme assay. Multiple assays may be necessary to identify the disease subtype. Correct identification of the MPS type is essential to guide treatment and management decisions.", "author" : [ { "dropping-particle" : "", "family" : "Lehman", "given" : "Thomas J A", "non-dropping-particle" : "", "parse-names" : false, "suffix" : "" }, { "dropping-particle" : "", "family" : "Miller", "given" : "Nicole", "non-dropping-particle" : "", "parse-names" : false, "suffix" : "" }, { "dropping-particle" : "", "family" : "Norquist", "given" : "Becky", "non-dropping-particle" : "", "parse-names" : false, "suffix" : "" }, { "dropping-particle" : "", "family" : "Underhill", "given" : "Lisa", "non-dropping-particle" : "", "parse-names" : false, "suffix" : "" }, { "dropping-particle" : "", "family" : "Keutzer", "given" : "Joan", "non-dropping-particle" : "", "parse-names" : false, "suffix" : "" } ], "container-title" : "Rheumatology", "id" : "ITEM-1", "issue" : "SUPPL. 5", "issued" : { "date-parts" : [ [ "2011" ] ] }, "page" : "41-48", "title" : "Diagnosis of the mucopolysaccharidoses", "type" : "article-journal", "volume" : "50" }, "uris" : [ "http://www.mendeley.com/documents/?uuid=2d68b9fd-2729-4930-b57e-e756814a94b9" ] } ], "mendeley" : { "formattedCitation" : "&lt;sup&gt;8&lt;/sup&gt;", "plainTextFormattedCitation" : "8", "previouslyFormattedCitation" : "&lt;sup&gt;8&lt;/sup&gt;"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8</w:t>
      </w:r>
      <w:r w:rsidRPr="003F585B">
        <w:rPr>
          <w:rFonts w:ascii="Arial" w:hAnsi="Arial" w:cs="Arial"/>
          <w:sz w:val="24"/>
          <w:szCs w:val="24"/>
        </w:rPr>
        <w:fldChar w:fldCharType="end"/>
      </w:r>
      <w:r w:rsidR="00332E5D">
        <w:rPr>
          <w:rFonts w:ascii="Arial" w:hAnsi="Arial" w:cs="Arial"/>
          <w:sz w:val="24"/>
          <w:szCs w:val="24"/>
        </w:rPr>
        <w:t>;</w:t>
      </w:r>
      <w:r w:rsidRPr="003F585B">
        <w:rPr>
          <w:rFonts w:ascii="Arial" w:hAnsi="Arial" w:cs="Arial"/>
          <w:sz w:val="24"/>
          <w:szCs w:val="24"/>
        </w:rPr>
        <w:t xml:space="preserve"> displasia do quadril e deformidade em valgo do joelho (geno valgo)</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"10.1093/rheumatology/ker393", "ISBN" : "1462-0324", "ISSN" : "14620324", "PMID" : "22210667", "abstract" : "Skeletal abnormalities are an early and prominent feature of most mucopolysaccharide (MPS) disorders, with the degree of skeletal involvement varying between and within MPS subtypes. Most patients exhibit a constellation of radiographic abnormalities known as dysostosis multiplex, consisting of abnormally shaped vertebrae and ribs, enlarged skull, spatulate ribs, hypoplastic epiphyses, thickened diaphyses and bullet-shaped metacarpals. Thoracolumbar kyphosis or the gibbus deformity is often a key diagnostic clue. Also common are hip dysplasia, genu valgum and, later in the course of the disease, spinal cord compression, which can be life-threatening. Short stature is ubiquitous. Treatment of skeletal manifestations usually involves surgical intervention. All patients with MPS should be considered at high risk for surgical intervention requiring anaesthesia because of airway and cardiac disease manifestations. Regular imaging of the cervical, thoracic and lumbar spine, the hips and the lower extremities is recommended for patients with MPS.", "author" : [ { "dropping-particle" : "", "family" : "White", "given" : "Klane K.", "non-dropping-particle" : "", "parse-names" : false, "suffix" : "" } ], "container-title" : "Rheumatology", "id" : "ITEM-1", "issue" : "SUPPL. 5", "issued" : { "date-parts" : [ [ "2011" ] ] }, "page" : "26-33", "title" : "Orthopaedic aspects of mucopolysaccharidoses", "type" : "article-journal", "volume" : "50" }, "uris" : [ "http://www.mendeley.com/documents/?uuid=4eeeaa73-297b-4963-b62e-7030ea597ac3" ] } ], "mendeley" : { "formattedCitation" : "&lt;sup&gt;47&lt;/sup&gt;", "plainTextFormattedCitation" : "47", "previouslyFormattedCitation" : "&lt;sup&gt;47&lt;/sup&gt;"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47</w:t>
      </w:r>
      <w:r w:rsidRPr="003F585B">
        <w:rPr>
          <w:rFonts w:ascii="Arial" w:hAnsi="Arial" w:cs="Arial"/>
          <w:sz w:val="24"/>
          <w:szCs w:val="24"/>
        </w:rPr>
        <w:fldChar w:fldCharType="end"/>
      </w:r>
      <w:r w:rsidR="00332E5D">
        <w:rPr>
          <w:rFonts w:ascii="Arial" w:hAnsi="Arial" w:cs="Arial"/>
          <w:sz w:val="24"/>
          <w:szCs w:val="24"/>
        </w:rPr>
        <w:t>. Existe também a possibilidade da</w:t>
      </w:r>
      <w:r w:rsidRPr="003F585B">
        <w:rPr>
          <w:rFonts w:ascii="Arial" w:hAnsi="Arial" w:cs="Arial"/>
          <w:sz w:val="24"/>
          <w:szCs w:val="24"/>
        </w:rPr>
        <w:t xml:space="preserve"> evidência radiológica de disostose múltipla que inclui</w:t>
      </w:r>
      <w:r w:rsidR="006D43EB">
        <w:rPr>
          <w:rFonts w:ascii="Arial" w:hAnsi="Arial" w:cs="Arial"/>
          <w:sz w:val="24"/>
          <w:szCs w:val="24"/>
        </w:rPr>
        <w:t>: alargamento do crânio;</w:t>
      </w:r>
      <w:r w:rsidRPr="003F585B">
        <w:rPr>
          <w:rFonts w:ascii="Arial" w:hAnsi="Arial" w:cs="Arial"/>
          <w:sz w:val="24"/>
          <w:szCs w:val="24"/>
        </w:rPr>
        <w:t xml:space="preserve"> espessamento da calota craniana</w:t>
      </w:r>
      <w:r w:rsidR="006D43EB">
        <w:rPr>
          <w:rFonts w:ascii="Arial" w:hAnsi="Arial" w:cs="Arial"/>
          <w:sz w:val="24"/>
          <w:szCs w:val="24"/>
        </w:rPr>
        <w:t>;</w:t>
      </w:r>
      <w:r w:rsidRPr="003F585B">
        <w:rPr>
          <w:rFonts w:ascii="Arial" w:hAnsi="Arial" w:cs="Arial"/>
          <w:sz w:val="24"/>
          <w:szCs w:val="24"/>
        </w:rPr>
        <w:t xml:space="preserve"> sela túrcica em forma de ‘J’</w:t>
      </w:r>
      <w:r w:rsidR="006D43EB">
        <w:rPr>
          <w:rFonts w:ascii="Arial" w:hAnsi="Arial" w:cs="Arial"/>
          <w:sz w:val="24"/>
          <w:szCs w:val="24"/>
        </w:rPr>
        <w:t>;</w:t>
      </w:r>
      <w:r w:rsidRPr="003F585B">
        <w:rPr>
          <w:rFonts w:ascii="Arial" w:hAnsi="Arial" w:cs="Arial"/>
          <w:sz w:val="24"/>
          <w:szCs w:val="24"/>
        </w:rPr>
        <w:t xml:space="preserve"> hipoplasia dos corpos vertebrais lombares</w:t>
      </w:r>
      <w:r w:rsidR="006D43EB">
        <w:rPr>
          <w:rFonts w:ascii="Arial" w:hAnsi="Arial" w:cs="Arial"/>
          <w:sz w:val="24"/>
          <w:szCs w:val="24"/>
        </w:rPr>
        <w:t>; clavículas curtas e espessadas;</w:t>
      </w:r>
      <w:r w:rsidRPr="003F585B">
        <w:rPr>
          <w:rFonts w:ascii="Arial" w:hAnsi="Arial" w:cs="Arial"/>
          <w:sz w:val="24"/>
          <w:szCs w:val="24"/>
        </w:rPr>
        <w:t xml:space="preserve"> costelas em forma de remo (estreitas na extremidade vertebral e ala</w:t>
      </w:r>
      <w:r w:rsidR="006D43EB">
        <w:rPr>
          <w:rFonts w:ascii="Arial" w:hAnsi="Arial" w:cs="Arial"/>
          <w:sz w:val="24"/>
          <w:szCs w:val="24"/>
        </w:rPr>
        <w:t>rgadas na extremidade esternal);</w:t>
      </w:r>
      <w:r w:rsidRPr="003F585B">
        <w:rPr>
          <w:rFonts w:ascii="Arial" w:hAnsi="Arial" w:cs="Arial"/>
          <w:sz w:val="24"/>
          <w:szCs w:val="24"/>
        </w:rPr>
        <w:t xml:space="preserve"> inclina</w:t>
      </w:r>
      <w:r w:rsidR="006D43EB">
        <w:rPr>
          <w:rFonts w:ascii="Arial" w:hAnsi="Arial" w:cs="Arial"/>
          <w:sz w:val="24"/>
          <w:szCs w:val="24"/>
        </w:rPr>
        <w:t>ção das epífises radial e ulnar;</w:t>
      </w:r>
      <w:r w:rsidRPr="003F585B">
        <w:rPr>
          <w:rFonts w:ascii="Arial" w:hAnsi="Arial" w:cs="Arial"/>
          <w:sz w:val="24"/>
          <w:szCs w:val="24"/>
        </w:rPr>
        <w:t xml:space="preserve"> metacarpos curtos e falanges com afilamento na extremidade distal,</w:t>
      </w:r>
      <w:r w:rsidR="006D43EB">
        <w:rPr>
          <w:rFonts w:ascii="Arial" w:hAnsi="Arial" w:cs="Arial"/>
          <w:sz w:val="24"/>
          <w:szCs w:val="24"/>
        </w:rPr>
        <w:t xml:space="preserve"> conferindo-lhes o</w:t>
      </w:r>
      <w:r w:rsidRPr="003F585B">
        <w:rPr>
          <w:rFonts w:ascii="Arial" w:hAnsi="Arial" w:cs="Arial"/>
          <w:sz w:val="24"/>
          <w:szCs w:val="24"/>
        </w:rPr>
        <w:t xml:space="preserve"> aspecto de</w:t>
      </w:r>
      <w:r>
        <w:rPr>
          <w:rFonts w:ascii="Arial" w:hAnsi="Arial" w:cs="Arial"/>
          <w:sz w:val="24"/>
          <w:szCs w:val="24"/>
        </w:rPr>
        <w:t xml:space="preserve"> projétil de arma de fogo</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"10.1093/rheumatology/ker393", "ISBN" : "1462-0324", "ISSN" : "14620324", "PMID" : "22210667", "abstract" : "Skeletal abnormalities are an early and prominent feature of most mucopolysaccharide (MPS) disorders, with the degree of skeletal involvement varying between and within MPS subtypes. Most patients exhibit a constellation of radiographic abnormalities known as dysostosis multiplex, consisting of abnormally shaped vertebrae and ribs, enlarged skull, spatulate ribs, hypoplastic epiphyses, thickened diaphyses and bullet-shaped metacarpals. Thoracolumbar kyphosis or the gibbus deformity is often a key diagnostic clue. Also common are hip dysplasia, genu valgum and, later in the course of the disease, spinal cord compression, which can be life-threatening. Short stature is ubiquitous. Treatment of skeletal manifestations usually involves surgical intervention. All patients with MPS should be considered at high risk for surgical intervention requiring anaesthesia because of airway and cardiac disease manifestations. Regular imaging of the cervical, thoracic and lumbar spine, the hips and the lower extremities is recommended for patients with MPS.", "author" : [ { "dropping-particle" : "", "family" : "White", "given" : "Klane K.", "non-dropping-particle" : "", "parse-names" : false, "suffix" : "" } ], "container-title" : "Rheumatology", "id" : "ITEM-1", "issue" : "SUPPL. 5", "issued" : { "date-parts" : [ [ "2011" ] ] }, "page" : "26-33", "title" : "Orthopaedic aspects of mucopolysaccharidoses", "type" : "article-journal", "volume" : "50" }, "uris" : [ "http://www.mendeley.com/documents/?uuid=4eeeaa73-297b-4963-b62e-7030ea597ac3" ] } ], "mendeley" : { "formattedCitation" : "&lt;sup&gt;47&lt;/sup&gt;", "plainTextFormattedCitation" : "47", "previouslyFormattedCitation" : "&lt;sup&gt;47&lt;/sup&gt;"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47</w:t>
      </w:r>
      <w:r w:rsidRPr="003F585B">
        <w:rPr>
          <w:rFonts w:ascii="Arial" w:hAnsi="Arial" w:cs="Arial"/>
          <w:sz w:val="24"/>
          <w:szCs w:val="24"/>
        </w:rPr>
        <w:fldChar w:fldCharType="end"/>
      </w:r>
      <w:r w:rsidRPr="003F585B">
        <w:rPr>
          <w:rFonts w:ascii="Arial" w:hAnsi="Arial" w:cs="Arial"/>
          <w:sz w:val="24"/>
          <w:szCs w:val="24"/>
        </w:rPr>
        <w:t>.</w:t>
      </w:r>
    </w:p>
    <w:p w:rsidR="00A62F69" w:rsidRDefault="00A62F69" w:rsidP="00491682">
      <w:pPr>
        <w:spacing w:after="0" w:line="360" w:lineRule="auto"/>
        <w:jc w:val="both"/>
        <w:rPr>
          <w:rFonts w:ascii="Arial" w:hAnsi="Arial" w:cs="Arial"/>
          <w:sz w:val="24"/>
          <w:szCs w:val="24"/>
        </w:rPr>
      </w:pPr>
    </w:p>
    <w:p w:rsidR="00EB34BF" w:rsidRPr="003F585B" w:rsidRDefault="00EB34BF" w:rsidP="00491682">
      <w:pPr>
        <w:spacing w:after="0" w:line="360" w:lineRule="auto"/>
        <w:jc w:val="both"/>
        <w:rPr>
          <w:rFonts w:ascii="Arial" w:hAnsi="Arial" w:cs="Arial"/>
          <w:sz w:val="24"/>
          <w:szCs w:val="24"/>
        </w:rPr>
      </w:pPr>
      <w:r w:rsidRPr="003F585B">
        <w:rPr>
          <w:rFonts w:ascii="Arial" w:hAnsi="Arial" w:cs="Arial"/>
          <w:sz w:val="24"/>
          <w:szCs w:val="24"/>
        </w:rPr>
        <w:t>Outras características comuns a pacientes com MPS correspondem a fácies grosseira</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"10.1093/rheumatology/ker390", "ISBN" : "1462-0332 (Electronic)\\n1462-0324 (Linking)", "ISSN" : "14620324", "PMID" : "22210670", "abstract" : "The mucopolysaccharidoses (MPSs) often present a diagnostic challenge, particularly for patients who have more slowly progressive disease phenotypes, as early disease manifestations can be subtle or non-specific. However, certain types of bone and joint involvement should always prompt consideration of an MPS diagnosis, such as early joint involvement without classic inflammatory features or erosive bone lesions, claw hand, spinal deformities or dysostosis multiplex. All such patients should be referred to a geneticist or metabolic specialist for diagnostic evaluation. The earlier the diagnosis is made, the better the potential outcome of treatment. Each type of MPS is associated both with deficient activity of a specific lysosomal enzyme that degrades specific glycosaminoglycans (GAGs) and with abnormalities in urinary GAG excretion. MPS patients usually excrete excess GAG in urine and/or have different relative proportions of types of GAG in urine as compared with age-matched normal subjects. Although urinary GAG analyses (both quantitative and qualitative) can suggest the most likely type of MPS, diagnosis must be confirmed by enzyme assay. Multiple assays may be necessary to identify the disease subtype. Correct identification of the MPS type is essential to guide treatment and management decisions.", "author" : [ { "dropping-particle" : "", "family" : "Lehman", "given" : "Thomas J A", "non-dropping-particle" : "", "parse-names" : false, "suffix" : "" }, { "dropping-particle" : "", "family" : "Miller", "given" : "Nicole", "non-dropping-particle" : "", "parse-names" : false, "suffix" : "" }, { "dropping-particle" : "", "family" : "Norquist", "given" : "Becky", "non-dropping-particle" : "", "parse-names" : false, "suffix" : "" }, { "dropping-particle" : "", "family" : "Underhill", "given" : "Lisa", "non-dropping-particle" : "", "parse-names" : false, "suffix" : "" }, { "dropping-particle" : "", "family" : "Keutzer", "given" : "Joan", "non-dropping-particle" : "", "parse-names" : false, "suffix" : "" } ], "container-title" : "Rheumatology", "id" : "ITEM-1", "issue" : "SUPPL. 5", "issued" : { "date-parts" : [ [ "2011" ] ] }, "page" : "41-48", "title" : "Diagnosis of the mucopolysaccharidoses", "type" : "article-journal", "volume" : "50" }, "uris" : [ "http://www.mendeley.com/documents/?uuid=2d68b9fd-2729-4930-b57e-e756814a94b9" ] }, { "id" : "ITEM-2", "itemData" : { "DOI" : "10.1590/S0104-42302010000300009", "ISSN" : "0104-4230", "abstract" : "As mucopolissacaridoses (MPS) s\u00e3o doen\u00e7as gen\u00e9ticas raras causadas pela defici\u00eancia de enzimas lisoss\u00f4micas espec\u00edficas que afetam o catabolismo de glicosaminoglicanos (GAG). O ac\u00famulo de GAG em v\u00e1rios \u00f3rg\u00e3os e tecidos nos pacientes afetados pelas MPS resulta em uma s\u00e9rie de sinais e sintomas, integrantes de um quadro cl\u00ednico multissist\u00eamico que compromete ossos e articula\u00e7\u00f5es, vias respirat\u00f3rias, sistema cardiovascular e muitos outros \u00f3rg\u00e3os e tecidos, incluindo, em alguns casos, as fun\u00e7\u00f5es cognitivas. J\u00e1 foram identificados 11 defeitos enzim\u00e1ticos que causam sete tipos diferentes de MPS. Antes do advento de terapias dirigidas para a restaura\u00e7\u00e3o da atividade da enzima deficiente, o tratamento das MPS tinha como principal foco a preven\u00e7\u00e3o e o cuidado das complica\u00e7\u00f5es, aspecto ainda bastante importante no manejo desses pacientes. Na d\u00e9cada de 80 foi proposto o tratamento das MPS com transplante de medula \u00f3ssea/transplante de c\u00e9lulas tronco hematopoi\u00e9ticas (TMO/TCTH) e na d\u00e9cada de 90 come\u00e7ou o desenvolvimento da Terapia de Reposi\u00e7\u00e3o Enzim\u00e1tica (TRE), que se tornou uma realidade aprovada para uso cl\u00ednico nas MPS I, II e VI na primeira d\u00e9cada do s\u00e9culo 21. Os autores deste trabalho t\u00eam a convic\u00e7\u00e3o de que um melhor futuro para os pacientes afetados pelas MPS depende da identifica\u00e7\u00e3o, compreens\u00e3o e manejo adequado das manifesta\u00e7\u00f5es multissist\u00eamicas dessas doen\u00e7as, incluindo medidas de suporte (que devem fazer parte da assist\u00eancia multidisciplinar regular destes pacientes) e terapias espec\u00edficas. Embora a inibi\u00e7\u00e3o da s\u00edntese de GAG e o resgate da atividade enzim\u00e1tica com mol\u00e9culas pequenas tamb\u00e9m possam vir a ter um papel no manejo das MPS, o grande avan\u00e7o dispon\u00edvel no momento \u00e9 a TRE intravenosa. A TRE permitiu modificar radicalmente o panorama do tratamento das mucopolissacaridoses I, II e VI na \u00faltima d\u00e9cada, sendo que ainda pode estender seus benef\u00edcios em breve para a MPS IV A (cuja TRE j\u00e1 est\u00e1 em desenvolvimento cl\u00ednico), com perspectivas para o tratamento da MPS III A e do d\u00e9ficit cognitivo na MPS II atrav\u00e9s de administra\u00e7\u00e3o da enzima diretamente no sistema nervoso central (SNC). Um grande n\u00famero de centros brasileiros, incluindo servi\u00e7os de todas as regi\u00f5es do pa\u00eds, j\u00e1 t\u00eam experi\u00eancia com TRE para MPS I, II e VI. Essa experi\u00eancia foi adquirida n\u00e3o s\u00f3 com o tratamento de pacientes como tamb\u00e9m com a participa\u00e7\u00e3o de alguns grupos em ensaios cl\u00ednicos envolvendo TRE para essas condi\u00e7\u00f5es. Somados os tr\u00eas tipos de MPS, mais de 250 pacientes j\u00e1 foram tratado\u2026", "author" : [ { "dropping-particle" : "", "family" : "Giugliani R, Federhen A, Rojas MV, Vieira TA, Artigal\u00e1s O, Pinto LL", "given" : "et al.", "non-dropping-particle" : "", "parse-names" : false, "suffix" : "" } ], "container-title" : "Rev Assoc Med Bras", "id" : "ITEM-2", "issue" : "3", "issued" : { "date-parts" : [ [ "2010" ] ] }, "page" : "271-277", "title" : "Terapia de reposi\u00e7\u00e3o enzim\u00e1tica para as mucopolissacaridoses I , II e VI: recomenda\u00e7\u00f5es de um grupo de especialistas brasileiros", "type" : "article-journal", "volume" : "56" }, "uris" : [ "http://www.mendeley.com/documents/?uuid=20e9b74c-f667-4827-868e-144e7b460615" ] } ], "mendeley" : { "formattedCitation" : "&lt;sup&gt;8,24&lt;/sup&gt;", "plainTextFormattedCitation" : "8,24", "previouslyFormattedCitation" : "&lt;sup&gt;8,24&lt;/sup&gt;"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8,24</w:t>
      </w:r>
      <w:r w:rsidRPr="003F585B">
        <w:rPr>
          <w:rFonts w:ascii="Arial" w:hAnsi="Arial" w:cs="Arial"/>
          <w:sz w:val="24"/>
          <w:szCs w:val="24"/>
        </w:rPr>
        <w:fldChar w:fldCharType="end"/>
      </w:r>
      <w:r w:rsidRPr="003F585B">
        <w:rPr>
          <w:rFonts w:ascii="Arial" w:hAnsi="Arial" w:cs="Arial"/>
          <w:sz w:val="24"/>
          <w:szCs w:val="24"/>
        </w:rPr>
        <w:t xml:space="preserve"> (incluindo fronte ampla, sobrancelhas espessas, narinas antevertidas, macroglossia, hipertrofia gengival, retardo da erupção dentária e má implantação dos dentes</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"author" : [ { "dropping-particle" : "", "family" : "Valayannopoulos V, Nicely H, Paul Harmatz P", "given" : "Turbeville S", "non-dropping-particle" : "", "parse-names" : false, "suffix" : "" } ], "container-title" : "Orphanet Journal of Rare Diseases", "id" : "ITEM-1", "issue" : "5", "issued" : { "date-parts" : [ [ "2010" ] ] }, "title" : "Mucopolysaccharidosis VI", "type" : "article-journal", "volume" : "5" }, "uris" : [ "http://www.mendeley.com/documents/?uuid=b6acff33-37c2-4f0b-a1fa-dc9a5fcfccf5" ] }, { "id" : "ITEM-2", "itemData" : { "DOI" : "10.1590/S0004-27302003000100014", "ISSN" : "0004-2730", "author" : [ { "dropping-particle" : "", "family" : "Borges", "given" : "Maria F.", "non-dropping-particle" : "", "parse-names" : false, "suffix" : "" }, { "dropping-particle" : "", "family" : "Tavares", "given" : "Fernanda S.", "non-dropping-particle" : "", "parse-names" : false, "suffix" : "" }, { "dropping-particle" : "", "family" : "Silva", "given" : "Paula C.L.", "non-dropping-particle" : "", "parse-names" : false, "suffix" : "" }, { "dropping-particle" : "", "family" : "Oliveira", "given" : "Zuleica A.R.", "non-dropping-particle" : "", "parse-names" : false, "suffix" : "" }, { "dropping-particle" : "", "family" : "Ballarin", "given" : "Marly A.S.", "non-dropping-particle" : "", "parse-names" : false, "suffix" : "" }, { "dropping-particle" : "", "family" : "Gomes", "given" : "Roseli A.", "non-dropping-particle" : "", "parse-names" : false, "suffix" : "" }, { "dropping-particle" : "", "family" : "Ferreira", "given" : "Beatriz P.", "non-dropping-particle" : "", "parse-names" : false, "suffix" : "" } ], "container-title" : "Arq Bras Endocrinol Metab", "id" : "ITEM-2", "issue" : "1", "issued" : { "date-parts" : [ [ "2003" ] ] }, "page" : "87-94", "title" : "Mucopolissacaridose Tipo VI (S\u00edndrome de Maroteaux-Lamy): Avalia\u00e7\u00e3o end\u00f3crina de tr\u00eas casos", "type" : "article-journal", "volume" : "47" }, "uris" : [ "http://www.mendeley.com/documents/?uuid=0c17fdc5-9a01-4e42-af93-73251347298a" ] } ], "mendeley" : { "formattedCitation" : "&lt;sup&gt;20,48&lt;/sup&gt;", "plainTextFormattedCitation" : "20,48", "previouslyFormattedCitation" : "&lt;sup&gt;20,48&lt;/sup&gt;"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20,48</w:t>
      </w:r>
      <w:r w:rsidRPr="003F585B">
        <w:rPr>
          <w:rFonts w:ascii="Arial" w:hAnsi="Arial" w:cs="Arial"/>
          <w:sz w:val="24"/>
          <w:szCs w:val="24"/>
        </w:rPr>
        <w:fldChar w:fldCharType="end"/>
      </w:r>
      <w:r w:rsidR="000064F2">
        <w:rPr>
          <w:rFonts w:ascii="Arial" w:hAnsi="Arial" w:cs="Arial"/>
          <w:sz w:val="24"/>
          <w:szCs w:val="24"/>
        </w:rPr>
        <w:t>);</w:t>
      </w:r>
      <w:r w:rsidRPr="003F585B">
        <w:rPr>
          <w:rFonts w:ascii="Arial" w:hAnsi="Arial" w:cs="Arial"/>
          <w:sz w:val="24"/>
          <w:szCs w:val="24"/>
        </w:rPr>
        <w:t xml:space="preserve"> opacificação da córnea</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"10.1093/rheumatology/ker390", "ISBN" : "1462-0332 (Electronic)\\n1462-0324 (Linking)", "ISSN" : "14620324", "PMID" : "22210670", "abstract" : "The mucopolysaccharidoses (MPSs) often present a diagnostic challenge, particularly for patients who have more slowly progressive disease phenotypes, as early disease manifestations can be subtle or non-specific. However, certain types of bone and joint involvement should always prompt consideration of an MPS diagnosis, such as early joint involvement without classic inflammatory features or erosive bone lesions, claw hand, spinal deformities or dysostosis multiplex. All such patients should be referred to a geneticist or metabolic specialist for diagnostic evaluation. The earlier the diagnosis is made, the better the potential outcome of treatment. Each type of MPS is associated both with deficient activity of a specific lysosomal enzyme that degrades specific glycosaminoglycans (GAGs) and with abnormalities in urinary GAG excretion. MPS patients usually excrete excess GAG in urine and/or have different relative proportions of types of GAG in urine as compared with age-matched normal subjects. Although urinary GAG analyses (both quantitative and qualitative) can suggest the most likely type of MPS, diagnosis must be confirmed by enzyme assay. Multiple assays may be necessary to identify the disease subtype. Correct identification of the MPS type is essential to guide treatment and management decisions.", "author" : [ { "dropping-particle" : "", "family" : "Lehman", "given" : "Thomas J A", "non-dropping-particle" : "", "parse-names" : false, "suffix" : "" }, { "dropping-particle" : "", "family" : "Miller", "given" : "Nicole", "non-dropping-particle" : "", "parse-names" : false, "suffix" : "" }, { "dropping-particle" : "", "family" : "Norquist", "given" : "Becky", "non-dropping-particle" : "", "parse-names" : false, "suffix" : "" }, { "dropping-particle" : "", "family" : "Underhill", "given" : "Lisa", "non-dropping-particle" : "", "parse-names" : false, "suffix" : "" }, { "dropping-particle" : "", "family" : "Keutzer", "given" : "Joan", "non-dropping-particle" : "", "parse-names" : false, "suffix" : "" } ], "container-title" : "Rheumatology", "id" : "ITEM-1", "issue" : "SUPPL. 5", "issued" : { "date-parts" : [ [ "2011" ] ] }, "page" : "41-48", "title" : "Diagnosis of the mucopolysaccharidoses", "type" : "article-journal", "volume" : "50" }, "uris" : [ "http://www.mendeley.com/documents/?uuid=2d68b9fd-2729-4930-b57e-e756814a94b9" ] }, { "id" : "ITEM-2", "itemData" : { "DOI" : "10.1590/S0104-42302010000300009", "ISSN" : "0104-4230", "abstract" : "As mucopolissacaridoses (MPS) s\u00e3o doen\u00e7as gen\u00e9ticas raras causadas pela defici\u00eancia de enzimas lisoss\u00f4micas espec\u00edficas que afetam o catabolismo de glicosaminoglicanos (GAG). O ac\u00famulo de GAG em v\u00e1rios \u00f3rg\u00e3os e tecidos nos pacientes afetados pelas MPS resulta em uma s\u00e9rie de sinais e sintomas, integrantes de um quadro cl\u00ednico multissist\u00eamico que compromete ossos e articula\u00e7\u00f5es, vias respirat\u00f3rias, sistema cardiovascular e muitos outros \u00f3rg\u00e3os e tecidos, incluindo, em alguns casos, as fun\u00e7\u00f5es cognitivas. J\u00e1 foram identificados 11 defeitos enzim\u00e1ticos que causam sete tipos diferentes de MPS. Antes do advento de terapias dirigidas para a restaura\u00e7\u00e3o da atividade da enzima deficiente, o tratamento das MPS tinha como principal foco a preven\u00e7\u00e3o e o cuidado das complica\u00e7\u00f5es, aspecto ainda bastante importante no manejo desses pacientes. Na d\u00e9cada de 80 foi proposto o tratamento das MPS com transplante de medula \u00f3ssea/transplante de c\u00e9lulas tronco hematopoi\u00e9ticas (TMO/TCTH) e na d\u00e9cada de 90 come\u00e7ou o desenvolvimento da Terapia de Reposi\u00e7\u00e3o Enzim\u00e1tica (TRE), que se tornou uma realidade aprovada para uso cl\u00ednico nas MPS I, II e VI na primeira d\u00e9cada do s\u00e9culo 21. Os autores deste trabalho t\u00eam a convic\u00e7\u00e3o de que um melhor futuro para os pacientes afetados pelas MPS depende da identifica\u00e7\u00e3o, compreens\u00e3o e manejo adequado das manifesta\u00e7\u00f5es multissist\u00eamicas dessas doen\u00e7as, incluindo medidas de suporte (que devem fazer parte da assist\u00eancia multidisciplinar regular destes pacientes) e terapias espec\u00edficas. Embora a inibi\u00e7\u00e3o da s\u00edntese de GAG e o resgate da atividade enzim\u00e1tica com mol\u00e9culas pequenas tamb\u00e9m possam vir a ter um papel no manejo das MPS, o grande avan\u00e7o dispon\u00edvel no momento \u00e9 a TRE intravenosa. A TRE permitiu modificar radicalmente o panorama do tratamento das mucopolissacaridoses I, II e VI na \u00faltima d\u00e9cada, sendo que ainda pode estender seus benef\u00edcios em breve para a MPS IV A (cuja TRE j\u00e1 est\u00e1 em desenvolvimento cl\u00ednico), com perspectivas para o tratamento da MPS III A e do d\u00e9ficit cognitivo na MPS II atrav\u00e9s de administra\u00e7\u00e3o da enzima diretamente no sistema nervoso central (SNC). Um grande n\u00famero de centros brasileiros, incluindo servi\u00e7os de todas as regi\u00f5es do pa\u00eds, j\u00e1 t\u00eam experi\u00eancia com TRE para MPS I, II e VI. Essa experi\u00eancia foi adquirida n\u00e3o s\u00f3 com o tratamento de pacientes como tamb\u00e9m com a participa\u00e7\u00e3o de alguns grupos em ensaios cl\u00ednicos envolvendo TRE para essas condi\u00e7\u00f5es. Somados os tr\u00eas tipos de MPS, mais de 250 pacientes j\u00e1 foram tratado\u2026", "author" : [ { "dropping-particle" : "", "family" : "Giugliani R, Federhen A, Rojas MV, Vieira TA, Artigal\u00e1s O, Pinto LL", "given" : "et al.", "non-dropping-particle" : "", "parse-names" : false, "suffix" : "" } ], "container-title" : "Rev Assoc Med Bras", "id" : "ITEM-2", "issue" : "3", "issued" : { "date-parts" : [ [ "2010" ] ] }, "page" : "271-277", "title" : "Terapia de reposi\u00e7\u00e3o enzim\u00e1tica para as mucopolissacaridoses I , II e VI: recomenda\u00e7\u00f5es de um grupo de especialistas brasileiros", "type" : "article-journal", "volume" : "56" }, "uris" : [ "http://www.mendeley.com/documents/?uuid=20e9b74c-f667-4827-868e-144e7b460615" ] } ], "mendeley" : { "formattedCitation" : "&lt;sup&gt;8,24&lt;/sup&gt;", "plainTextFormattedCitation" : "8,24", "previouslyFormattedCitation" : "&lt;sup&gt;8,24&lt;/sup&gt;"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8,24</w:t>
      </w:r>
      <w:r w:rsidRPr="003F585B">
        <w:rPr>
          <w:rFonts w:ascii="Arial" w:hAnsi="Arial" w:cs="Arial"/>
          <w:sz w:val="24"/>
          <w:szCs w:val="24"/>
        </w:rPr>
        <w:fldChar w:fldCharType="end"/>
      </w:r>
      <w:r w:rsidRPr="003F585B">
        <w:rPr>
          <w:rFonts w:ascii="Arial" w:hAnsi="Arial" w:cs="Arial"/>
          <w:sz w:val="24"/>
          <w:szCs w:val="24"/>
        </w:rPr>
        <w:t xml:space="preserve"> e/ou outras alterações oculares (hipertensão ocular/glaucoma, degeneração da retina, atrofia do nervo óptico, pseudo-exoftalmia e estrabismo)</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"10.1093/rheumatology/ker392", "ISBN" : "1462-0332 (Electronic)\\r1462-0324 (Linking)", "ISSN" : "14620324", "PMID" : "22210668", "abstract" : "Diagnosis of mucopolysaccharidosis (MPS) requires awareness of the multisystem disease manifestations and their diverse presentation in terms of time of onset and severity. Many patients with MPS remain undiagnosed for years and progressively develop irreversible pathologies, which ultimately lead to premature death. To foster timely treatment and ensure a better outcome, it is of utmost importance to recognize and evaluate the typical ocular features that present fairly early in the course of the disease in many children with MPS. These include corneal clouding, ocular hypertension/glaucoma, retinal degeneration, optic disc swelling and optic nerve atrophy. Other associations include pseudo-exophthalmos, amblyopia, strabismus and large refractive errors requiring spectacle correction. While some ocular manifestations require specialized equipment for detecting abnormalities, light sensitivity, pseudo-exophthalmos and strabismus are often apparent on a routine physical examination. In addition, patients may be symptomatic from vision impairment, photosensitivity, night blindness and visual field constriction. Combined with the skeletal/joint complications and other manifestations, these ocular features are key in the differential diagnosis of children with joint abnormalities. Rheumatologists should have a high index of suspicion for MPS to facilitate early diagnosis. Referral to a geneticist, a metabolic specialist or physician who specializes in MPS can confirm the diagnosis and provide disease management. Consultation with an ophthalmologist who has expertise in MPS is also needed for thorough examination of the eyes and regular follow-up care.", "author" : [ { "dropping-particle" : "", "family" : "Summers", "given" : "C. Gail", "non-dropping-particle" : "", "parse-names" : false, "suffix" : "" }, { "dropping-particle" : "", "family" : "Ashworth", "given" : "Jane L.", "non-dropping-particle" : "", "parse-names" : false, "suffix" : "" } ], "container-title" : "Rheumatology", "id" : "ITEM-1", "issue" : "SUPPL. 5", "issued" : { "date-parts" : [ [ "2011" ] ] }, "page" : "34-40", "title" : "Ocular manifestations as key features for diagnosing mucopolysaccharidoses", "type" : "article-journal", "volume" : "50" }, "uris" : [ "http://www.mendeley.com/documents/?uuid=6e78af83-df7b-4e81-a132-d5be8074a6e1" ] } ], "mendeley" : { "formattedCitation" : "&lt;sup&gt;49&lt;/sup&gt;", "plainTextFormattedCitation" : "49", "previouslyFormattedCitation" : "&lt;sup&gt;49&lt;/sup&gt;"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49</w:t>
      </w:r>
      <w:r w:rsidRPr="003F585B">
        <w:rPr>
          <w:rFonts w:ascii="Arial" w:hAnsi="Arial" w:cs="Arial"/>
          <w:sz w:val="24"/>
          <w:szCs w:val="24"/>
        </w:rPr>
        <w:fldChar w:fldCharType="end"/>
      </w:r>
      <w:r w:rsidR="000064F2">
        <w:rPr>
          <w:rFonts w:ascii="Arial" w:hAnsi="Arial" w:cs="Arial"/>
          <w:sz w:val="24"/>
          <w:szCs w:val="24"/>
        </w:rPr>
        <w:t>;</w:t>
      </w:r>
      <w:r w:rsidRPr="003F585B">
        <w:rPr>
          <w:rFonts w:ascii="Arial" w:hAnsi="Arial" w:cs="Arial"/>
          <w:sz w:val="24"/>
          <w:szCs w:val="24"/>
        </w:rPr>
        <w:t xml:space="preserve"> além de disfunções cardíacas, como sopro</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"10.1093/rheumatology/ker390", "ISBN" : "1462-0332 (Electronic)\\n1462-0324 (Linking)", "ISSN" : "14620324", "PMID" : "22210670", "abstract" : "The mucopolysaccharidoses (MPSs) often present a diagnostic challenge, particularly for patients who have more slowly progressive disease phenotypes, as early disease manifestations can be subtle or non-specific. However, certain types of bone and joint involvement should always prompt consideration of an MPS diagnosis, such as early joint involvement without classic inflammatory features or erosive bone lesions, claw hand, spinal deformities or dysostosis multiplex. All such patients should be referred to a geneticist or metabolic specialist for diagnostic evaluation. The earlier the diagnosis is made, the better the potential outcome of treatment. Each type of MPS is associated both with deficient activity of a specific lysosomal enzyme that degrades specific glycosaminoglycans (GAGs) and with abnormalities in urinary GAG excretion. MPS patients usually excrete excess GAG in urine and/or have different relative proportions of types of GAG in urine as compared with age-matched normal subjects. Although urinary GAG analyses (both quantitative and qualitative) can suggest the most likely type of MPS, diagnosis must be confirmed by enzyme assay. Multiple assays may be necessary to identify the disease subtype. Correct identification of the MPS type is essential to guide treatment and management decisions.", "author" : [ { "dropping-particle" : "", "family" : "Lehman", "given" : "Thomas J A", "non-dropping-particle" : "", "parse-names" : false, "suffix" : "" }, { "dropping-particle" : "", "family" : "Miller", "given" : "Nicole", "non-dropping-particle" : "", "parse-names" : false, "suffix" : "" }, { "dropping-particle" : "", "family" : "Norquist", "given" : "Becky", "non-dropping-particle" : "", "parse-names" : false, "suffix" : "" }, { "dropping-particle" : "", "family" : "Underhill", "given" : "Lisa", "non-dropping-particle" : "", "parse-names" : false, "suffix" : "" }, { "dropping-particle" : "", "family" : "Keutzer", "given" : "Joan", "non-dropping-particle" : "", "parse-names" : false, "suffix" : "" } ], "container-title" : "Rheumatology", "id" : "ITEM-1", "issue" : "SUPPL. 5", "issued" : { "date-parts" : [ [ "2011" ] ] }, "page" : "41-48", "title" : "Diagnosis of the mucopolysaccharidoses", "type" : "article-journal", "volume" : "50" }, "uris" : [ "http://www.mendeley.com/documents/?uuid=2d68b9fd-2729-4930-b57e-e756814a94b9" ] } ], "mendeley" : { "formattedCitation" : "&lt;sup&gt;8&lt;/sup&gt;", "plainTextFormattedCitation" : "8", "previouslyFormattedCitation" : "&lt;sup&gt;8&lt;/sup&gt;"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8</w:t>
      </w:r>
      <w:r w:rsidRPr="003F585B">
        <w:rPr>
          <w:rFonts w:ascii="Arial" w:hAnsi="Arial" w:cs="Arial"/>
          <w:sz w:val="24"/>
          <w:szCs w:val="24"/>
        </w:rPr>
        <w:fldChar w:fldCharType="end"/>
      </w:r>
      <w:r w:rsidRPr="003F585B">
        <w:rPr>
          <w:rFonts w:ascii="Arial" w:hAnsi="Arial" w:cs="Arial"/>
          <w:sz w:val="24"/>
          <w:szCs w:val="24"/>
        </w:rPr>
        <w:t xml:space="preserve"> e valvulopatia cardíaca</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"10.1590/S1415-47572010005000093", "ISBN" : "1678-4685 (Electronic)\\r1415-4757 (Linking)", "ISSN" : "14154757", "PMID" : "21637564", "abstract" : "Mucopolysaccharidoses (MPS) are rare genetic diseases caused by the deficiency of one of the lysosomal enzymes involved in the glycosaminoglycan (GAG) breakdown pathway. This metabolic block leads to the accumulation of GAG in various organs and tissues of the affected patients, resulting in a multisystemic clinical picture, sometimes including cognitive impairment. Until the beginning of the XXI century, treatment was mainly supportive. Bone marrow transplantation improved the natural course of the disease in some types of MPS, but the morbidity and mortality restricted its use to selected cases. The identification of the genes involved, the new molecular biology tools and the availability of animal models made it possible to develop specific enzyme replacement therapies (ERT) for these diseases. At present, a great number of Brazilian medical centers from all regions of the country have experience with ERT for MPS I, II, and VI, acquired not only through patient treatment but also in clinical trials. Taking the three types of MPS together, over 200 patients have been treated with ERT in our country. This document summarizes the experience of the professionals involved, along with the data available in the international literature, bringing together and harmonizing the information available on the management of these severe and progressive diseases, thus disclosing new prospects for Brazilian patients affected by these conditions.", "author" : [ { "dropping-particle" : "", "family" : "Giugliani", "given" : "Roberto", "non-dropping-particle" : "", "parse-names" : false, "suffix" : "" }, { "dropping-particle" : "", "family" : "Federhen", "given" : "Andressa", "non-dropping-particle" : "", "parse-names" : false, "suffix" : "" }, { "dropping-particle" : "", "family" : "Rojas", "given" : "Maria Ver\u00f4nica Mu\u00f1oz", "non-dropping-particle" : "", "parse-names" : false, "suffix" : "" }, { "dropping-particle" : "", "family" : "Vieira", "given" : "Taiane", "non-dropping-particle" : "", "parse-names" : false, "suffix" : "" }, { "dropping-particle" : "", "family" : "Artigal\u00e1s", "given" : "Osvaldo", "non-dropping-particle" : "", "parse-names" : false, "suffix" : "" }, { "dropping-particle" : "", "family" : "Pinto", "given" : "Louise Lapagesse", "non-dropping-particle" : "", "parse-names" : false, "suffix" : "" }, { "dropping-particle" : "", "family" : "Azevedo", "given" : "Ana Cec\u00edlia", "non-dropping-particle" : "", "parse-names" : false, "suffix" : "" }, { "dropping-particle" : "", "family" : "Acosta", "given" : "Angelina", "non-dropping-particle" : "", "parse-names" : false, "suffix" : "" }, { "dropping-particle" : "", "family" : "Bonfim", "given" : "Carmen", "non-dropping-particle" : "", "parse-names" : false, "suffix" : "" }, { "dropping-particle" : "", "family" : "Louren\u00e7o", "given" : "Charles Marques", "non-dropping-particle" : "", "parse-names" : false, "suffix" : "" }, { "dropping-particle" : "", "family" : "Kim", "given" : "Chong Ae", "non-dropping-particle" : "", "parse-names" : false, "suffix" : "" }, { "dropping-particle" : "", "family" : "Horovitz", "given" : "Dafne", "non-dropping-particle" : "", "parse-names" : false, "suffix" : "" }, { "dropping-particle" : "", "family" : "Bonfim", "given" : "Denize", "non-dropping-particle" : "", "parse-names" : false, "suffix" : "" }, { "dropping-particle" : "", "family" : "Norato", "given" : "Denise", "non-dropping-particle" : "", "parse-names" : false, "suffix" : "" }, { "dropping-particle" : "", "family" : "Marinho", "given" : "Diane", "non-dropping-particle" : "", "parse-names" : false, "suffix" : "" }, { "dropping-particle" : "", "family" : "Palhares", "given" : "Durval", "non-dropping-particle" : "", "parse-names" : false, "suffix" : "" }, { "dropping-particle" : "", "family" : "Santos", "given" : "Emerson Santana", "non-dropping-particle" : "", "parse-names" : false, "suffix" : "" }, { "dropping-particle" : "", "family" : "Ribeiro", "given" : "Erlane", "non-dropping-particle" : "", "parse-names" : false, "suffix" : "" }, { "dropping-particle" : "", "family" : "Valadares", "given" : "Eug\u00eania", "non-dropping-particle" : "", "parse-names" : false, "suffix" : "" }, { "dropping-particle" : "", "family" : "Guarany", "given" : "F\u00e1bio", "non-dropping-particle" : "", "parse-names" : false, "suffix" : "" }, { "dropping-particle" : "", "family" : "Lucca", "given" : "Gisele Rosone", "non-dropping-particle" : "de", "parse-names" : false, "suffix" : "" }, { "dropping-particle" : "", "family" : "Pimentel", "given" : "Helena", "non-dropping-particle" : "", "parse-names" : false, "suffix" : "" }, { "dropping-particle" : "", "family" : "Souza", "given" : "Isabel Neves", "non-dropping-particle" : "de", "parse-names" : false, "suffix" : "" }, { "dropping-particle" : "", "family" : "Neto", "given" : "Jord\u00e3o Correa", "non-dropping-particle" : "", "parse-names" : false, "suffix" : "" }, { "dropping-particle" : "", "family" : "Fraga", "given" : "Jos\u00e9 Carlos", "non-dropping-particle" : "", "parse-names" : false, "suffix" : "" }, { "dropping-particle" : "", "family" : "Goes", "given" : "Jos\u00e9 Eduardo", "non-dropping-particle" : "", "parse-names" : false, "suffix" : "" }, { "dropping-particle" : "", "family" : "Cabral", "given" : "Jos\u00e9 Maria", "non-dropping-particle" : "", "parse-names" : false, "suffix" : "" }, { "dropping-particle" : "", "family" : "Simionato", "given" : "Jos\u00e9", "non-dropping-particle" : "", "parse-names" : false, "suffix" : "" }, { "dropping-particle" : "", "family" : "Llerena", "given" : "Juan", "non-dropping-particle" : "", "parse-names" : false, "suffix" : "" }, { "dropping-particle" : "", "family" : "Jardim", "given" : "Laura", "non-dropping-particle" : "", "parse-names" : false, "suffix" : "" }, { "dropping-particle" : "", "family" : "Giuliani", "given" : "Liane", "non-dropping-particle" : "", "parse-names" : false, "suffix" : "" }, { "dropping-particle" : "", "family" : "Silva", "given" : "Luiz Carlos Santana", "non-dropping-particle" : "da", "parse-names" : false, "suffix" : "" }, { "dropping-particle" : "", "family" : "Santos", "given" : "Mara L.", "non-dropping-particle" : "", "parse-names" : false, "suffix" : "" }, { "dropping-particle" : "", "family" : "Moreira", "given" : "Maria Angela", "non-dropping-particle" : "", "parse-names" : false, "suffix" : "" }, { "dropping-particle" : "", "family" : "Kerstenetzky", "given" : "Marcelo", "non-dropping-particle" : "", "parse-names" : false, "suffix" : "" }, { "dropping-particle" : "", "family" : "Ribeiro", "given" : "M\u00e1rcia", "non-dropping-particle" : "", "parse-names" : false, "suffix" : "" }, { "dropping-particle" : "", "family" : "Ruas", "given" : "Nicole", "non-dropping-particle" : "", "parse-names" : false, "suffix" : "" }, { "dropping-particle" : "", "family" : "Barrios", "given" : "Patricia", "non-dropping-particle" : "", "parse-names" : false, "suffix" : "" }, { "dropping-particle" : "", "family" : "Aranda", "given" : "Paulo", "non-dropping-particle" : "", "parse-names" : false, "suffix" : "" }, { "dropping-particle" : "", "family" : "Honjo", "given" : "Rachel", "non-dropping-particle" : "", "parse-names" : false, "suffix" : "" }, { "dropping-particle" : "", "family" : "Boy", "given" : "Raquel", "non-dropping-particle" : "", "parse-names" : false, "suffix" : "" }, { "dropping-particle" : "", "family" : "Costa", "given" : "Ronaldo", "non-dropping-particle" : "", "parse-names" : false, "suffix" : "" }, { "dropping-particle" : "", "family" : "Souza", "given" : "Carolina", "non-dropping-particle" : "", "parse-names" : false, "suffix" : "" }, { "dropping-particle" : "", "family" : "Alcantara", "given" : "Flavio F.", "non-dropping-particle" : "", "parse-names" : false, "suffix" : "" }, { "dropping-particle" : "", "family" : "Avilla", "given" : "Silvio Gilberto A", "non-dropping-particle" : "", "parse-names" : false, "suffix" : "" }, { "dropping-particle" : "", "family" : "Fagondes", "given" : "Simone", "non-dropping-particle" : "", "parse-names" : false, "suffix" : "" }, { "dropping-particle" : "", "family" : "Martins", "given" : "Ana Maria", "non-dropping-particle" : "", "parse-names" : false, "suffix" : "" } ], "container-title" : "Genetics and Molecular Biology", "id" : "ITEM-1", "issue" : "4", "issued" : { "date-parts" : [ [ "2010" ] ] }, "page" : "589-604", "title" : "Mucopolysaccharidosis I, II, and VI: Brief review and guidelines for treatment", "type" : "article-journal", "volume" : "33" }, "uris" : [ "http://www.mendeley.com/documents/?uuid=f17d1c38-f17e-4c99-aede-379c6264f7a4" ] } ], "mendeley" : { "formattedCitation" : "&lt;sup&gt;25&lt;/sup&gt;", "plainTextFormattedCitation" : "25", "previouslyFormattedCitation" : "&lt;sup&gt;25&lt;/sup&gt;"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25</w:t>
      </w:r>
      <w:r w:rsidRPr="003F585B">
        <w:rPr>
          <w:rFonts w:ascii="Arial" w:hAnsi="Arial" w:cs="Arial"/>
          <w:sz w:val="24"/>
          <w:szCs w:val="24"/>
        </w:rPr>
        <w:fldChar w:fldCharType="end"/>
      </w:r>
      <w:r w:rsidRPr="003F585B">
        <w:rPr>
          <w:rFonts w:ascii="Arial" w:hAnsi="Arial" w:cs="Arial"/>
          <w:sz w:val="24"/>
          <w:szCs w:val="24"/>
        </w:rPr>
        <w:t>.</w:t>
      </w:r>
    </w:p>
    <w:p w:rsidR="00A62F69" w:rsidRDefault="00A62F69" w:rsidP="00491682">
      <w:pPr>
        <w:spacing w:after="0" w:line="360" w:lineRule="auto"/>
        <w:jc w:val="both"/>
        <w:rPr>
          <w:rFonts w:ascii="Arial" w:hAnsi="Arial" w:cs="Arial"/>
          <w:sz w:val="24"/>
          <w:szCs w:val="24"/>
        </w:rPr>
      </w:pPr>
    </w:p>
    <w:p w:rsidR="00EB34BF" w:rsidRDefault="00EB34BF" w:rsidP="00491682">
      <w:pPr>
        <w:spacing w:after="0" w:line="360" w:lineRule="auto"/>
        <w:jc w:val="both"/>
        <w:rPr>
          <w:rFonts w:ascii="Arial" w:hAnsi="Arial" w:cs="Arial"/>
          <w:sz w:val="24"/>
          <w:szCs w:val="24"/>
        </w:rPr>
      </w:pPr>
      <w:r w:rsidRPr="003F585B">
        <w:rPr>
          <w:rFonts w:ascii="Arial" w:hAnsi="Arial" w:cs="Arial"/>
          <w:sz w:val="24"/>
          <w:szCs w:val="24"/>
        </w:rPr>
        <w:t xml:space="preserve">Patologias respiratórias </w:t>
      </w:r>
      <w:r w:rsidR="002356ED">
        <w:rPr>
          <w:rFonts w:ascii="Arial" w:hAnsi="Arial" w:cs="Arial"/>
          <w:sz w:val="24"/>
          <w:szCs w:val="24"/>
        </w:rPr>
        <w:t xml:space="preserve">também </w:t>
      </w:r>
      <w:r w:rsidRPr="003F585B">
        <w:rPr>
          <w:rFonts w:ascii="Arial" w:hAnsi="Arial" w:cs="Arial"/>
          <w:sz w:val="24"/>
          <w:szCs w:val="24"/>
        </w:rPr>
        <w:t>acometem esses indivíduos</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"10.1093/rheumatology/ker390", "ISBN" : "1462-0332 (Electronic)\\n1462-0324 (Linking)", "ISSN" : "14620324", "PMID" : "22210670", "abstract" : "The mucopolysaccharidoses (MPSs) often present a diagnostic challenge, particularly for patients who have more slowly progressive disease phenotypes, as early disease manifestations can be subtle or non-specific. However, certain types of bone and joint involvement should always prompt consideration of an MPS diagnosis, such as early joint involvement without classic inflammatory features or erosive bone lesions, claw hand, spinal deformities or dysostosis multiplex. All such patients should be referred to a geneticist or metabolic specialist for diagnostic evaluation. The earlier the diagnosis is made, the better the potential outcome of treatment. Each type of MPS is associated both with deficient activity of a specific lysosomal enzyme that degrades specific glycosaminoglycans (GAGs) and with abnormalities in urinary GAG excretion. MPS patients usually excrete excess GAG in urine and/or have different relative proportions of types of GAG in urine as compared with age-matched normal subjects. Although urinary GAG analyses (both quantitative and qualitative) can suggest the most likely type of MPS, diagnosis must be confirmed by enzyme assay. Multiple assays may be necessary to identify the disease subtype. Correct identification of the MPS type is essential to guide treatment and management decisions.", "author" : [ { "dropping-particle" : "", "family" : "Lehman", "given" : "Thomas J A", "non-dropping-particle" : "", "parse-names" : false, "suffix" : "" }, { "dropping-particle" : "", "family" : "Miller", "given" : "Nicole", "non-dropping-particle" : "", "parse-names" : false, "suffix" : "" }, { "dropping-particle" : "", "family" : "Norquist", "given" : "Becky", "non-dropping-particle" : "", "parse-names" : false, "suffix" : "" }, { "dropping-particle" : "", "family" : "Underhill", "given" : "Lisa", "non-dropping-particle" : "", "parse-names" : false, "suffix" : "" }, { "dropping-particle" : "", "family" : "Keutzer", "given" : "Joan", "non-dropping-particle" : "", "parse-names" : false, "suffix" : "" } ], "container-title" : "Rheumatology", "id" : "ITEM-1", "issue" : "SUPPL. 5", "issued" : { "date-parts" : [ [ "2011" ] ] }, "page" : "41-48", "title" : "Diagnosis of the mucopolysaccharidoses", "type" : "article-journal", "volume" : "50" }, "uris" : [ "http://www.mendeley.com/documents/?uuid=2d68b9fd-2729-4930-b57e-e756814a94b9" ] }, { "id" : "ITEM-2", "itemData" : { "DOI" : "10.1590/S0104-42302010000300009", "ISSN" : "0104-4230", "abstract" : "As mucopolissacaridoses (MPS) s\u00e3o doen\u00e7as gen\u00e9ticas raras causadas pela defici\u00eancia de enzimas lisoss\u00f4micas espec\u00edficas que afetam o catabolismo de glicosaminoglicanos (GAG). O ac\u00famulo de GAG em v\u00e1rios \u00f3rg\u00e3os e tecidos nos pacientes afetados pelas MPS resulta em uma s\u00e9rie de sinais e sintomas, integrantes de um quadro cl\u00ednico multissist\u00eamico que compromete ossos e articula\u00e7\u00f5es, vias respirat\u00f3rias, sistema cardiovascular e muitos outros \u00f3rg\u00e3os e tecidos, incluindo, em alguns casos, as fun\u00e7\u00f5es cognitivas. J\u00e1 foram identificados 11 defeitos enzim\u00e1ticos que causam sete tipos diferentes de MPS. Antes do advento de terapias dirigidas para a restaura\u00e7\u00e3o da atividade da enzima deficiente, o tratamento das MPS tinha como principal foco a preven\u00e7\u00e3o e o cuidado das complica\u00e7\u00f5es, aspecto ainda bastante importante no manejo desses pacientes. Na d\u00e9cada de 80 foi proposto o tratamento das MPS com transplante de medula \u00f3ssea/transplante de c\u00e9lulas tronco hematopoi\u00e9ticas (TMO/TCTH) e na d\u00e9cada de 90 come\u00e7ou o desenvolvimento da Terapia de Reposi\u00e7\u00e3o Enzim\u00e1tica (TRE), que se tornou uma realidade aprovada para uso cl\u00ednico nas MPS I, II e VI na primeira d\u00e9cada do s\u00e9culo 21. Os autores deste trabalho t\u00eam a convic\u00e7\u00e3o de que um melhor futuro para os pacientes afetados pelas MPS depende da identifica\u00e7\u00e3o, compreens\u00e3o e manejo adequado das manifesta\u00e7\u00f5es multissist\u00eamicas dessas doen\u00e7as, incluindo medidas de suporte (que devem fazer parte da assist\u00eancia multidisciplinar regular destes pacientes) e terapias espec\u00edficas. Embora a inibi\u00e7\u00e3o da s\u00edntese de GAG e o resgate da atividade enzim\u00e1tica com mol\u00e9culas pequenas tamb\u00e9m possam vir a ter um papel no manejo das MPS, o grande avan\u00e7o dispon\u00edvel no momento \u00e9 a TRE intravenosa. A TRE permitiu modificar radicalmente o panorama do tratamento das mucopolissacaridoses I, II e VI na \u00faltima d\u00e9cada, sendo que ainda pode estender seus benef\u00edcios em breve para a MPS IV A (cuja TRE j\u00e1 est\u00e1 em desenvolvimento cl\u00ednico), com perspectivas para o tratamento da MPS III A e do d\u00e9ficit cognitivo na MPS II atrav\u00e9s de administra\u00e7\u00e3o da enzima diretamente no sistema nervoso central (SNC). Um grande n\u00famero de centros brasileiros, incluindo servi\u00e7os de todas as regi\u00f5es do pa\u00eds, j\u00e1 t\u00eam experi\u00eancia com TRE para MPS I, II e VI. Essa experi\u00eancia foi adquirida n\u00e3o s\u00f3 com o tratamento de pacientes como tamb\u00e9m com a participa\u00e7\u00e3o de alguns grupos em ensaios cl\u00ednicos envolvendo TRE para essas condi\u00e7\u00f5es. Somados os tr\u00eas tipos de MPS, mais de 250 pacientes j\u00e1 foram tratado\u2026", "author" : [ { "dropping-particle" : "", "family" : "Giugliani R, Federhen A, Rojas MV, Vieira TA, Artigal\u00e1s O, Pinto LL", "given" : "et al.", "non-dropping-particle" : "", "parse-names" : false, "suffix" : "" } ], "container-title" : "Rev Assoc Med Bras", "id" : "ITEM-2", "issue" : "3", "issued" : { "date-parts" : [ [ "2010" ] ] }, "page" : "271-277", "title" : "Terapia de reposi\u00e7\u00e3o enzim\u00e1tica para as mucopolissacaridoses I , II e VI: recomenda\u00e7\u00f5es de um grupo de especialistas brasileiros", "type" : "article-journal", "volume" : "56" }, "uris" : [ "http://www.mendeley.com/documents/?uuid=20e9b74c-f667-4827-868e-144e7b460615" ] } ], "mendeley" : { "formattedCitation" : "&lt;sup&gt;8,24&lt;/sup&gt;", "plainTextFormattedCitation" : "8,24", "previouslyFormattedCitation" : "&lt;sup&gt;8,24&lt;/sup&gt;"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8,24</w:t>
      </w:r>
      <w:r w:rsidRPr="003F585B">
        <w:rPr>
          <w:rFonts w:ascii="Arial" w:hAnsi="Arial" w:cs="Arial"/>
          <w:sz w:val="24"/>
          <w:szCs w:val="24"/>
        </w:rPr>
        <w:fldChar w:fldCharType="end"/>
      </w:r>
      <w:r w:rsidR="002356ED">
        <w:rPr>
          <w:rFonts w:ascii="Arial" w:hAnsi="Arial" w:cs="Arial"/>
          <w:sz w:val="24"/>
          <w:szCs w:val="24"/>
        </w:rPr>
        <w:t>. Estas podem ter</w:t>
      </w:r>
      <w:r w:rsidRPr="003F585B">
        <w:rPr>
          <w:rFonts w:ascii="Arial" w:hAnsi="Arial" w:cs="Arial"/>
          <w:sz w:val="24"/>
          <w:szCs w:val="24"/>
        </w:rPr>
        <w:t xml:space="preserve"> características obstrutivas (a exemplo da apnéia obstrutiva do sono</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"10.1590/S1415-47572010005000093", "ISBN" : "1678-4685 (Electronic)\\r1415-4757 (Linking)", "ISSN" : "14154757", "PMID" : "21637564", "abstract" : "Mucopolysaccharidoses (MPS) are rare genetic diseases caused by the deficiency of one of the lysosomal enzymes involved in the glycosaminoglycan (GAG) breakdown pathway. This metabolic block leads to the accumulation of GAG in various organs and tissues of the affected patients, resulting in a multisystemic clinical picture, sometimes including cognitive impairment. Until the beginning of the XXI century, treatment was mainly supportive. Bone marrow transplantation improved the natural course of the disease in some types of MPS, but the morbidity and mortality restricted its use to selected cases. The identification of the genes involved, the new molecular biology tools and the availability of animal models made it possible to develop specific enzyme replacement therapies (ERT) for these diseases. At present, a great number of Brazilian medical centers from all regions of the country have experience with ERT for MPS I, II, and VI, acquired not only through patient treatment but also in clinical trials. Taking the three types of MPS together, over 200 patients have been treated with ERT in our country. This document summarizes the experience of the professionals involved, along with the data available in the international literature, bringing together and harmonizing the information available on the management of these severe and progressive diseases, thus disclosing new prospects for Brazilian patients affected by these conditions.", "author" : [ { "dropping-particle" : "", "family" : "Giugliani", "given" : "Roberto", "non-dropping-particle" : "", "parse-names" : false, "suffix" : "" }, { "dropping-particle" : "", "family" : "Federhen", "given" : "Andressa", "non-dropping-particle" : "", "parse-names" : false, "suffix" : "" }, { "dropping-particle" : "", "family" : "Rojas", "given" : "Maria Ver\u00f4nica Mu\u00f1oz", "non-dropping-particle" : "", "parse-names" : false, "suffix" : "" }, { "dropping-particle" : "", "family" : "Vieira", "given" : "Taiane", "non-dropping-particle" : "", "parse-names" : false, "suffix" : "" }, { "dropping-particle" : "", "family" : "Artigal\u00e1s", "given" : "Osvaldo", "non-dropping-particle" : "", "parse-names" : false, "suffix" : "" }, { "dropping-particle" : "", "family" : "Pinto", "given" : "Louise Lapagesse", "non-dropping-particle" : "", "parse-names" : false, "suffix" : "" }, { "dropping-particle" : "", "family" : "Azevedo", "given" : "Ana Cec\u00edlia", "non-dropping-particle" : "", "parse-names" : false, "suffix" : "" }, { "dropping-particle" : "", "family" : "Acosta", "given" : "Angelina", "non-dropping-particle" : "", "parse-names" : false, "suffix" : "" }, { "dropping-particle" : "", "family" : "Bonfim", "given" : "Carmen", "non-dropping-particle" : "", "parse-names" : false, "suffix" : "" }, { "dropping-particle" : "", "family" : "Louren\u00e7o", "given" : "Charles Marques", "non-dropping-particle" : "", "parse-names" : false, "suffix" : "" }, { "dropping-particle" : "", "family" : "Kim", "given" : "Chong Ae", "non-dropping-particle" : "", "parse-names" : false, "suffix" : "" }, { "dropping-particle" : "", "family" : "Horovitz", "given" : "Dafne", "non-dropping-particle" : "", "parse-names" : false, "suffix" : "" }, { "dropping-particle" : "", "family" : "Bonfim", "given" : "Denize", "non-dropping-particle" : "", "parse-names" : false, "suffix" : "" }, { "dropping-particle" : "", "family" : "Norato", "given" : "Denise", "non-dropping-particle" : "", "parse-names" : false, "suffix" : "" }, { "dropping-particle" : "", "family" : "Marinho", "given" : "Diane", "non-dropping-particle" : "", "parse-names" : false, "suffix" : "" }, { "dropping-particle" : "", "family" : "Palhares", "given" : "Durval", "non-dropping-particle" : "", "parse-names" : false, "suffix" : "" }, { "dropping-particle" : "", "family" : "Santos", "given" : "Emerson Santana", "non-dropping-particle" : "", "parse-names" : false, "suffix" : "" }, { "dropping-particle" : "", "family" : "Ribeiro", "given" : "Erlane", "non-dropping-particle" : "", "parse-names" : false, "suffix" : "" }, { "dropping-particle" : "", "family" : "Valadares", "given" : "Eug\u00eania", "non-dropping-particle" : "", "parse-names" : false, "suffix" : "" }, { "dropping-particle" : "", "family" : "Guarany", "given" : "F\u00e1bio", "non-dropping-particle" : "", "parse-names" : false, "suffix" : "" }, { "dropping-particle" : "", "family" : "Lucca", "given" : "Gisele Rosone", "non-dropping-particle" : "de", "parse-names" : false, "suffix" : "" }, { "dropping-particle" : "", "family" : "Pimentel", "given" : "Helena", "non-dropping-particle" : "", "parse-names" : false, "suffix" : "" }, { "dropping-particle" : "", "family" : "Souza", "given" : "Isabel Neves", "non-dropping-particle" : "de", "parse-names" : false, "suffix" : "" }, { "dropping-particle" : "", "family" : "Neto", "given" : "Jord\u00e3o Correa", "non-dropping-particle" : "", "parse-names" : false, "suffix" : "" }, { "dropping-particle" : "", "family" : "Fraga", "given" : "Jos\u00e9 Carlos", "non-dropping-particle" : "", "parse-names" : false, "suffix" : "" }, { "dropping-particle" : "", "family" : "Goes", "given" : "Jos\u00e9 Eduardo", "non-dropping-particle" : "", "parse-names" : false, "suffix" : "" }, { "dropping-particle" : "", "family" : "Cabral", "given" : "Jos\u00e9 Maria", "non-dropping-particle" : "", "parse-names" : false, "suffix" : "" }, { "dropping-particle" : "", "family" : "Simionato", "given" : "Jos\u00e9", "non-dropping-particle" : "", "parse-names" : false, "suffix" : "" }, { "dropping-particle" : "", "family" : "Llerena", "given" : "Juan", "non-dropping-particle" : "", "parse-names" : false, "suffix" : "" }, { "dropping-particle" : "", "family" : "Jardim", "given" : "Laura", "non-dropping-particle" : "", "parse-names" : false, "suffix" : "" }, { "dropping-particle" : "", "family" : "Giuliani", "given" : "Liane", "non-dropping-particle" : "", "parse-names" : false, "suffix" : "" }, { "dropping-particle" : "", "family" : "Silva", "given" : "Luiz Carlos Santana", "non-dropping-particle" : "da", "parse-names" : false, "suffix" : "" }, { "dropping-particle" : "", "family" : "Santos", "given" : "Mara L.", "non-dropping-particle" : "", "parse-names" : false, "suffix" : "" }, { "dropping-particle" : "", "family" : "Moreira", "given" : "Maria Angela", "non-dropping-particle" : "", "parse-names" : false, "suffix" : "" }, { "dropping-particle" : "", "family" : "Kerstenetzky", "given" : "Marcelo", "non-dropping-particle" : "", "parse-names" : false, "suffix" : "" }, { "dropping-particle" : "", "family" : "Ribeiro", "given" : "M\u00e1rcia", "non-dropping-particle" : "", "parse-names" : false, "suffix" : "" }, { "dropping-particle" : "", "family" : "Ruas", "given" : "Nicole", "non-dropping-particle" : "", "parse-names" : false, "suffix" : "" }, { "dropping-particle" : "", "family" : "Barrios", "given" : "Patricia", "non-dropping-particle" : "", "parse-names" : false, "suffix" : "" }, { "dropping-particle" : "", "family" : "Aranda", "given" : "Paulo", "non-dropping-particle" : "", "parse-names" : false, "suffix" : "" }, { "dropping-particle" : "", "family" : "Honjo", "given" : "Rachel", "non-dropping-particle" : "", "parse-names" : false, "suffix" : "" }, { "dropping-particle" : "", "family" : "Boy", "given" : "Raquel", "non-dropping-particle" : "", "parse-names" : false, "suffix" : "" }, { "dropping-particle" : "", "family" : "Costa", "given" : "Ronaldo", "non-dropping-particle" : "", "parse-names" : false, "suffix" : "" }, { "dropping-particle" : "", "family" : "Souza", "given" : "Carolina", "non-dropping-particle" : "", "parse-names" : false, "suffix" : "" }, { "dropping-particle" : "", "family" : "Alcantara", "given" : "Flavio F.", "non-dropping-particle" : "", "parse-names" : false, "suffix" : "" }, { "dropping-particle" : "", "family" : "Avilla", "given" : "Silvio Gilberto A", "non-dropping-particle" : "", "parse-names" : false, "suffix" : "" }, { "dropping-particle" : "", "family" : "Fagondes", "given" : "Simone", "non-dropping-particle" : "", "parse-names" : false, "suffix" : "" }, { "dropping-particle" : "", "family" : "Martins", "given" : "Ana Maria", "non-dropping-particle" : "", "parse-names" : false, "suffix" : "" } ], "container-title" : "Genetics and Molecular Biology", "id" : "ITEM-1", "issue" : "4", "issued" : { "date-parts" : [ [ "2010" ] ] }, "page" : "589-604", "title" : "Mucopolysaccharidosis I, II, and VI: Brief review and guidelines for treatment", "type" : "article-journal", "volume" : "33" }, "uris" : [ "http://www.mendeley.com/documents/?uuid=f17d1c38-f17e-4c99-aede-379c6264f7a4" ] } ], "mendeley" : { "formattedCitation" : "&lt;sup&gt;25&lt;/sup&gt;", "plainTextFormattedCitation" : "25", "previouslyFormattedCitation" : "&lt;sup&gt;25&lt;/sup&gt;"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25</w:t>
      </w:r>
      <w:r w:rsidRPr="003F585B">
        <w:rPr>
          <w:rFonts w:ascii="Arial" w:hAnsi="Arial" w:cs="Arial"/>
          <w:sz w:val="24"/>
          <w:szCs w:val="24"/>
        </w:rPr>
        <w:fldChar w:fldCharType="end"/>
      </w:r>
      <w:r w:rsidRPr="003F585B">
        <w:rPr>
          <w:rFonts w:ascii="Arial" w:hAnsi="Arial" w:cs="Arial"/>
          <w:sz w:val="24"/>
          <w:szCs w:val="24"/>
        </w:rPr>
        <w:t xml:space="preserve">, </w:t>
      </w:r>
      <w:r w:rsidR="00BC37C6">
        <w:rPr>
          <w:rFonts w:ascii="Arial" w:hAnsi="Arial" w:cs="Arial"/>
          <w:sz w:val="24"/>
          <w:szCs w:val="24"/>
        </w:rPr>
        <w:t xml:space="preserve">da </w:t>
      </w:r>
      <w:r w:rsidRPr="003F585B">
        <w:rPr>
          <w:rFonts w:ascii="Arial" w:hAnsi="Arial" w:cs="Arial"/>
          <w:sz w:val="24"/>
          <w:szCs w:val="24"/>
        </w:rPr>
        <w:lastRenderedPageBreak/>
        <w:t>traqueobroncomalácia</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"10.1590/S1415-47572010005000093", "ISBN" : "1678-4685 (Electronic)\\r1415-4757 (Linking)", "ISSN" : "14154757", "PMID" : "21637564", "abstract" : "Mucopolysaccharidoses (MPS) are rare genetic diseases caused by the deficiency of one of the lysosomal enzymes involved in the glycosaminoglycan (GAG) breakdown pathway. This metabolic block leads to the accumulation of GAG in various organs and tissues of the affected patients, resulting in a multisystemic clinical picture, sometimes including cognitive impairment. Until the beginning of the XXI century, treatment was mainly supportive. Bone marrow transplantation improved the natural course of the disease in some types of MPS, but the morbidity and mortality restricted its use to selected cases. The identification of the genes involved, the new molecular biology tools and the availability of animal models made it possible to develop specific enzyme replacement therapies (ERT) for these diseases. At present, a great number of Brazilian medical centers from all regions of the country have experience with ERT for MPS I, II, and VI, acquired not only through patient treatment but also in clinical trials. Taking the three types of MPS together, over 200 patients have been treated with ERT in our country. This document summarizes the experience of the professionals involved, along with the data available in the international literature, bringing together and harmonizing the information available on the management of these severe and progressive diseases, thus disclosing new prospects for Brazilian patients affected by these conditions.", "author" : [ { "dropping-particle" : "", "family" : "Giugliani", "given" : "Roberto", "non-dropping-particle" : "", "parse-names" : false, "suffix" : "" }, { "dropping-particle" : "", "family" : "Federhen", "given" : "Andressa", "non-dropping-particle" : "", "parse-names" : false, "suffix" : "" }, { "dropping-particle" : "", "family" : "Rojas", "given" : "Maria Ver\u00f4nica Mu\u00f1oz", "non-dropping-particle" : "", "parse-names" : false, "suffix" : "" }, { "dropping-particle" : "", "family" : "Vieira", "given" : "Taiane", "non-dropping-particle" : "", "parse-names" : false, "suffix" : "" }, { "dropping-particle" : "", "family" : "Artigal\u00e1s", "given" : "Osvaldo", "non-dropping-particle" : "", "parse-names" : false, "suffix" : "" }, { "dropping-particle" : "", "family" : "Pinto", "given" : "Louise Lapagesse", "non-dropping-particle" : "", "parse-names" : false, "suffix" : "" }, { "dropping-particle" : "", "family" : "Azevedo", "given" : "Ana Cec\u00edlia", "non-dropping-particle" : "", "parse-names" : false, "suffix" : "" }, { "dropping-particle" : "", "family" : "Acosta", "given" : "Angelina", "non-dropping-particle" : "", "parse-names" : false, "suffix" : "" }, { "dropping-particle" : "", "family" : "Bonfim", "given" : "Carmen", "non-dropping-particle" : "", "parse-names" : false, "suffix" : "" }, { "dropping-particle" : "", "family" : "Louren\u00e7o", "given" : "Charles Marques", "non-dropping-particle" : "", "parse-names" : false, "suffix" : "" }, { "dropping-particle" : "", "family" : "Kim", "given" : "Chong Ae", "non-dropping-particle" : "", "parse-names" : false, "suffix" : "" }, { "dropping-particle" : "", "family" : "Horovitz", "given" : "Dafne", "non-dropping-particle" : "", "parse-names" : false, "suffix" : "" }, { "dropping-particle" : "", "family" : "Bonfim", "given" : "Denize", "non-dropping-particle" : "", "parse-names" : false, "suffix" : "" }, { "dropping-particle" : "", "family" : "Norato", "given" : "Denise", "non-dropping-particle" : "", "parse-names" : false, "suffix" : "" }, { "dropping-particle" : "", "family" : "Marinho", "given" : "Diane", "non-dropping-particle" : "", "parse-names" : false, "suffix" : "" }, { "dropping-particle" : "", "family" : "Palhares", "given" : "Durval", "non-dropping-particle" : "", "parse-names" : false, "suffix" : "" }, { "dropping-particle" : "", "family" : "Santos", "given" : "Emerson Santana", "non-dropping-particle" : "", "parse-names" : false, "suffix" : "" }, { "dropping-particle" : "", "family" : "Ribeiro", "given" : "Erlane", "non-dropping-particle" : "", "parse-names" : false, "suffix" : "" }, { "dropping-particle" : "", "family" : "Valadares", "given" : "Eug\u00eania", "non-dropping-particle" : "", "parse-names" : false, "suffix" : "" }, { "dropping-particle" : "", "family" : "Guarany", "given" : "F\u00e1bio", "non-dropping-particle" : "", "parse-names" : false, "suffix" : "" }, { "dropping-particle" : "", "family" : "Lucca", "given" : "Gisele Rosone", "non-dropping-particle" : "de", "parse-names" : false, "suffix" : "" }, { "dropping-particle" : "", "family" : "Pimentel", "given" : "Helena", "non-dropping-particle" : "", "parse-names" : false, "suffix" : "" }, { "dropping-particle" : "", "family" : "Souza", "given" : "Isabel Neves", "non-dropping-particle" : "de", "parse-names" : false, "suffix" : "" }, { "dropping-particle" : "", "family" : "Neto", "given" : "Jord\u00e3o Correa", "non-dropping-particle" : "", "parse-names" : false, "suffix" : "" }, { "dropping-particle" : "", "family" : "Fraga", "given" : "Jos\u00e9 Carlos", "non-dropping-particle" : "", "parse-names" : false, "suffix" : "" }, { "dropping-particle" : "", "family" : "Goes", "given" : "Jos\u00e9 Eduardo", "non-dropping-particle" : "", "parse-names" : false, "suffix" : "" }, { "dropping-particle" : "", "family" : "Cabral", "given" : "Jos\u00e9 Maria", "non-dropping-particle" : "", "parse-names" : false, "suffix" : "" }, { "dropping-particle" : "", "family" : "Simionato", "given" : "Jos\u00e9", "non-dropping-particle" : "", "parse-names" : false, "suffix" : "" }, { "dropping-particle" : "", "family" : "Llerena", "given" : "Juan", "non-dropping-particle" : "", "parse-names" : false, "suffix" : "" }, { "dropping-particle" : "", "family" : "Jardim", "given" : "Laura", "non-dropping-particle" : "", "parse-names" : false, "suffix" : "" }, { "dropping-particle" : "", "family" : "Giuliani", "given" : "Liane", "non-dropping-particle" : "", "parse-names" : false, "suffix" : "" }, { "dropping-particle" : "", "family" : "Silva", "given" : "Luiz Carlos Santana", "non-dropping-particle" : "da", "parse-names" : false, "suffix" : "" }, { "dropping-particle" : "", "family" : "Santos", "given" : "Mara L.", "non-dropping-particle" : "", "parse-names" : false, "suffix" : "" }, { "dropping-particle" : "", "family" : "Moreira", "given" : "Maria Angela", "non-dropping-particle" : "", "parse-names" : false, "suffix" : "" }, { "dropping-particle" : "", "family" : "Kerstenetzky", "given" : "Marcelo", "non-dropping-particle" : "", "parse-names" : false, "suffix" : "" }, { "dropping-particle" : "", "family" : "Ribeiro", "given" : "M\u00e1rcia", "non-dropping-particle" : "", "parse-names" : false, "suffix" : "" }, { "dropping-particle" : "", "family" : "Ruas", "given" : "Nicole", "non-dropping-particle" : "", "parse-names" : false, "suffix" : "" }, { "dropping-particle" : "", "family" : "Barrios", "given" : "Patricia", "non-dropping-particle" : "", "parse-names" : false, "suffix" : "" }, { "dropping-particle" : "", "family" : "Aranda", "given" : "Paulo", "non-dropping-particle" : "", "parse-names" : false, "suffix" : "" }, { "dropping-particle" : "", "family" : "Honjo", "given" : "Rachel", "non-dropping-particle" : "", "parse-names" : false, "suffix" : "" }, { "dropping-particle" : "", "family" : "Boy", "given" : "Raquel", "non-dropping-particle" : "", "parse-names" : false, "suffix" : "" }, { "dropping-particle" : "", "family" : "Costa", "given" : "Ronaldo", "non-dropping-particle" : "", "parse-names" : false, "suffix" : "" }, { "dropping-particle" : "", "family" : "Souza", "given" : "Carolina", "non-dropping-particle" : "", "parse-names" : false, "suffix" : "" }, { "dropping-particle" : "", "family" : "Alcantara", "given" : "Flavio F.", "non-dropping-particle" : "", "parse-names" : false, "suffix" : "" }, { "dropping-particle" : "", "family" : "Avilla", "given" : "Silvio Gilberto A", "non-dropping-particle" : "", "parse-names" : false, "suffix" : "" }, { "dropping-particle" : "", "family" : "Fagondes", "given" : "Simone", "non-dropping-particle" : "", "parse-names" : false, "suffix" : "" }, { "dropping-particle" : "", "family" : "Martins", "given" : "Ana Maria", "non-dropping-particle" : "", "parse-names" : false, "suffix" : "" } ], "container-title" : "Genetics and Molecular Biology", "id" : "ITEM-1", "issue" : "4", "issued" : { "date-parts" : [ [ "2010" ] ] }, "page" : "589-604", "title" : "Mucopolysaccharidosis I, II, and VI: Brief review and guidelines for treatment", "type" : "article-journal", "volume" : "33" }, "uris" : [ "http://www.mendeley.com/documents/?uuid=f17d1c38-f17e-4c99-aede-379c6264f7a4" ] } ], "mendeley" : { "formattedCitation" : "&lt;sup&gt;25&lt;/sup&gt;", "plainTextFormattedCitation" : "25", "previouslyFormattedCitation" : "&lt;sup&gt;25&lt;/sup&gt;"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25</w:t>
      </w:r>
      <w:r w:rsidRPr="003F585B">
        <w:rPr>
          <w:rFonts w:ascii="Arial" w:hAnsi="Arial" w:cs="Arial"/>
          <w:sz w:val="24"/>
          <w:szCs w:val="24"/>
        </w:rPr>
        <w:fldChar w:fldCharType="end"/>
      </w:r>
      <w:r w:rsidRPr="003F585B">
        <w:rPr>
          <w:rFonts w:ascii="Arial" w:hAnsi="Arial" w:cs="Arial"/>
          <w:sz w:val="24"/>
          <w:szCs w:val="24"/>
        </w:rPr>
        <w:t xml:space="preserve"> </w:t>
      </w:r>
      <w:r w:rsidR="00BC37C6">
        <w:rPr>
          <w:rFonts w:ascii="Arial" w:hAnsi="Arial" w:cs="Arial"/>
          <w:sz w:val="24"/>
          <w:szCs w:val="24"/>
        </w:rPr>
        <w:t xml:space="preserve">e do </w:t>
      </w:r>
      <w:r w:rsidRPr="003F585B">
        <w:rPr>
          <w:rFonts w:ascii="Arial" w:hAnsi="Arial" w:cs="Arial"/>
          <w:sz w:val="24"/>
          <w:szCs w:val="24"/>
        </w:rPr>
        <w:t>estreitamento das vias aéreas superiores – pela macroglossia</w:t>
      </w:r>
      <w:r w:rsidR="0007601F">
        <w:rPr>
          <w:rFonts w:ascii="Arial" w:hAnsi="Arial" w:cs="Arial"/>
          <w:sz w:val="24"/>
          <w:szCs w:val="24"/>
        </w:rPr>
        <w:t xml:space="preserve"> secundária à deposição de GAGs</w:t>
      </w:r>
      <w:r w:rsidR="004F1F96">
        <w:rPr>
          <w:rFonts w:ascii="Arial" w:hAnsi="Arial" w:cs="Arial"/>
          <w:sz w:val="24"/>
          <w:szCs w:val="24"/>
        </w:rPr>
        <w:t xml:space="preserve"> na língua, ou pela deposição desses substratos</w:t>
      </w:r>
      <w:r w:rsidR="0007601F">
        <w:rPr>
          <w:rFonts w:ascii="Arial" w:hAnsi="Arial" w:cs="Arial"/>
          <w:sz w:val="24"/>
          <w:szCs w:val="24"/>
        </w:rPr>
        <w:t xml:space="preserve"> na mucosa brônquica</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"ISBN" : "0025-7974", "ISSN" : "0025-7974", "PMID" : "3134589", "abstract" : "Twenty-one patients with the diagnosis of mucopolysaccharidosis or mucolipidosis and a history of respiratory complaints or thorough respiratory evaluation were studied retrospectively. Anatomic factors affecting respiratory status included: (i) upper airway narrowing by hypertrophied tongue, tonsils, adenoids, and mucous membranes; (ii) lower airway narrowing by glycosaminoglycan deposition within the tracheobronchial mucosa; (iii) decreased thoracic dimensions due to scoliosis and thoracic hyperkyphosis; and (iv) decreased abdominal dimensions due to lumbar hyperlordosis, gibbus formation and hepatosplenomegaly. Cardiac and neurologic involvement, while present, did not play primary roles in the development of respiratory disease. The functional consequences of these findings included increased risk of developing: (i) respiratory tract infections; (ii) airway compromise during or after anesthesia or sedation; (iii) dyspnea on exertion; (iv) obstructive lung disease; (v) obstructive sleep apnea; and (vi) cor pulmonale. A management approach is presented which can reduce the morbidity and mortality experienced by these patients.", "author" : [ { "dropping-particle" : "", "family" : "Semenza", "given" : "G L", "non-dropping-particle" : "", "parse-names" : false, "suffix" : "" }, { "dropping-particle" : "", "family" : "Pyeritz", "given" : "R E", "non-dropping-particle" : "", "parse-names" : false, "suffix" : "" } ], "container-title" : "Medicine", "id" : "ITEM-1", "issue" : "4", "issued" : { "date-parts" : [ [ "1988" ] ] }, "page" : "209-219", "title" : "Respiratory complications of mucopolysaccharide storage disorders.", "type" : "article-journal", "volume" : "67" }, "uris" : [ "http://www.mendeley.com/documents/?uuid=13bd0137-fd47-415a-805e-b21e56264510" ] } ], "mendeley" : { "formattedCitation" : "&lt;sup&gt;50&lt;/sup&gt;", "plainTextFormattedCitation" : "50", "previouslyFormattedCitation" : "&lt;sup&gt;50&lt;/sup&gt;"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50</w:t>
      </w:r>
      <w:r w:rsidRPr="003F585B">
        <w:rPr>
          <w:rFonts w:ascii="Arial" w:hAnsi="Arial" w:cs="Arial"/>
          <w:sz w:val="24"/>
          <w:szCs w:val="24"/>
        </w:rPr>
        <w:fldChar w:fldCharType="end"/>
      </w:r>
      <w:r w:rsidR="0007601F">
        <w:rPr>
          <w:rFonts w:ascii="Arial" w:hAnsi="Arial" w:cs="Arial"/>
          <w:sz w:val="24"/>
          <w:szCs w:val="24"/>
        </w:rPr>
        <w:t>,</w:t>
      </w:r>
      <w:r w:rsidRPr="003F585B">
        <w:rPr>
          <w:rFonts w:ascii="Arial" w:hAnsi="Arial" w:cs="Arial"/>
          <w:sz w:val="24"/>
          <w:szCs w:val="24"/>
        </w:rPr>
        <w:t xml:space="preserve"> ou</w:t>
      </w:r>
      <w:r w:rsidR="004F1F96">
        <w:rPr>
          <w:rFonts w:ascii="Arial" w:hAnsi="Arial" w:cs="Arial"/>
          <w:sz w:val="24"/>
          <w:szCs w:val="24"/>
        </w:rPr>
        <w:t xml:space="preserve"> ainda,</w:t>
      </w:r>
      <w:r w:rsidRPr="003F585B">
        <w:rPr>
          <w:rFonts w:ascii="Arial" w:hAnsi="Arial" w:cs="Arial"/>
          <w:sz w:val="24"/>
          <w:szCs w:val="24"/>
        </w:rPr>
        <w:t xml:space="preserve"> pelo acúmulo de secreção espessa</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"author" : [ { "dropping-particle" : "", "family" : "Valayannopoulos V, Nicely H, Paul Harmatz P", "given" : "Turbeville S", "non-dropping-particle" : "", "parse-names" : false, "suffix" : "" } ], "container-title" : "Orphanet Journal of Rare Diseases", "id" : "ITEM-1", "issue" : "5", "issued" : { "date-parts" : [ [ "2010" ] ] }, "title" : "Mucopolysaccharidosis VI", "type" : "article-journal", "volume" : "5" }, "uris" : [ "http://www.mendeley.com/documents/?uuid=b6acff33-37c2-4f0b-a1fa-dc9a5fcfccf5" ] } ], "mendeley" : { "formattedCitation" : "&lt;sup&gt;20&lt;/sup&gt;", "plainTextFormattedCitation" : "20", "previouslyFormattedCitation" : "&lt;sup&gt;20&lt;/sup&gt;"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20</w:t>
      </w:r>
      <w:r w:rsidRPr="003F585B">
        <w:rPr>
          <w:rFonts w:ascii="Arial" w:hAnsi="Arial" w:cs="Arial"/>
          <w:sz w:val="24"/>
          <w:szCs w:val="24"/>
        </w:rPr>
        <w:fldChar w:fldCharType="end"/>
      </w:r>
      <w:r w:rsidRPr="003F585B">
        <w:rPr>
          <w:rFonts w:ascii="Arial" w:hAnsi="Arial" w:cs="Arial"/>
          <w:sz w:val="24"/>
          <w:szCs w:val="24"/>
        </w:rPr>
        <w:t xml:space="preserve"> resultante de processos respiratórios infecciosos recorrentes</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"10.1093/rheumatology/ker390", "ISBN" : "1462-0332 (Electronic)\\n1462-0324 (Linking)", "ISSN" : "14620324", "PMID" : "22210670", "abstract" : "The mucopolysaccharidoses (MPSs) often present a diagnostic challenge, particularly for patients who have more slowly progressive disease phenotypes, as early disease manifestations can be subtle or non-specific. However, certain types of bone and joint involvement should always prompt consideration of an MPS diagnosis, such as early joint involvement without classic inflammatory features or erosive bone lesions, claw hand, spinal deformities or dysostosis multiplex. All such patients should be referred to a geneticist or metabolic specialist for diagnostic evaluation. The earlier the diagnosis is made, the better the potential outcome of treatment. Each type of MPS is associated both with deficient activity of a specific lysosomal enzyme that degrades specific glycosaminoglycans (GAGs) and with abnormalities in urinary GAG excretion. MPS patients usually excrete excess GAG in urine and/or have different relative proportions of types of GAG in urine as compared with age-matched normal subjects. Although urinary GAG analyses (both quantitative and qualitative) can suggest the most likely type of MPS, diagnosis must be confirmed by enzyme assay. Multiple assays may be necessary to identify the disease subtype. Correct identification of the MPS type is essential to guide treatment and management decisions.", "author" : [ { "dropping-particle" : "", "family" : "Lehman", "given" : "Thomas J A", "non-dropping-particle" : "", "parse-names" : false, "suffix" : "" }, { "dropping-particle" : "", "family" : "Miller", "given" : "Nicole", "non-dropping-particle" : "", "parse-names" : false, "suffix" : "" }, { "dropping-particle" : "", "family" : "Norquist", "given" : "Becky", "non-dropping-particle" : "", "parse-names" : false, "suffix" : "" }, { "dropping-particle" : "", "family" : "Underhill", "given" : "Lisa", "non-dropping-particle" : "", "parse-names" : false, "suffix" : "" }, { "dropping-particle" : "", "family" : "Keutzer", "given" : "Joan", "non-dropping-particle" : "", "parse-names" : false, "suffix" : "" } ], "container-title" : "Rheumatology", "id" : "ITEM-1", "issue" : "SUPPL. 5", "issued" : { "date-parts" : [ [ "2011" ] ] }, "page" : "41-48", "title" : "Diagnosis of the mucopolysaccharidoses", "type" : "article-journal", "volume" : "50" }, "uris" : [ "http://www.mendeley.com/documents/?uuid=2d68b9fd-2729-4930-b57e-e756814a94b9" ] }, { "id" : "ITEM-2", "itemData" : { "DOI" : "10.1590/S0104-42302010000300009", "ISSN" : "0104-4230", "abstract" : "As mucopolissacaridoses (MPS) s\u00e3o doen\u00e7as gen\u00e9ticas raras causadas pela defici\u00eancia de enzimas lisoss\u00f4micas espec\u00edficas que afetam o catabolismo de glicosaminoglicanos (GAG). O ac\u00famulo de GAG em v\u00e1rios \u00f3rg\u00e3os e tecidos nos pacientes afetados pelas MPS resulta em uma s\u00e9rie de sinais e sintomas, integrantes de um quadro cl\u00ednico multissist\u00eamico que compromete ossos e articula\u00e7\u00f5es, vias respirat\u00f3rias, sistema cardiovascular e muitos outros \u00f3rg\u00e3os e tecidos, incluindo, em alguns casos, as fun\u00e7\u00f5es cognitivas. J\u00e1 foram identificados 11 defeitos enzim\u00e1ticos que causam sete tipos diferentes de MPS. Antes do advento de terapias dirigidas para a restaura\u00e7\u00e3o da atividade da enzima deficiente, o tratamento das MPS tinha como principal foco a preven\u00e7\u00e3o e o cuidado das complica\u00e7\u00f5es, aspecto ainda bastante importante no manejo desses pacientes. Na d\u00e9cada de 80 foi proposto o tratamento das MPS com transplante de medula \u00f3ssea/transplante de c\u00e9lulas tronco hematopoi\u00e9ticas (TMO/TCTH) e na d\u00e9cada de 90 come\u00e7ou o desenvolvimento da Terapia de Reposi\u00e7\u00e3o Enzim\u00e1tica (TRE), que se tornou uma realidade aprovada para uso cl\u00ednico nas MPS I, II e VI na primeira d\u00e9cada do s\u00e9culo 21. Os autores deste trabalho t\u00eam a convic\u00e7\u00e3o de que um melhor futuro para os pacientes afetados pelas MPS depende da identifica\u00e7\u00e3o, compreens\u00e3o e manejo adequado das manifesta\u00e7\u00f5es multissist\u00eamicas dessas doen\u00e7as, incluindo medidas de suporte (que devem fazer parte da assist\u00eancia multidisciplinar regular destes pacientes) e terapias espec\u00edficas. Embora a inibi\u00e7\u00e3o da s\u00edntese de GAG e o resgate da atividade enzim\u00e1tica com mol\u00e9culas pequenas tamb\u00e9m possam vir a ter um papel no manejo das MPS, o grande avan\u00e7o dispon\u00edvel no momento \u00e9 a TRE intravenosa. A TRE permitiu modificar radicalmente o panorama do tratamento das mucopolissacaridoses I, II e VI na \u00faltima d\u00e9cada, sendo que ainda pode estender seus benef\u00edcios em breve para a MPS IV A (cuja TRE j\u00e1 est\u00e1 em desenvolvimento cl\u00ednico), com perspectivas para o tratamento da MPS III A e do d\u00e9ficit cognitivo na MPS II atrav\u00e9s de administra\u00e7\u00e3o da enzima diretamente no sistema nervoso central (SNC). Um grande n\u00famero de centros brasileiros, incluindo servi\u00e7os de todas as regi\u00f5es do pa\u00eds, j\u00e1 t\u00eam experi\u00eancia com TRE para MPS I, II e VI. Essa experi\u00eancia foi adquirida n\u00e3o s\u00f3 com o tratamento de pacientes como tamb\u00e9m com a participa\u00e7\u00e3o de alguns grupos em ensaios cl\u00ednicos envolvendo TRE para essas condi\u00e7\u00f5es. Somados os tr\u00eas tipos de MPS, mais de 250 pacientes j\u00e1 foram tratado\u2026", "author" : [ { "dropping-particle" : "", "family" : "Giugliani R, Federhen A, Rojas MV, Vieira TA, Artigal\u00e1s O, Pinto LL", "given" : "et al.", "non-dropping-particle" : "", "parse-names" : false, "suffix" : "" } ], "container-title" : "Rev Assoc Med Bras", "id" : "ITEM-2", "issue" : "3", "issued" : { "date-parts" : [ [ "2010" ] ] }, "page" : "271-277", "title" : "Terapia de reposi\u00e7\u00e3o enzim\u00e1tica para as mucopolissacaridoses I , II e VI: recomenda\u00e7\u00f5es de um grupo de especialistas brasileiros", "type" : "article-journal", "volume" : "56" }, "uris" : [ "http://www.mendeley.com/documents/?uuid=20e9b74c-f667-4827-868e-144e7b460615" ] }, { "id" : "ITEM-3", "itemData" : { "DOI" : "10.1590/S1415-47572010005000093", "ISBN" : "1678-4685 (Electronic)\\r1415-4757 (Linking)", "ISSN" : "14154757", "PMID" : "21637564", "abstract" : "Mucopolysaccharidoses (MPS) are rare genetic diseases caused by the deficiency of one of the lysosomal enzymes involved in the glycosaminoglycan (GAG) breakdown pathway. This metabolic block leads to the accumulation of GAG in various organs and tissues of the affected patients, resulting in a multisystemic clinical picture, sometimes including cognitive impairment. Until the beginning of the XXI century, treatment was mainly supportive. Bone marrow transplantation improved the natural course of the disease in some types of MPS, but the morbidity and mortality restricted its use to selected cases. The identification of the genes involved, the new molecular biology tools and the availability of animal models made it possible to develop specific enzyme replacement therapies (ERT) for these diseases. At present, a great number of Brazilian medical centers from all regions of the country have experience with ERT for MPS I, II, and VI, acquired not only through patient treatment but also in clinical trials. Taking the three types of MPS together, over 200 patients have been treated with ERT in our country. This document summarizes the experience of the professionals involved, along with the data available in the international literature, bringing together and harmonizing the information available on the management of these severe and progressive diseases, thus disclosing new prospects for Brazilian patients affected by these conditions.", "author" : [ { "dropping-particle" : "", "family" : "Giugliani", "given" : "Roberto", "non-dropping-particle" : "", "parse-names" : false, "suffix" : "" }, { "dropping-particle" : "", "family" : "Federhen", "given" : "Andressa", "non-dropping-particle" : "", "parse-names" : false, "suffix" : "" }, { "dropping-particle" : "", "family" : "Rojas", "given" : "Maria Ver\u00f4nica Mu\u00f1oz", "non-dropping-particle" : "", "parse-names" : false, "suffix" : "" }, { "dropping-particle" : "", "family" : "Vieira", "given" : "Taiane", "non-dropping-particle" : "", "parse-names" : false, "suffix" : "" }, { "dropping-particle" : "", "family" : "Artigal\u00e1s", "given" : "Osvaldo", "non-dropping-particle" : "", "parse-names" : false, "suffix" : "" }, { "dropping-particle" : "", "family" : "Pinto", "given" : "Louise Lapagesse", "non-dropping-particle" : "", "parse-names" : false, "suffix" : "" }, { "dropping-particle" : "", "family" : "Azevedo", "given" : "Ana Cec\u00edlia", "non-dropping-particle" : "", "parse-names" : false, "suffix" : "" }, { "dropping-particle" : "", "family" : "Acosta", "given" : "Angelina", "non-dropping-particle" : "", "parse-names" : false, "suffix" : "" }, { "dropping-particle" : "", "family" : "Bonfim", "given" : "Carmen", "non-dropping-particle" : "", "parse-names" : false, "suffix" : "" }, { "dropping-particle" : "", "family" : "Louren\u00e7o", "given" : "Charles Marques", "non-dropping-particle" : "", "parse-names" : false, "suffix" : "" }, { "dropping-particle" : "", "family" : "Kim", "given" : "Chong Ae", "non-dropping-particle" : "", "parse-names" : false, "suffix" : "" }, { "dropping-particle" : "", "family" : "Horovitz", "given" : "Dafne", "non-dropping-particle" : "", "parse-names" : false, "suffix" : "" }, { "dropping-particle" : "", "family" : "Bonfim", "given" : "Denize", "non-dropping-particle" : "", "parse-names" : false, "suffix" : "" }, { "dropping-particle" : "", "family" : "Norato", "given" : "Denise", "non-dropping-particle" : "", "parse-names" : false, "suffix" : "" }, { "dropping-particle" : "", "family" : "Marinho", "given" : "Diane", "non-dropping-particle" : "", "parse-names" : false, "suffix" : "" }, { "dropping-particle" : "", "family" : "Palhares", "given" : "Durval", "non-dropping-particle" : "", "parse-names" : false, "suffix" : "" }, { "dropping-particle" : "", "family" : "Santos", "given" : "Emerson Santana", "non-dropping-particle" : "", "parse-names" : false, "suffix" : "" }, { "dropping-particle" : "", "family" : "Ribeiro", "given" : "Erlane", "non-dropping-particle" : "", "parse-names" : false, "suffix" : "" }, { "dropping-particle" : "", "family" : "Valadares", "given" : "Eug\u00eania", "non-dropping-particle" : "", "parse-names" : false, "suffix" : "" }, { "dropping-particle" : "", "family" : "Guarany", "given" : "F\u00e1bio", "non-dropping-particle" : "", "parse-names" : false, "suffix" : "" }, { "dropping-particle" : "", "family" : "Lucca", "given" : "Gisele Rosone", "non-dropping-particle" : "de", "parse-names" : false, "suffix" : "" }, { "dropping-particle" : "", "family" : "Pimentel", "given" : "Helena", "non-dropping-particle" : "", "parse-names" : false, "suffix" : "" }, { "dropping-particle" : "", "family" : "Souza", "given" : "Isabel Neves", "non-dropping-particle" : "de", "parse-names" : false, "suffix" : "" }, { "dropping-particle" : "", "family" : "Neto", "given" : "Jord\u00e3o Correa", "non-dropping-particle" : "", "parse-names" : false, "suffix" : "" }, { "dropping-particle" : "", "family" : "Fraga", "given" : "Jos\u00e9 Carlos", "non-dropping-particle" : "", "parse-names" : false, "suffix" : "" }, { "dropping-particle" : "", "family" : "Goes", "given" : "Jos\u00e9 Eduardo", "non-dropping-particle" : "", "parse-names" : false, "suffix" : "" }, { "dropping-particle" : "", "family" : "Cabral", "given" : "Jos\u00e9 Maria", "non-dropping-particle" : "", "parse-names" : false, "suffix" : "" }, { "dropping-particle" : "", "family" : "Simionato", "given" : "Jos\u00e9", "non-dropping-particle" : "", "parse-names" : false, "suffix" : "" }, { "dropping-particle" : "", "family" : "Llerena", "given" : "Juan", "non-dropping-particle" : "", "parse-names" : false, "suffix" : "" }, { "dropping-particle" : "", "family" : "Jardim", "given" : "Laura", "non-dropping-particle" : "", "parse-names" : false, "suffix" : "" }, { "dropping-particle" : "", "family" : "Giuliani", "given" : "Liane", "non-dropping-particle" : "", "parse-names" : false, "suffix" : "" }, { "dropping-particle" : "", "family" : "Silva", "given" : "Luiz Carlos Santana", "non-dropping-particle" : "da", "parse-names" : false, "suffix" : "" }, { "dropping-particle" : "", "family" : "Santos", "given" : "Mara L.", "non-dropping-particle" : "", "parse-names" : false, "suffix" : "" }, { "dropping-particle" : "", "family" : "Moreira", "given" : "Maria Angela", "non-dropping-particle" : "", "parse-names" : false, "suffix" : "" }, { "dropping-particle" : "", "family" : "Kerstenetzky", "given" : "Marcelo", "non-dropping-particle" : "", "parse-names" : false, "suffix" : "" }, { "dropping-particle" : "", "family" : "Ribeiro", "given" : "M\u00e1rcia", "non-dropping-particle" : "", "parse-names" : false, "suffix" : "" }, { "dropping-particle" : "", "family" : "Ruas", "given" : "Nicole", "non-dropping-particle" : "", "parse-names" : false, "suffix" : "" }, { "dropping-particle" : "", "family" : "Barrios", "given" : "Patricia", "non-dropping-particle" : "", "parse-names" : false, "suffix" : "" }, { "dropping-particle" : "", "family" : "Aranda", "given" : "Paulo", "non-dropping-particle" : "", "parse-names" : false, "suffix" : "" }, { "dropping-particle" : "", "family" : "Honjo", "given" : "Rachel", "non-dropping-particle" : "", "parse-names" : false, "suffix" : "" }, { "dropping-particle" : "", "family" : "Boy", "given" : "Raquel", "non-dropping-particle" : "", "parse-names" : false, "suffix" : "" }, { "dropping-particle" : "", "family" : "Costa", "given" : "Ronaldo", "non-dropping-particle" : "", "parse-names" : false, "suffix" : "" }, { "dropping-particle" : "", "family" : "Souza", "given" : "Carolina", "non-dropping-particle" : "", "parse-names" : false, "suffix" : "" }, { "dropping-particle" : "", "family" : "Alcantara", "given" : "Flavio F.", "non-dropping-particle" : "", "parse-names" : false, "suffix" : "" }, { "dropping-particle" : "", "family" : "Avilla", "given" : "Silvio Gilberto A", "non-dropping-particle" : "", "parse-names" : false, "suffix" : "" }, { "dropping-particle" : "", "family" : "Fagondes", "given" : "Simone", "non-dropping-particle" : "", "parse-names" : false, "suffix" : "" }, { "dropping-particle" : "", "family" : "Martins", "given" : "Ana Maria", "non-dropping-particle" : "", "parse-names" : false, "suffix" : "" } ], "container-title" : "Genetics and Molecular Biology", "id" : "ITEM-3", "issue" : "4", "issued" : { "date-parts" : [ [ "2010" ] ] }, "page" : "589-604", "title" : "Mucopolysaccharidosis I, II, and VI: Brief review and guidelines for treatment", "type" : "article-journal", "volume" : "33" }, "uris" : [ "http://www.mendeley.com/documents/?uuid=f17d1c38-f17e-4c99-aede-379c6264f7a4" ] } ], "mendeley" : { "formattedCitation" : "&lt;sup&gt;8,24,25&lt;/sup&gt;", "plainTextFormattedCitation" : "8,24,25", "previouslyFormattedCitation" : "&lt;sup&gt;8,24,25&lt;/sup&gt;"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8,24,25</w:t>
      </w:r>
      <w:r w:rsidRPr="003F585B">
        <w:rPr>
          <w:rFonts w:ascii="Arial" w:hAnsi="Arial" w:cs="Arial"/>
          <w:sz w:val="24"/>
          <w:szCs w:val="24"/>
        </w:rPr>
        <w:fldChar w:fldCharType="end"/>
      </w:r>
      <w:r w:rsidRPr="003F585B">
        <w:rPr>
          <w:rFonts w:ascii="Arial" w:hAnsi="Arial" w:cs="Arial"/>
          <w:sz w:val="24"/>
          <w:szCs w:val="24"/>
        </w:rPr>
        <w:t>)</w:t>
      </w:r>
      <w:r w:rsidR="002356ED">
        <w:rPr>
          <w:rFonts w:ascii="Arial" w:hAnsi="Arial" w:cs="Arial"/>
          <w:sz w:val="24"/>
          <w:szCs w:val="24"/>
        </w:rPr>
        <w:t>.</w:t>
      </w:r>
      <w:r w:rsidRPr="003F585B">
        <w:rPr>
          <w:rFonts w:ascii="Arial" w:hAnsi="Arial" w:cs="Arial"/>
          <w:sz w:val="24"/>
          <w:szCs w:val="24"/>
        </w:rPr>
        <w:t xml:space="preserve"> </w:t>
      </w:r>
      <w:r w:rsidR="002356ED">
        <w:rPr>
          <w:rFonts w:ascii="Arial" w:hAnsi="Arial" w:cs="Arial"/>
          <w:sz w:val="24"/>
          <w:szCs w:val="24"/>
        </w:rPr>
        <w:t>O</w:t>
      </w:r>
      <w:r w:rsidR="00BC37C6">
        <w:rPr>
          <w:rFonts w:ascii="Arial" w:hAnsi="Arial" w:cs="Arial"/>
          <w:sz w:val="24"/>
          <w:szCs w:val="24"/>
        </w:rPr>
        <w:t xml:space="preserve">s pacientes também podem </w:t>
      </w:r>
      <w:r w:rsidRPr="003F585B">
        <w:rPr>
          <w:rFonts w:ascii="Arial" w:hAnsi="Arial" w:cs="Arial"/>
          <w:sz w:val="24"/>
          <w:szCs w:val="24"/>
        </w:rPr>
        <w:t>apresentar</w:t>
      </w:r>
      <w:r w:rsidR="00BC37C6">
        <w:rPr>
          <w:rFonts w:ascii="Arial" w:hAnsi="Arial" w:cs="Arial"/>
          <w:sz w:val="24"/>
          <w:szCs w:val="24"/>
        </w:rPr>
        <w:t xml:space="preserve"> alterações respiratórias com</w:t>
      </w:r>
      <w:r w:rsidRPr="003F585B">
        <w:rPr>
          <w:rFonts w:ascii="Arial" w:hAnsi="Arial" w:cs="Arial"/>
          <w:sz w:val="24"/>
          <w:szCs w:val="24"/>
        </w:rPr>
        <w:t xml:space="preserve"> características restritivas</w:t>
      </w:r>
      <w:r w:rsidR="00104DD7">
        <w:rPr>
          <w:rFonts w:ascii="Arial" w:hAnsi="Arial" w:cs="Arial"/>
          <w:sz w:val="24"/>
          <w:szCs w:val="24"/>
        </w:rPr>
        <w:t>,</w:t>
      </w:r>
      <w:r w:rsidRPr="003F585B">
        <w:rPr>
          <w:rFonts w:ascii="Arial" w:hAnsi="Arial" w:cs="Arial"/>
          <w:sz w:val="24"/>
          <w:szCs w:val="24"/>
        </w:rPr>
        <w:t xml:space="preserve"> em função da rigidez de caixa torácica e distensão abdominal</w:t>
      </w:r>
      <w:r w:rsidR="00104DD7">
        <w:rPr>
          <w:rFonts w:ascii="Arial" w:hAnsi="Arial" w:cs="Arial"/>
          <w:sz w:val="24"/>
          <w:szCs w:val="24"/>
        </w:rPr>
        <w:t>,</w:t>
      </w:r>
      <w:r w:rsidRPr="003F585B">
        <w:rPr>
          <w:rFonts w:ascii="Arial" w:hAnsi="Arial" w:cs="Arial"/>
          <w:sz w:val="24"/>
          <w:szCs w:val="24"/>
        </w:rPr>
        <w:t xml:space="preserve"> associadas às deformidades torácicas</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"ISBN" : "0025-7974", "ISSN" : "0025-7974", "PMID" : "3134589", "abstract" : "Twenty-one patients with the diagnosis of mucopolysaccharidosis or mucolipidosis and a history of respiratory complaints or thorough respiratory evaluation were studied retrospectively. Anatomic factors affecting respiratory status included: (i) upper airway narrowing by hypertrophied tongue, tonsils, adenoids, and mucous membranes; (ii) lower airway narrowing by glycosaminoglycan deposition within the tracheobronchial mucosa; (iii) decreased thoracic dimensions due to scoliosis and thoracic hyperkyphosis; and (iv) decreased abdominal dimensions due to lumbar hyperlordosis, gibbus formation and hepatosplenomegaly. Cardiac and neurologic involvement, while present, did not play primary roles in the development of respiratory disease. The functional consequences of these findings included increased risk of developing: (i) respiratory tract infections; (ii) airway compromise during or after anesthesia or sedation; (iii) dyspnea on exertion; (iv) obstructive lung disease; (v) obstructive sleep apnea; and (vi) cor pulmonale. A management approach is presented which can reduce the morbidity and mortality experienced by these patients.", "author" : [ { "dropping-particle" : "", "family" : "Semenza", "given" : "G L", "non-dropping-particle" : "", "parse-names" : false, "suffix" : "" }, { "dropping-particle" : "", "family" : "Pyeritz", "given" : "R E", "non-dropping-particle" : "", "parse-names" : false, "suffix" : "" } ], "container-title" : "Medicine", "id" : "ITEM-1", "issue" : "4", "issued" : { "date-parts" : [ [ "1988" ] ] }, "page" : "209-219", "title" : "Respiratory complications of mucopolysaccharide storage disorders.", "type" : "article-journal", "volume" : "67" }, "uris" : [ "http://www.mendeley.com/documents/?uuid=13bd0137-fd47-415a-805e-b21e56264510" ] }, { "id" : "ITEM-2", "itemData" : { "author" : [ { "dropping-particle" : "", "family" : "Valayannopoulos V, Nicely H, Paul Harmatz P", "given" : "Turbeville S", "non-dropping-particle" : "", "parse-names" : false, "suffix" : "" } ], "container-title" : "Orphanet Journal of Rare Diseases", "id" : "ITEM-2", "issue" : "5", "issued" : { "date-parts" : [ [ "2010" ] ] }, "title" : "Mucopolysaccharidosis VI", "type" : "article-journal", "volume" : "5" }, "uris" : [ "http://www.mendeley.com/documents/?uuid=b6acff33-37c2-4f0b-a1fa-dc9a5fcfccf5" ] } ], "mendeley" : { "formattedCitation" : "&lt;sup&gt;20,50&lt;/sup&gt;", "plainTextFormattedCitation" : "20,50", "previouslyFormattedCitation" : "&lt;sup&gt;20,50&lt;/sup&gt;"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20,50</w:t>
      </w:r>
      <w:r w:rsidRPr="003F585B">
        <w:rPr>
          <w:rFonts w:ascii="Arial" w:hAnsi="Arial" w:cs="Arial"/>
          <w:sz w:val="24"/>
          <w:szCs w:val="24"/>
        </w:rPr>
        <w:fldChar w:fldCharType="end"/>
      </w:r>
      <w:r w:rsidRPr="003F585B">
        <w:rPr>
          <w:rFonts w:ascii="Arial" w:hAnsi="Arial" w:cs="Arial"/>
          <w:sz w:val="24"/>
          <w:szCs w:val="24"/>
        </w:rPr>
        <w:t>.</w:t>
      </w:r>
      <w:r w:rsidR="00BC37C6">
        <w:rPr>
          <w:rFonts w:ascii="Arial" w:hAnsi="Arial" w:cs="Arial"/>
          <w:sz w:val="24"/>
          <w:szCs w:val="24"/>
        </w:rPr>
        <w:t xml:space="preserve"> A h</w:t>
      </w:r>
      <w:r w:rsidRPr="003F585B">
        <w:rPr>
          <w:rFonts w:ascii="Arial" w:hAnsi="Arial" w:cs="Arial"/>
          <w:sz w:val="24"/>
          <w:szCs w:val="24"/>
        </w:rPr>
        <w:t>ipoacusia</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"10.1186/1750-1172-7-22", "ISBN" : "1750-1172 (Electronic)\\r1750-1172 (Linking)", "ISSN" : "1750-1172", "PMID" : "22524701", "abstract" : "BACKGROUND: Mucopolysaccharidosis type I (MPS I) is traditionally divided into three phenotypes: the severe Hurler (MPS I-H) phenotype, the intermediate Hurler-Scheie (MPS I-H/S) phenotype and the attenuated Scheie (MPS I-S) phenotype. However, there are no clear criteria for delineating the different phenotypes. Because decisions about optimal treatment (enzyme replacement therapy or hematopoietic stem cell transplantation) need to be made quickly and depend on the presumed phenotype, an assessment of phenotypic severity should be performed soon after diagnosis. Therefore, a numerical severity scale for classifying different MPS I phenotypes at diagnosis based on clinical signs and symptoms was developed.\\n\\nMETHODS: A consensus procedure based on a combined modified Delphi method and a nominal group technique was undertaken. It consisted of two written rounds and a face-to-face meeting. Sixteen MPS I experts participated in the process. The main goal was to identify the most important indicators of phenotypic severity and include these in a numerical severity scale. The correlation between the median subjective expert MPS I rating and the scores derived from this severity scale was used as an indicator of validity.\\n\\nRESULTS: Full consensus was reached on six key clinical items for assessing severity: age of onset of signs and symptoms, developmental delay, joint stiffness/arthropathy/contractures, kyphosis, cardiomyopathy and large head/frontal bossing. Due to the remarkably large variability in the expert MPS I assessments, however, a reliable numerical scale could not be constructed. Because of this variability, such a scale would always result in patients whose calculated severity score differed unacceptably from the median expert severity score, which was considered to be the 'gold standard'.\\n\\nCONCLUSIONS: Although consensus was reached on the six key items for assessing phenotypic severity in MPS I, expert opinion on phenotypic severity at diagnosis proved to be highly variable. This subjectivity emphasizes the need for validated biomarkers and improved genotype-phenotype correlations that can be incorporated into phenotypic severity assessments at diagnosis.", "author" : [ { "dropping-particle" : "", "family" : "Ru", "given" : "Minke H", "non-dropping-particle" : "", "parse-names" : false, "suffix" : "" }, { "dropping-particle" : "", "family" : "Teunissen", "given" : "Quirine GA", "non-dropping-particle" : "", "parse-names" : false, "suffix" : "" }, { "dropping-particle" : "", "family" : "Lee", "given" : "Johanna H", "non-dropping-particle" : "van der", "parse-names" : false, "suffix" : "" }, { "dropping-particle" : "", "family" : "Beck", "given" : "Michael", "non-dropping-particle" : "", "parse-names" : false, "suffix" : "" }, { "dropping-particle" : "", "family" : "Bodamer", "given" : "Olaf A", "non-dropping-particle" : "", "parse-names" : false, "suffix" : "" }, { "dropping-particle" : "", "family" : "Clarke", "given" : "Lorne A", "non-dropping-particle" : "", "parse-names" : false, "suffix" : "" }, { "dropping-particle" : "", "family" : "Hollak", "given" : "Carla E", "non-dropping-particle" : "", "parse-names" : false, "suffix" : "" }, { "dropping-particle" : "", "family" : "Lin", "given" : "Shuan-Pei", "non-dropping-particle" : "", "parse-names" : false, "suffix" : "" }, { "dropping-particle" : "", "family" : "Munoz Rojas", "given" : "Maria-Veronica", "non-dropping-particle" : "", "parse-names" : false, "suffix" : "" }, { "dropping-particle" : "", "family" : "Pastores", "given" : "Gregory M", "non-dropping-particle" : "", "parse-names" : false, "suffix" : "" }, { "dropping-particle" : "", "family" : "Raiman", "given" : "Julian A", "non-dropping-particle" : "", "parse-names" : false, "suffix" : "" }, { "dropping-particle" : "", "family" : "Scarpa", "given" : "Maurizio", "non-dropping-particle" : "", "parse-names" : false, "suffix" : "" }, { "dropping-particle" : "", "family" : "Treacy", "given" : "Eileen P", "non-dropping-particle" : "", "parse-names" : false, "suffix" : "" }, { "dropping-particle" : "", "family" : "Tylki-Szymanska", "given" : "Anna", "non-dropping-particle" : "", "parse-names" : false, "suffix" : "" }, { "dropping-particle" : "", "family" : "Wraith", "given" : "Edmond", "non-dropping-particle" : "", "parse-names" : false, "suffix" : "" }, { "dropping-particle" : "", "family" : "Zeman", "given" : "Jiri", "non-dropping-particle" : "", "parse-names" : false, "suffix" : "" }, { "dropping-particle" : "", "family" : "Wijburg", "given" : "Frits A", "non-dropping-particle" : "", "parse-names" : false, "suffix" : "" } ], "container-title" : "Orphanet Journal of Rare Diseases", "id" : "ITEM-1", "issue" : "1", "issued" : { "date-parts" : [ [ "2012" ] ] }, "page" : "22", "publisher" : "BioMed Central Ltd", "title" : "Capturing phenotypic heterogeneity in MPS I: results of an international consensus procedure", "type" : "article-journal", "volume" : "7" }, "uris" : [ "http://www.mendeley.com/documents/?uuid=b64ca157-1fe5-4b55-8b95-4b9d43a636a5" ] }, { "id" : "ITEM-2", "itemData" : { "DOI" : "10.1590/S1415-47572010005000093", "ISBN" : "1678-4685 (Electronic)\\r1415-4757 (Linking)", "ISSN" : "14154757", "PMID" : "21637564", "abstract" : "Mucopolysaccharidoses (MPS) are rare genetic diseases caused by the deficiency of one of the lysosomal enzymes involved in the glycosaminoglycan (GAG) breakdown pathway. This metabolic block leads to the accumulation of GAG in various organs and tissues of the affected patients, resulting in a multisystemic clinical picture, sometimes including cognitive impairment. Until the beginning of the XXI century, treatment was mainly supportive. Bone marrow transplantation improved the natural course of the disease in some types of MPS, but the morbidity and mortality restricted its use to selected cases. The identification of the genes involved, the new molecular biology tools and the availability of animal models made it possible to develop specific enzyme replacement therapies (ERT) for these diseases. At present, a great number of Brazilian medical centers from all regions of the country have experience with ERT for MPS I, II, and VI, acquired not only through patient treatment but also in clinical trials. Taking the three types of MPS together, over 200 patients have been treated with ERT in our country. This document summarizes the experience of the professionals involved, along with the data available in the international literature, bringing together and harmonizing the information available on the management of these severe and progressive diseases, thus disclosing new prospects for Brazilian patients affected by these conditions.", "author" : [ { "dropping-particle" : "", "family" : "Giugliani", "given" : "Roberto", "non-dropping-particle" : "", "parse-names" : false, "suffix" : "" }, { "dropping-particle" : "", "family" : "Federhen", "given" : "Andressa", "non-dropping-particle" : "", "parse-names" : false, "suffix" : "" }, { "dropping-particle" : "", "family" : "Rojas", "given" : "Maria Ver\u00f4nica Mu\u00f1oz", "non-dropping-particle" : "", "parse-names" : false, "suffix" : "" }, { "dropping-particle" : "", "family" : "Vieira", "given" : "Taiane", "non-dropping-particle" : "", "parse-names" : false, "suffix" : "" }, { "dropping-particle" : "", "family" : "Artigal\u00e1s", "given" : "Osvaldo", "non-dropping-particle" : "", "parse-names" : false, "suffix" : "" }, { "dropping-particle" : "", "family" : "Pinto", "given" : "Louise Lapagesse", "non-dropping-particle" : "", "parse-names" : false, "suffix" : "" }, { "dropping-particle" : "", "family" : "Azevedo", "given" : "Ana Cec\u00edlia", "non-dropping-particle" : "", "parse-names" : false, "suffix" : "" }, { "dropping-particle" : "", "family" : "Acosta", "given" : "Angelina", "non-dropping-particle" : "", "parse-names" : false, "suffix" : "" }, { "dropping-particle" : "", "family" : "Bonfim", "given" : "Carmen", "non-dropping-particle" : "", "parse-names" : false, "suffix" : "" }, { "dropping-particle" : "", "family" : "Louren\u00e7o", "given" : "Charles Marques", "non-dropping-particle" : "", "parse-names" : false, "suffix" : "" }, { "dropping-particle" : "", "family" : "Kim", "given" : "Chong Ae", "non-dropping-particle" : "", "parse-names" : false, "suffix" : "" }, { "dropping-particle" : "", "family" : "Horovitz", "given" : "Dafne", "non-dropping-particle" : "", "parse-names" : false, "suffix" : "" }, { "dropping-particle" : "", "family" : "Bonfim", "given" : "Denize", "non-dropping-particle" : "", "parse-names" : false, "suffix" : "" }, { "dropping-particle" : "", "family" : "Norato", "given" : "Denise", "non-dropping-particle" : "", "parse-names" : false, "suffix" : "" }, { "dropping-particle" : "", "family" : "Marinho", "given" : "Diane", "non-dropping-particle" : "", "parse-names" : false, "suffix" : "" }, { "dropping-particle" : "", "family" : "Palhares", "given" : "Durval", "non-dropping-particle" : "", "parse-names" : false, "suffix" : "" }, { "dropping-particle" : "", "family" : "Santos", "given" : "Emerson Santana", "non-dropping-particle" : "", "parse-names" : false, "suffix" : "" }, { "dropping-particle" : "", "family" : "Ribeiro", "given" : "Erlane", "non-dropping-particle" : "", "parse-names" : false, "suffix" : "" }, { "dropping-particle" : "", "family" : "Valadares", "given" : "Eug\u00eania", "non-dropping-particle" : "", "parse-names" : false, "suffix" : "" }, { "dropping-particle" : "", "family" : "Guarany", "given" : "F\u00e1bio", "non-dropping-particle" : "", "parse-names" : false, "suffix" : "" }, { "dropping-particle" : "", "family" : "Lucca", "given" : "Gisele Rosone", "non-dropping-particle" : "de", "parse-names" : false, "suffix" : "" }, { "dropping-particle" : "", "family" : "Pimentel", "given" : "Helena", "non-dropping-particle" : "", "parse-names" : false, "suffix" : "" }, { "dropping-particle" : "", "family" : "Souza", "given" : "Isabel Neves", "non-dropping-particle" : "de", "parse-names" : false, "suffix" : "" }, { "dropping-particle" : "", "family" : "Neto", "given" : "Jord\u00e3o Correa", "non-dropping-particle" : "", "parse-names" : false, "suffix" : "" }, { "dropping-particle" : "", "family" : "Fraga", "given" : "Jos\u00e9 Carlos", "non-dropping-particle" : "", "parse-names" : false, "suffix" : "" }, { "dropping-particle" : "", "family" : "Goes", "given" : "Jos\u00e9 Eduardo", "non-dropping-particle" : "", "parse-names" : false, "suffix" : "" }, { "dropping-particle" : "", "family" : "Cabral", "given" : "Jos\u00e9 Maria", "non-dropping-particle" : "", "parse-names" : false, "suffix" : "" }, { "dropping-particle" : "", "family" : "Simionato", "given" : "Jos\u00e9", "non-dropping-particle" : "", "parse-names" : false, "suffix" : "" }, { "dropping-particle" : "", "family" : "Llerena", "given" : "Juan", "non-dropping-particle" : "", "parse-names" : false, "suffix" : "" }, { "dropping-particle" : "", "family" : "Jardim", "given" : "Laura", "non-dropping-particle" : "", "parse-names" : false, "suffix" : "" }, { "dropping-particle" : "", "family" : "Giuliani", "given" : "Liane", "non-dropping-particle" : "", "parse-names" : false, "suffix" : "" }, { "dropping-particle" : "", "family" : "Silva", "given" : "Luiz Carlos Santana", "non-dropping-particle" : "da", "parse-names" : false, "suffix" : "" }, { "dropping-particle" : "", "family" : "Santos", "given" : "Mara L.", "non-dropping-particle" : "", "parse-names" : false, "suffix" : "" }, { "dropping-particle" : "", "family" : "Moreira", "given" : "Maria Angela", "non-dropping-particle" : "", "parse-names" : false, "suffix" : "" }, { "dropping-particle" : "", "family" : "Kerstenetzky", "given" : "Marcelo", "non-dropping-particle" : "", "parse-names" : false, "suffix" : "" }, { "dropping-particle" : "", "family" : "Ribeiro", "given" : "M\u00e1rcia", "non-dropping-particle" : "", "parse-names" : false, "suffix" : "" }, { "dropping-particle" : "", "family" : "Ruas", "given" : "Nicole", "non-dropping-particle" : "", "parse-names" : false, "suffix" : "" }, { "dropping-particle" : "", "family" : "Barrios", "given" : "Patricia", "non-dropping-particle" : "", "parse-names" : false, "suffix" : "" }, { "dropping-particle" : "", "family" : "Aranda", "given" : "Paulo", "non-dropping-particle" : "", "parse-names" : false, "suffix" : "" }, { "dropping-particle" : "", "family" : "Honjo", "given" : "Rachel", "non-dropping-particle" : "", "parse-names" : false, "suffix" : "" }, { "dropping-particle" : "", "family" : "Boy", "given" : "Raquel", "non-dropping-particle" : "", "parse-names" : false, "suffix" : "" }, { "dropping-particle" : "", "family" : "Costa", "given" : "Ronaldo", "non-dropping-particle" : "", "parse-names" : false, "suffix" : "" }, { "dropping-particle" : "", "family" : "Souza", "given" : "Carolina", "non-dropping-particle" : "", "parse-names" : false, "suffix" : "" }, { "dropping-particle" : "", "family" : "Alcantara", "given" : "Flavio F.", "non-dropping-particle" : "", "parse-names" : false, "suffix" : "" }, { "dropping-particle" : "", "family" : "Avilla", "given" : "Silvio Gilberto A", "non-dropping-particle" : "", "parse-names" : false, "suffix" : "" }, { "dropping-particle" : "", "family" : "Fagondes", "given" : "Simone", "non-dropping-particle" : "", "parse-names" : false, "suffix" : "" }, { "dropping-particle" : "", "family" : "Martins", "given" : "Ana Maria", "non-dropping-particle" : "", "parse-names" : false, "suffix" : "" } ], "container-title" : "Genetics and Molecular Biology", "id" : "ITEM-2", "issue" : "4", "issued" : { "date-parts" : [ [ "2010" ] ] }, "page" : "589-604", "title" : "Mucopolysaccharidosis I, II, and VI: Brief review and guidelines for treatment", "type" : "article-journal", "volume" : "33" }, "uris" : [ "http://www.mendeley.com/documents/?uuid=f17d1c38-f17e-4c99-aede-379c6264f7a4" ] } ], "mendeley" : { "formattedCitation" : "&lt;sup&gt;25,44&lt;/sup&gt;", "plainTextFormattedCitation" : "25,44", "previouslyFormattedCitation" : "&lt;sup&gt;25,44&lt;/sup&gt;"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25,44</w:t>
      </w:r>
      <w:r w:rsidRPr="003F585B">
        <w:rPr>
          <w:rFonts w:ascii="Arial" w:hAnsi="Arial" w:cs="Arial"/>
          <w:sz w:val="24"/>
          <w:szCs w:val="24"/>
        </w:rPr>
        <w:fldChar w:fldCharType="end"/>
      </w:r>
      <w:r w:rsidRPr="003F585B">
        <w:rPr>
          <w:rFonts w:ascii="Arial" w:hAnsi="Arial" w:cs="Arial"/>
          <w:sz w:val="24"/>
          <w:szCs w:val="24"/>
        </w:rPr>
        <w:t>, infecções do ouvido, nariz e garganta</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"10.1186/1750-1172-7-22", "ISBN" : "1750-1172 (Electronic)\\r1750-1172 (Linking)", "ISSN" : "1750-1172", "PMID" : "22524701", "abstract" : "BACKGROUND: Mucopolysaccharidosis type I (MPS I) is traditionally divided into three phenotypes: the severe Hurler (MPS I-H) phenotype, the intermediate Hurler-Scheie (MPS I-H/S) phenotype and the attenuated Scheie (MPS I-S) phenotype. However, there are no clear criteria for delineating the different phenotypes. Because decisions about optimal treatment (enzyme replacement therapy or hematopoietic stem cell transplantation) need to be made quickly and depend on the presumed phenotype, an assessment of phenotypic severity should be performed soon after diagnosis. Therefore, a numerical severity scale for classifying different MPS I phenotypes at diagnosis based on clinical signs and symptoms was developed.\\n\\nMETHODS: A consensus procedure based on a combined modified Delphi method and a nominal group technique was undertaken. It consisted of two written rounds and a face-to-face meeting. Sixteen MPS I experts participated in the process. The main goal was to identify the most important indicators of phenotypic severity and include these in a numerical severity scale. The correlation between the median subjective expert MPS I rating and the scores derived from this severity scale was used as an indicator of validity.\\n\\nRESULTS: Full consensus was reached on six key clinical items for assessing severity: age of onset of signs and symptoms, developmental delay, joint stiffness/arthropathy/contractures, kyphosis, cardiomyopathy and large head/frontal bossing. Due to the remarkably large variability in the expert MPS I assessments, however, a reliable numerical scale could not be constructed. Because of this variability, such a scale would always result in patients whose calculated severity score differed unacceptably from the median expert severity score, which was considered to be the 'gold standard'.\\n\\nCONCLUSIONS: Although consensus was reached on the six key items for assessing phenotypic severity in MPS I, expert opinion on phenotypic severity at diagnosis proved to be highly variable. This subjectivity emphasizes the need for validated biomarkers and improved genotype-phenotype correlations that can be incorporated into phenotypic severity assessments at diagnosis.", "author" : [ { "dropping-particle" : "", "family" : "Ru", "given" : "Minke H", "non-dropping-particle" : "", "parse-names" : false, "suffix" : "" }, { "dropping-particle" : "", "family" : "Teunissen", "given" : "Quirine GA", "non-dropping-particle" : "", "parse-names" : false, "suffix" : "" }, { "dropping-particle" : "", "family" : "Lee", "given" : "Johanna H", "non-dropping-particle" : "van der", "parse-names" : false, "suffix" : "" }, { "dropping-particle" : "", "family" : "Beck", "given" : "Michael", "non-dropping-particle" : "", "parse-names" : false, "suffix" : "" }, { "dropping-particle" : "", "family" : "Bodamer", "given" : "Olaf A", "non-dropping-particle" : "", "parse-names" : false, "suffix" : "" }, { "dropping-particle" : "", "family" : "Clarke", "given" : "Lorne A", "non-dropping-particle" : "", "parse-names" : false, "suffix" : "" }, { "dropping-particle" : "", "family" : "Hollak", "given" : "Carla E", "non-dropping-particle" : "", "parse-names" : false, "suffix" : "" }, { "dropping-particle" : "", "family" : "Lin", "given" : "Shuan-Pei", "non-dropping-particle" : "", "parse-names" : false, "suffix" : "" }, { "dropping-particle" : "", "family" : "Munoz Rojas", "given" : "Maria-Veronica", "non-dropping-particle" : "", "parse-names" : false, "suffix" : "" }, { "dropping-particle" : "", "family" : "Pastores", "given" : "Gregory M", "non-dropping-particle" : "", "parse-names" : false, "suffix" : "" }, { "dropping-particle" : "", "family" : "Raiman", "given" : "Julian A", "non-dropping-particle" : "", "parse-names" : false, "suffix" : "" }, { "dropping-particle" : "", "family" : "Scarpa", "given" : "Maurizio", "non-dropping-particle" : "", "parse-names" : false, "suffix" : "" }, { "dropping-particle" : "", "family" : "Treacy", "given" : "Eileen P", "non-dropping-particle" : "", "parse-names" : false, "suffix" : "" }, { "dropping-particle" : "", "family" : "Tylki-Szymanska", "given" : "Anna", "non-dropping-particle" : "", "parse-names" : false, "suffix" : "" }, { "dropping-particle" : "", "family" : "Wraith", "given" : "Edmond", "non-dropping-particle" : "", "parse-names" : false, "suffix" : "" }, { "dropping-particle" : "", "family" : "Zeman", "given" : "Jiri", "non-dropping-particle" : "", "parse-names" : false, "suffix" : "" }, { "dropping-particle" : "", "family" : "Wijburg", "given" : "Frits A", "non-dropping-particle" : "", "parse-names" : false, "suffix" : "" } ], "container-title" : "Orphanet Journal of Rare Diseases", "id" : "ITEM-1", "issue" : "1", "issued" : { "date-parts" : [ [ "2012" ] ] }, "page" : "22", "publisher" : "BioMed Central Ltd", "title" : "Capturing phenotypic heterogeneity in MPS I: results of an international consensus procedure", "type" : "article-journal", "volume" : "7" }, "uris" : [ "http://www.mendeley.com/documents/?uuid=b64ca157-1fe5-4b55-8b95-4b9d43a636a5" ] } ], "mendeley" : { "formattedCitation" : "&lt;sup&gt;44&lt;/sup&gt;", "plainTextFormattedCitation" : "44", "previouslyFormattedCitation" : "&lt;sup&gt;44&lt;/sup&gt;"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44</w:t>
      </w:r>
      <w:r w:rsidRPr="003F585B">
        <w:rPr>
          <w:rFonts w:ascii="Arial" w:hAnsi="Arial" w:cs="Arial"/>
          <w:sz w:val="24"/>
          <w:szCs w:val="24"/>
        </w:rPr>
        <w:fldChar w:fldCharType="end"/>
      </w:r>
      <w:r w:rsidRPr="003F585B">
        <w:rPr>
          <w:rFonts w:ascii="Arial" w:hAnsi="Arial" w:cs="Arial"/>
          <w:sz w:val="24"/>
          <w:szCs w:val="24"/>
        </w:rPr>
        <w:t>, hérnia inguinal e/ou</w:t>
      </w:r>
      <w:r>
        <w:rPr>
          <w:rFonts w:ascii="Arial" w:hAnsi="Arial" w:cs="Arial"/>
          <w:sz w:val="24"/>
          <w:szCs w:val="24"/>
        </w:rPr>
        <w:t xml:space="preserve"> abdominal</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"10.1093/rheumatology/ker390", "ISBN" : "1462-0332 (Electronic)\\n1462-0324 (Linking)", "ISSN" : "14620324", "PMID" : "22210670", "abstract" : "The mucopolysaccharidoses (MPSs) often present a diagnostic challenge, particularly for patients who have more slowly progressive disease phenotypes, as early disease manifestations can be subtle or non-specific. However, certain types of bone and joint involvement should always prompt consideration of an MPS diagnosis, such as early joint involvement without classic inflammatory features or erosive bone lesions, claw hand, spinal deformities or dysostosis multiplex. All such patients should be referred to a geneticist or metabolic specialist for diagnostic evaluation. The earlier the diagnosis is made, the better the potential outcome of treatment. Each type of MPS is associated both with deficient activity of a specific lysosomal enzyme that degrades specific glycosaminoglycans (GAGs) and with abnormalities in urinary GAG excretion. MPS patients usually excrete excess GAG in urine and/or have different relative proportions of types of GAG in urine as compared with age-matched normal subjects. Although urinary GAG analyses (both quantitative and qualitative) can suggest the most likely type of MPS, diagnosis must be confirmed by enzyme assay. Multiple assays may be necessary to identify the disease subtype. Correct identification of the MPS type is essential to guide treatment and management decisions.", "author" : [ { "dropping-particle" : "", "family" : "Lehman", "given" : "Thomas J A", "non-dropping-particle" : "", "parse-names" : false, "suffix" : "" }, { "dropping-particle" : "", "family" : "Miller", "given" : "Nicole", "non-dropping-particle" : "", "parse-names" : false, "suffix" : "" }, { "dropping-particle" : "", "family" : "Norquist", "given" : "Becky", "non-dropping-particle" : "", "parse-names" : false, "suffix" : "" }, { "dropping-particle" : "", "family" : "Underhill", "given" : "Lisa", "non-dropping-particle" : "", "parse-names" : false, "suffix" : "" }, { "dropping-particle" : "", "family" : "Keutzer", "given" : "Joan", "non-dropping-particle" : "", "parse-names" : false, "suffix" : "" } ], "container-title" : "Rheumatology", "id" : "ITEM-1", "issue" : "SUPPL. 5", "issued" : { "date-parts" : [ [ "2011" ] ] }, "page" : "41-48", "title" : "Diagnosis of the mucopolysaccharidoses", "type" : "article-journal", "volume" : "50" }, "uris" : [ "http://www.mendeley.com/documents/?uuid=2d68b9fd-2729-4930-b57e-e756814a94b9" ] }, { "id" : "ITEM-2", "itemData" : { "DOI" : "10.1590/S0104-42302010000300009", "ISSN" : "0104-4230", "abstract" : "As mucopolissacaridoses (MPS) s\u00e3o doen\u00e7as gen\u00e9ticas raras causadas pela defici\u00eancia de enzimas lisoss\u00f4micas espec\u00edficas que afetam o catabolismo de glicosaminoglicanos (GAG). O ac\u00famulo de GAG em v\u00e1rios \u00f3rg\u00e3os e tecidos nos pacientes afetados pelas MPS resulta em uma s\u00e9rie de sinais e sintomas, integrantes de um quadro cl\u00ednico multissist\u00eamico que compromete ossos e articula\u00e7\u00f5es, vias respirat\u00f3rias, sistema cardiovascular e muitos outros \u00f3rg\u00e3os e tecidos, incluindo, em alguns casos, as fun\u00e7\u00f5es cognitivas. J\u00e1 foram identificados 11 defeitos enzim\u00e1ticos que causam sete tipos diferentes de MPS. Antes do advento de terapias dirigidas para a restaura\u00e7\u00e3o da atividade da enzima deficiente, o tratamento das MPS tinha como principal foco a preven\u00e7\u00e3o e o cuidado das complica\u00e7\u00f5es, aspecto ainda bastante importante no manejo desses pacientes. Na d\u00e9cada de 80 foi proposto o tratamento das MPS com transplante de medula \u00f3ssea/transplante de c\u00e9lulas tronco hematopoi\u00e9ticas (TMO/TCTH) e na d\u00e9cada de 90 come\u00e7ou o desenvolvimento da Terapia de Reposi\u00e7\u00e3o Enzim\u00e1tica (TRE), que se tornou uma realidade aprovada para uso cl\u00ednico nas MPS I, II e VI na primeira d\u00e9cada do s\u00e9culo 21. Os autores deste trabalho t\u00eam a convic\u00e7\u00e3o de que um melhor futuro para os pacientes afetados pelas MPS depende da identifica\u00e7\u00e3o, compreens\u00e3o e manejo adequado das manifesta\u00e7\u00f5es multissist\u00eamicas dessas doen\u00e7as, incluindo medidas de suporte (que devem fazer parte da assist\u00eancia multidisciplinar regular destes pacientes) e terapias espec\u00edficas. Embora a inibi\u00e7\u00e3o da s\u00edntese de GAG e o resgate da atividade enzim\u00e1tica com mol\u00e9culas pequenas tamb\u00e9m possam vir a ter um papel no manejo das MPS, o grande avan\u00e7o dispon\u00edvel no momento \u00e9 a TRE intravenosa. A TRE permitiu modificar radicalmente o panorama do tratamento das mucopolissacaridoses I, II e VI na \u00faltima d\u00e9cada, sendo que ainda pode estender seus benef\u00edcios em breve para a MPS IV A (cuja TRE j\u00e1 est\u00e1 em desenvolvimento cl\u00ednico), com perspectivas para o tratamento da MPS III A e do d\u00e9ficit cognitivo na MPS II atrav\u00e9s de administra\u00e7\u00e3o da enzima diretamente no sistema nervoso central (SNC). Um grande n\u00famero de centros brasileiros, incluindo servi\u00e7os de todas as regi\u00f5es do pa\u00eds, j\u00e1 t\u00eam experi\u00eancia com TRE para MPS I, II e VI. Essa experi\u00eancia foi adquirida n\u00e3o s\u00f3 com o tratamento de pacientes como tamb\u00e9m com a participa\u00e7\u00e3o de alguns grupos em ensaios cl\u00ednicos envolvendo TRE para essas condi\u00e7\u00f5es. Somados os tr\u00eas tipos de MPS, mais de 250 pacientes j\u00e1 foram tratado\u2026", "author" : [ { "dropping-particle" : "", "family" : "Giugliani R, Federhen A, Rojas MV, Vieira TA, Artigal\u00e1s O, Pinto LL", "given" : "et al.", "non-dropping-particle" : "", "parse-names" : false, "suffix" : "" } ], "container-title" : "Rev Assoc Med Bras", "id" : "ITEM-2", "issue" : "3", "issued" : { "date-parts" : [ [ "2010" ] ] }, "page" : "271-277", "title" : "Terapia de reposi\u00e7\u00e3o enzim\u00e1tica para as mucopolissacaridoses I , II e VI: recomenda\u00e7\u00f5es de um grupo de especialistas brasileiros", "type" : "article-journal", "volume" : "56" }, "uris" : [ "http://www.mendeley.com/documents/?uuid=20e9b74c-f667-4827-868e-144e7b460615" ] }, { "id" : "ITEM-3", "itemData" : { "DOI" : "10.1590/S1415-47572010005000093", "ISBN" : "1678-4685 (Electronic)\\r1415-4757 (Linking)", "ISSN" : "14154757", "PMID" : "21637564", "abstract" : "Mucopolysaccharidoses (MPS) are rare genetic diseases caused by the deficiency of one of the lysosomal enzymes involved in the glycosaminoglycan (GAG) breakdown pathway. This metabolic block leads to the accumulation of GAG in various organs and tissues of the affected patients, resulting in a multisystemic clinical picture, sometimes including cognitive impairment. Until the beginning of the XXI century, treatment was mainly supportive. Bone marrow transplantation improved the natural course of the disease in some types of MPS, but the morbidity and mortality restricted its use to selected cases. The identification of the genes involved, the new molecular biology tools and the availability of animal models made it possible to develop specific enzyme replacement therapies (ERT) for these diseases. At present, a great number of Brazilian medical centers from all regions of the country have experience with ERT for MPS I, II, and VI, acquired not only through patient treatment but also in clinical trials. Taking the three types of MPS together, over 200 patients have been treated with ERT in our country. This document summarizes the experience of the professionals involved, along with the data available in the international literature, bringing together and harmonizing the information available on the management of these severe and progressive diseases, thus disclosing new prospects for Brazilian patients affected by these conditions.", "author" : [ { "dropping-particle" : "", "family" : "Giugliani", "given" : "Roberto", "non-dropping-particle" : "", "parse-names" : false, "suffix" : "" }, { "dropping-particle" : "", "family" : "Federhen", "given" : "Andressa", "non-dropping-particle" : "", "parse-names" : false, "suffix" : "" }, { "dropping-particle" : "", "family" : "Rojas", "given" : "Maria Ver\u00f4nica Mu\u00f1oz", "non-dropping-particle" : "", "parse-names" : false, "suffix" : "" }, { "dropping-particle" : "", "family" : "Vieira", "given" : "Taiane", "non-dropping-particle" : "", "parse-names" : false, "suffix" : "" }, { "dropping-particle" : "", "family" : "Artigal\u00e1s", "given" : "Osvaldo", "non-dropping-particle" : "", "parse-names" : false, "suffix" : "" }, { "dropping-particle" : "", "family" : "Pinto", "given" : "Louise Lapagesse", "non-dropping-particle" : "", "parse-names" : false, "suffix" : "" }, { "dropping-particle" : "", "family" : "Azevedo", "given" : "Ana Cec\u00edlia", "non-dropping-particle" : "", "parse-names" : false, "suffix" : "" }, { "dropping-particle" : "", "family" : "Acosta", "given" : "Angelina", "non-dropping-particle" : "", "parse-names" : false, "suffix" : "" }, { "dropping-particle" : "", "family" : "Bonfim", "given" : "Carmen", "non-dropping-particle" : "", "parse-names" : false, "suffix" : "" }, { "dropping-particle" : "", "family" : "Louren\u00e7o", "given" : "Charles Marques", "non-dropping-particle" : "", "parse-names" : false, "suffix" : "" }, { "dropping-particle" : "", "family" : "Kim", "given" : "Chong Ae", "non-dropping-particle" : "", "parse-names" : false, "suffix" : "" }, { "dropping-particle" : "", "family" : "Horovitz", "given" : "Dafne", "non-dropping-particle" : "", "parse-names" : false, "suffix" : "" }, { "dropping-particle" : "", "family" : "Bonfim", "given" : "Denize", "non-dropping-particle" : "", "parse-names" : false, "suffix" : "" }, { "dropping-particle" : "", "family" : "Norato", "given" : "Denise", "non-dropping-particle" : "", "parse-names" : false, "suffix" : "" }, { "dropping-particle" : "", "family" : "Marinho", "given" : "Diane", "non-dropping-particle" : "", "parse-names" : false, "suffix" : "" }, { "dropping-particle" : "", "family" : "Palhares", "given" : "Durval", "non-dropping-particle" : "", "parse-names" : false, "suffix" : "" }, { "dropping-particle" : "", "family" : "Santos", "given" : "Emerson Santana", "non-dropping-particle" : "", "parse-names" : false, "suffix" : "" }, { "dropping-particle" : "", "family" : "Ribeiro", "given" : "Erlane", "non-dropping-particle" : "", "parse-names" : false, "suffix" : "" }, { "dropping-particle" : "", "family" : "Valadares", "given" : "Eug\u00eania", "non-dropping-particle" : "", "parse-names" : false, "suffix" : "" }, { "dropping-particle" : "", "family" : "Guarany", "given" : "F\u00e1bio", "non-dropping-particle" : "", "parse-names" : false, "suffix" : "" }, { "dropping-particle" : "", "family" : "Lucca", "given" : "Gisele Rosone", "non-dropping-particle" : "de", "parse-names" : false, "suffix" : "" }, { "dropping-particle" : "", "family" : "Pimentel", "given" : "Helena", "non-dropping-particle" : "", "parse-names" : false, "suffix" : "" }, { "dropping-particle" : "", "family" : "Souza", "given" : "Isabel Neves", "non-dropping-particle" : "de", "parse-names" : false, "suffix" : "" }, { "dropping-particle" : "", "family" : "Neto", "given" : "Jord\u00e3o Correa", "non-dropping-particle" : "", "parse-names" : false, "suffix" : "" }, { "dropping-particle" : "", "family" : "Fraga", "given" : "Jos\u00e9 Carlos", "non-dropping-particle" : "", "parse-names" : false, "suffix" : "" }, { "dropping-particle" : "", "family" : "Goes", "given" : "Jos\u00e9 Eduardo", "non-dropping-particle" : "", "parse-names" : false, "suffix" : "" }, { "dropping-particle" : "", "family" : "Cabral", "given" : "Jos\u00e9 Maria", "non-dropping-particle" : "", "parse-names" : false, "suffix" : "" }, { "dropping-particle" : "", "family" : "Simionato", "given" : "Jos\u00e9", "non-dropping-particle" : "", "parse-names" : false, "suffix" : "" }, { "dropping-particle" : "", "family" : "Llerena", "given" : "Juan", "non-dropping-particle" : "", "parse-names" : false, "suffix" : "" }, { "dropping-particle" : "", "family" : "Jardim", "given" : "Laura", "non-dropping-particle" : "", "parse-names" : false, "suffix" : "" }, { "dropping-particle" : "", "family" : "Giuliani", "given" : "Liane", "non-dropping-particle" : "", "parse-names" : false, "suffix" : "" }, { "dropping-particle" : "", "family" : "Silva", "given" : "Luiz Carlos Santana", "non-dropping-particle" : "da", "parse-names" : false, "suffix" : "" }, { "dropping-particle" : "", "family" : "Santos", "given" : "Mara L.", "non-dropping-particle" : "", "parse-names" : false, "suffix" : "" }, { "dropping-particle" : "", "family" : "Moreira", "given" : "Maria Angela", "non-dropping-particle" : "", "parse-names" : false, "suffix" : "" }, { "dropping-particle" : "", "family" : "Kerstenetzky", "given" : "Marcelo", "non-dropping-particle" : "", "parse-names" : false, "suffix" : "" }, { "dropping-particle" : "", "family" : "Ribeiro", "given" : "M\u00e1rcia", "non-dropping-particle" : "", "parse-names" : false, "suffix" : "" }, { "dropping-particle" : "", "family" : "Ruas", "given" : "Nicole", "non-dropping-particle" : "", "parse-names" : false, "suffix" : "" }, { "dropping-particle" : "", "family" : "Barrios", "given" : "Patricia", "non-dropping-particle" : "", "parse-names" : false, "suffix" : "" }, { "dropping-particle" : "", "family" : "Aranda", "given" : "Paulo", "non-dropping-particle" : "", "parse-names" : false, "suffix" : "" }, { "dropping-particle" : "", "family" : "Honjo", "given" : "Rachel", "non-dropping-particle" : "", "parse-names" : false, "suffix" : "" }, { "dropping-particle" : "", "family" : "Boy", "given" : "Raquel", "non-dropping-particle" : "", "parse-names" : false, "suffix" : "" }, { "dropping-particle" : "", "family" : "Costa", "given" : "Ronaldo", "non-dropping-particle" : "", "parse-names" : false, "suffix" : "" }, { "dropping-particle" : "", "family" : "Souza", "given" : "Carolina", "non-dropping-particle" : "", "parse-names" : false, "suffix" : "" }, { "dropping-particle" : "", "family" : "Alcantara", "given" : "Flavio F.", "non-dropping-particle" : "", "parse-names" : false, "suffix" : "" }, { "dropping-particle" : "", "family" : "Avilla", "given" : "Silvio Gilberto A", "non-dropping-particle" : "", "parse-names" : false, "suffix" : "" }, { "dropping-particle" : "", "family" : "Fagondes", "given" : "Simone", "non-dropping-particle" : "", "parse-names" : false, "suffix" : "" }, { "dropping-particle" : "", "family" : "Martins", "given" : "Ana Maria", "non-dropping-particle" : "", "parse-names" : false, "suffix" : "" } ], "container-title" : "Genetics and Molecular Biology", "id" : "ITEM-3", "issue" : "4", "issued" : { "date-parts" : [ [ "2010" ] ] }, "page" : "589-604", "title" : "Mucopolysaccharidosis I, II, and VI: Brief review and guidelines for treatment", "type" : "article-journal", "volume" : "33" }, "uris" : [ "http://www.mendeley.com/documents/?uuid=f17d1c38-f17e-4c99-aede-379c6264f7a4" ] } ], "mendeley" : { "formattedCitation" : "&lt;sup&gt;8,24,25&lt;/sup&gt;", "plainTextFormattedCitation" : "8,24,25", "previouslyFormattedCitation" : "&lt;sup&gt;8,24,25&lt;/sup&gt;"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8,24,25</w:t>
      </w:r>
      <w:r w:rsidRPr="003F585B">
        <w:rPr>
          <w:rFonts w:ascii="Arial" w:hAnsi="Arial" w:cs="Arial"/>
          <w:sz w:val="24"/>
          <w:szCs w:val="24"/>
        </w:rPr>
        <w:fldChar w:fldCharType="end"/>
      </w:r>
      <w:r w:rsidRPr="003F585B">
        <w:rPr>
          <w:rFonts w:ascii="Arial" w:hAnsi="Arial" w:cs="Arial"/>
          <w:sz w:val="24"/>
          <w:szCs w:val="24"/>
        </w:rPr>
        <w:t>, hepatomegalia</w:t>
      </w:r>
      <w:r w:rsidR="00BC37C6">
        <w:rPr>
          <w:rFonts w:ascii="Arial" w:hAnsi="Arial" w:cs="Arial"/>
          <w:sz w:val="24"/>
          <w:szCs w:val="24"/>
        </w:rPr>
        <w:t xml:space="preserve"> (associada ou não à esplenomegalia, com consequente protusão abdominal)</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"10.1093/rheumatology/ker390", "ISBN" : "1462-0332 (Electronic)\\n1462-0324 (Linking)", "ISSN" : "14620324", "PMID" : "22210670", "abstract" : "The mucopolysaccharidoses (MPSs) often present a diagnostic challenge, particularly for patients who have more slowly progressive disease phenotypes, as early disease manifestations can be subtle or non-specific. However, certain types of bone and joint involvement should always prompt consideration of an MPS diagnosis, such as early joint involvement without classic inflammatory features or erosive bone lesions, claw hand, spinal deformities or dysostosis multiplex. All such patients should be referred to a geneticist or metabolic specialist for diagnostic evaluation. The earlier the diagnosis is made, the better the potential outcome of treatment. Each type of MPS is associated both with deficient activity of a specific lysosomal enzyme that degrades specific glycosaminoglycans (GAGs) and with abnormalities in urinary GAG excretion. MPS patients usually excrete excess GAG in urine and/or have different relative proportions of types of GAG in urine as compared with age-matched normal subjects. Although urinary GAG analyses (both quantitative and qualitative) can suggest the most likely type of MPS, diagnosis must be confirmed by enzyme assay. Multiple assays may be necessary to identify the disease subtype. Correct identification of the MPS type is essential to guide treatment and management decisions.", "author" : [ { "dropping-particle" : "", "family" : "Lehman", "given" : "Thomas J A", "non-dropping-particle" : "", "parse-names" : false, "suffix" : "" }, { "dropping-particle" : "", "family" : "Miller", "given" : "Nicole", "non-dropping-particle" : "", "parse-names" : false, "suffix" : "" }, { "dropping-particle" : "", "family" : "Norquist", "given" : "Becky", "non-dropping-particle" : "", "parse-names" : false, "suffix" : "" }, { "dropping-particle" : "", "family" : "Underhill", "given" : "Lisa", "non-dropping-particle" : "", "parse-names" : false, "suffix" : "" }, { "dropping-particle" : "", "family" : "Keutzer", "given" : "Joan", "non-dropping-particle" : "", "parse-names" : false, "suffix" : "" } ], "container-title" : "Rheumatology", "id" : "ITEM-1", "issue" : "SUPPL. 5", "issued" : { "date-parts" : [ [ "2011" ] ] }, "page" : "41-48", "title" : "Diagnosis of the mucopolysaccharidoses", "type" : "article-journal", "volume" : "50" }, "uris" : [ "http://www.mendeley.com/documents/?uuid=2d68b9fd-2729-4930-b57e-e756814a94b9" ] }, { "id" : "ITEM-2", "itemData" : { "DOI" : "10.1590/S1415-47572010005000093", "ISBN" : "1678-4685 (Electronic)\\r1415-4757 (Linking)", "ISSN" : "14154757", "PMID" : "21637564", "abstract" : "Mucopolysaccharidoses (MPS) are rare genetic diseases caused by the deficiency of one of the lysosomal enzymes involved in the glycosaminoglycan (GAG) breakdown pathway. This metabolic block leads to the accumulation of GAG in various organs and tissues of the affected patients, resulting in a multisystemic clinical picture, sometimes including cognitive impairment. Until the beginning of the XXI century, treatment was mainly supportive. Bone marrow transplantation improved the natural course of the disease in some types of MPS, but the morbidity and mortality restricted its use to selected cases. The identification of the genes involved, the new molecular biology tools and the availability of animal models made it possible to develop specific enzyme replacement therapies (ERT) for these diseases. At present, a great number of Brazilian medical centers from all regions of the country have experience with ERT for MPS I, II, and VI, acquired not only through patient treatment but also in clinical trials. Taking the three types of MPS together, over 200 patients have been treated with ERT in our country. This document summarizes the experience of the professionals involved, along with the data available in the international literature, bringing together and harmonizing the information available on the management of these severe and progressive diseases, thus disclosing new prospects for Brazilian patients affected by these conditions.", "author" : [ { "dropping-particle" : "", "family" : "Giugliani", "given" : "Roberto", "non-dropping-particle" : "", "parse-names" : false, "suffix" : "" }, { "dropping-particle" : "", "family" : "Federhen", "given" : "Andressa", "non-dropping-particle" : "", "parse-names" : false, "suffix" : "" }, { "dropping-particle" : "", "family" : "Rojas", "given" : "Maria Ver\u00f4nica Mu\u00f1oz", "non-dropping-particle" : "", "parse-names" : false, "suffix" : "" }, { "dropping-particle" : "", "family" : "Vieira", "given" : "Taiane", "non-dropping-particle" : "", "parse-names" : false, "suffix" : "" }, { "dropping-particle" : "", "family" : "Artigal\u00e1s", "given" : "Osvaldo", "non-dropping-particle" : "", "parse-names" : false, "suffix" : "" }, { "dropping-particle" : "", "family" : "Pinto", "given" : "Louise Lapagesse", "non-dropping-particle" : "", "parse-names" : false, "suffix" : "" }, { "dropping-particle" : "", "family" : "Azevedo", "given" : "Ana Cec\u00edlia", "non-dropping-particle" : "", "parse-names" : false, "suffix" : "" }, { "dropping-particle" : "", "family" : "Acosta", "given" : "Angelina", "non-dropping-particle" : "", "parse-names" : false, "suffix" : "" }, { "dropping-particle" : "", "family" : "Bonfim", "given" : "Carmen", "non-dropping-particle" : "", "parse-names" : false, "suffix" : "" }, { "dropping-particle" : "", "family" : "Louren\u00e7o", "given" : "Charles Marques", "non-dropping-particle" : "", "parse-names" : false, "suffix" : "" }, { "dropping-particle" : "", "family" : "Kim", "given" : "Chong Ae", "non-dropping-particle" : "", "parse-names" : false, "suffix" : "" }, { "dropping-particle" : "", "family" : "Horovitz", "given" : "Dafne", "non-dropping-particle" : "", "parse-names" : false, "suffix" : "" }, { "dropping-particle" : "", "family" : "Bonfim", "given" : "Denize", "non-dropping-particle" : "", "parse-names" : false, "suffix" : "" }, { "dropping-particle" : "", "family" : "Norato", "given" : "Denise", "non-dropping-particle" : "", "parse-names" : false, "suffix" : "" }, { "dropping-particle" : "", "family" : "Marinho", "given" : "Diane", "non-dropping-particle" : "", "parse-names" : false, "suffix" : "" }, { "dropping-particle" : "", "family" : "Palhares", "given" : "Durval", "non-dropping-particle" : "", "parse-names" : false, "suffix" : "" }, { "dropping-particle" : "", "family" : "Santos", "given" : "Emerson Santana", "non-dropping-particle" : "", "parse-names" : false, "suffix" : "" }, { "dropping-particle" : "", "family" : "Ribeiro", "given" : "Erlane", "non-dropping-particle" : "", "parse-names" : false, "suffix" : "" }, { "dropping-particle" : "", "family" : "Valadares", "given" : "Eug\u00eania", "non-dropping-particle" : "", "parse-names" : false, "suffix" : "" }, { "dropping-particle" : "", "family" : "Guarany", "given" : "F\u00e1bio", "non-dropping-particle" : "", "parse-names" : false, "suffix" : "" }, { "dropping-particle" : "", "family" : "Lucca", "given" : "Gisele Rosone", "non-dropping-particle" : "de", "parse-names" : false, "suffix" : "" }, { "dropping-particle" : "", "family" : "Pimentel", "given" : "Helena", "non-dropping-particle" : "", "parse-names" : false, "suffix" : "" }, { "dropping-particle" : "", "family" : "Souza", "given" : "Isabel Neves", "non-dropping-particle" : "de", "parse-names" : false, "suffix" : "" }, { "dropping-particle" : "", "family" : "Neto", "given" : "Jord\u00e3o Correa", "non-dropping-particle" : "", "parse-names" : false, "suffix" : "" }, { "dropping-particle" : "", "family" : "Fraga", "given" : "Jos\u00e9 Carlos", "non-dropping-particle" : "", "parse-names" : false, "suffix" : "" }, { "dropping-particle" : "", "family" : "Goes", "given" : "Jos\u00e9 Eduardo", "non-dropping-particle" : "", "parse-names" : false, "suffix" : "" }, { "dropping-particle" : "", "family" : "Cabral", "given" : "Jos\u00e9 Maria", "non-dropping-particle" : "", "parse-names" : false, "suffix" : "" }, { "dropping-particle" : "", "family" : "Simionato", "given" : "Jos\u00e9", "non-dropping-particle" : "", "parse-names" : false, "suffix" : "" }, { "dropping-particle" : "", "family" : "Llerena", "given" : "Juan", "non-dropping-particle" : "", "parse-names" : false, "suffix" : "" }, { "dropping-particle" : "", "family" : "Jardim", "given" : "Laura", "non-dropping-particle" : "", "parse-names" : false, "suffix" : "" }, { "dropping-particle" : "", "family" : "Giuliani", "given" : "Liane", "non-dropping-particle" : "", "parse-names" : false, "suffix" : "" }, { "dropping-particle" : "", "family" : "Silva", "given" : "Luiz Carlos Santana", "non-dropping-particle" : "da", "parse-names" : false, "suffix" : "" }, { "dropping-particle" : "", "family" : "Santos", "given" : "Mara L.", "non-dropping-particle" : "", "parse-names" : false, "suffix" : "" }, { "dropping-particle" : "", "family" : "Moreira", "given" : "Maria Angela", "non-dropping-particle" : "", "parse-names" : false, "suffix" : "" }, { "dropping-particle" : "", "family" : "Kerstenetzky", "given" : "Marcelo", "non-dropping-particle" : "", "parse-names" : false, "suffix" : "" }, { "dropping-particle" : "", "family" : "Ribeiro", "given" : "M\u00e1rcia", "non-dropping-particle" : "", "parse-names" : false, "suffix" : "" }, { "dropping-particle" : "", "family" : "Ruas", "given" : "Nicole", "non-dropping-particle" : "", "parse-names" : false, "suffix" : "" }, { "dropping-particle" : "", "family" : "Barrios", "given" : "Patricia", "non-dropping-particle" : "", "parse-names" : false, "suffix" : "" }, { "dropping-particle" : "", "family" : "Aranda", "given" : "Paulo", "non-dropping-particle" : "", "parse-names" : false, "suffix" : "" }, { "dropping-particle" : "", "family" : "Honjo", "given" : "Rachel", "non-dropping-particle" : "", "parse-names" : false, "suffix" : "" }, { "dropping-particle" : "", "family" : "Boy", "given" : "Raquel", "non-dropping-particle" : "", "parse-names" : false, "suffix" : "" }, { "dropping-particle" : "", "family" : "Costa", "given" : "Ronaldo", "non-dropping-particle" : "", "parse-names" : false, "suffix" : "" }, { "dropping-particle" : "", "family" : "Souza", "given" : "Carolina", "non-dropping-particle" : "", "parse-names" : false, "suffix" : "" }, { "dropping-particle" : "", "family" : "Alcantara", "given" : "Flavio F.", "non-dropping-particle" : "", "parse-names" : false, "suffix" : "" }, { "dropping-particle" : "", "family" : "Avilla", "given" : "Silvio Gilberto A", "non-dropping-particle" : "", "parse-names" : false, "suffix" : "" }, { "dropping-particle" : "", "family" : "Fagondes", "given" : "Simone", "non-dropping-particle" : "", "parse-names" : false, "suffix" : "" }, { "dropping-particle" : "", "family" : "Martins", "given" : "Ana Maria", "non-dropping-particle" : "", "parse-names" : false, "suffix" : "" } ], "container-title" : "Genetics and Molecular Biology", "id" : "ITEM-2", "issue" : "4", "issued" : { "date-parts" : [ [ "2010" ] ] }, "page" : "589-604", "title" : "Mucopolysaccharidosis I, II, and VI: Brief review and guidelines for treatment", "type" : "article-journal", "volume" : "33" }, "uris" : [ "http://www.mendeley.com/documents/?uuid=f17d1c38-f17e-4c99-aede-379c6264f7a4" ] } ], "mendeley" : { "formattedCitation" : "&lt;sup&gt;8,25&lt;/sup&gt;", "plainTextFormattedCitation" : "8,25", "previouslyFormattedCitation" : "&lt;sup&gt;8,25&lt;/sup&gt;"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8,25</w:t>
      </w:r>
      <w:r w:rsidRPr="003F585B">
        <w:rPr>
          <w:rFonts w:ascii="Arial" w:hAnsi="Arial" w:cs="Arial"/>
          <w:sz w:val="24"/>
          <w:szCs w:val="24"/>
        </w:rPr>
        <w:fldChar w:fldCharType="end"/>
      </w:r>
      <w:r w:rsidRPr="003F585B">
        <w:rPr>
          <w:rFonts w:ascii="Arial" w:hAnsi="Arial" w:cs="Arial"/>
          <w:sz w:val="24"/>
          <w:szCs w:val="24"/>
        </w:rPr>
        <w:t>, são outros achados clínicos presentes nas MPS.</w:t>
      </w:r>
    </w:p>
    <w:p w:rsidR="00A6336B" w:rsidRPr="003F585B" w:rsidRDefault="00A6336B" w:rsidP="00491682">
      <w:pPr>
        <w:spacing w:after="0" w:line="360" w:lineRule="auto"/>
        <w:jc w:val="both"/>
        <w:rPr>
          <w:rFonts w:ascii="Arial" w:hAnsi="Arial" w:cs="Arial"/>
          <w:sz w:val="24"/>
          <w:szCs w:val="24"/>
        </w:rPr>
      </w:pPr>
    </w:p>
    <w:p w:rsidR="00EB34BF" w:rsidRPr="003F585B" w:rsidRDefault="00EB34BF" w:rsidP="00491682">
      <w:pPr>
        <w:tabs>
          <w:tab w:val="left" w:pos="2410"/>
        </w:tabs>
        <w:spacing w:after="0" w:line="360" w:lineRule="auto"/>
        <w:jc w:val="both"/>
        <w:rPr>
          <w:rFonts w:ascii="Arial" w:hAnsi="Arial" w:cs="Arial"/>
          <w:sz w:val="24"/>
          <w:szCs w:val="24"/>
        </w:rPr>
      </w:pPr>
      <w:r w:rsidRPr="003F585B">
        <w:rPr>
          <w:rFonts w:ascii="Arial" w:hAnsi="Arial" w:cs="Arial"/>
          <w:sz w:val="24"/>
          <w:szCs w:val="24"/>
        </w:rPr>
        <w:t xml:space="preserve">Além das manifestações somáticas, que conferem aos </w:t>
      </w:r>
      <w:r w:rsidR="00C54D9F">
        <w:rPr>
          <w:rFonts w:ascii="Arial" w:hAnsi="Arial" w:cs="Arial"/>
          <w:sz w:val="24"/>
          <w:szCs w:val="24"/>
        </w:rPr>
        <w:t>paciente</w:t>
      </w:r>
      <w:r w:rsidRPr="003F585B">
        <w:rPr>
          <w:rFonts w:ascii="Arial" w:hAnsi="Arial" w:cs="Arial"/>
          <w:sz w:val="24"/>
          <w:szCs w:val="24"/>
        </w:rPr>
        <w:t xml:space="preserve">s com MPS um perfil marcado por limitação articular, deformidades ósseas e outras complicações sistêmicas, esses indivíduos podem desenvolver alterações neurológicas, caracterizadas por atraso no desenvolvimento </w:t>
      </w:r>
      <w:r w:rsidR="004D438D">
        <w:rPr>
          <w:rFonts w:ascii="Arial" w:hAnsi="Arial" w:cs="Arial"/>
          <w:sz w:val="24"/>
          <w:szCs w:val="24"/>
        </w:rPr>
        <w:t>neuro</w:t>
      </w:r>
      <w:r w:rsidRPr="003F585B">
        <w:rPr>
          <w:rFonts w:ascii="Arial" w:hAnsi="Arial" w:cs="Arial"/>
          <w:sz w:val="24"/>
          <w:szCs w:val="24"/>
        </w:rPr>
        <w:t>mo</w:t>
      </w:r>
      <w:r w:rsidR="001949B2">
        <w:rPr>
          <w:rFonts w:ascii="Arial" w:hAnsi="Arial" w:cs="Arial"/>
          <w:sz w:val="24"/>
          <w:szCs w:val="24"/>
        </w:rPr>
        <w:t>tor e comprometimento cognitivo. E</w:t>
      </w:r>
      <w:r w:rsidRPr="003F585B">
        <w:rPr>
          <w:rFonts w:ascii="Arial" w:hAnsi="Arial" w:cs="Arial"/>
          <w:sz w:val="24"/>
          <w:szCs w:val="24"/>
        </w:rPr>
        <w:t>m alguns casos</w:t>
      </w:r>
      <w:r w:rsidR="001949B2">
        <w:rPr>
          <w:rFonts w:ascii="Arial" w:hAnsi="Arial" w:cs="Arial"/>
          <w:sz w:val="24"/>
          <w:szCs w:val="24"/>
        </w:rPr>
        <w:t>, essas alterações ocorrem</w:t>
      </w:r>
      <w:r w:rsidRPr="003F585B">
        <w:rPr>
          <w:rFonts w:ascii="Arial" w:hAnsi="Arial" w:cs="Arial"/>
          <w:sz w:val="24"/>
          <w:szCs w:val="24"/>
        </w:rPr>
        <w:t xml:space="preserve"> de forma progressiva</w:t>
      </w:r>
      <w:r w:rsidR="0042070D">
        <w:rPr>
          <w:rFonts w:ascii="Arial" w:hAnsi="Arial" w:cs="Arial"/>
          <w:sz w:val="24"/>
          <w:szCs w:val="24"/>
        </w:rPr>
        <w:t>, repercutindo sobre a independência funcional dos mesmos.</w:t>
      </w:r>
      <w:r w:rsidR="00F712B7">
        <w:rPr>
          <w:rFonts w:ascii="Arial" w:hAnsi="Arial" w:cs="Arial"/>
          <w:sz w:val="24"/>
          <w:szCs w:val="24"/>
        </w:rPr>
        <w:fldChar w:fldCharType="begin" w:fldLock="1"/>
      </w:r>
      <w:r w:rsidR="00D82F12">
        <w:rPr>
          <w:rFonts w:ascii="Arial" w:hAnsi="Arial" w:cs="Arial"/>
          <w:sz w:val="24"/>
          <w:szCs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"id" : "ITEM-2", "itemData" : { "DOI" : "10.1590/S1413-78522013000200009", "ISSN" : "1413-7852", "PMID" : "24453654", "abstract" : "Objective: The aim of this study is to evaluate energy expenditure in gait by mucopolysaccharidosis affected patients by means of a simple and adequate to the clinical environment methodology. Methods: A cross-sectional study was carried out comparing energy expenditure during gait in 19 patients suffering from mucopolysaccharidosis (MPS Group) with 19 asymptomatic control individuals (Control Group). Energy expenditure was measured in calories (cal) using a Polar telemetric watch (model FT7) during a 50 meter walk. Variables such as age, weight, height, body mass index (BMI), initial hart rate, final hart rate, and walking time, were recorded. Results: MPS Group showed a mean energy expenditure during gait of 2.84 cal (\u00b11,01), versus 1.42 cal (\u00b10,51), 100% higher than the Control Group; MPS also presented increased initial hart rate (22% higher), final hart rate (13% higher) and walking time (13% higher). Conclusions: Energy expenditure during gait in MPS patients was two times higher than control individuals; the methodology used showed to be a promising alternative, also adequate to the standard clinical environment.", "author" : [ { "dropping-particle" : "", "family" : "Matos", "given" : "Marcos Almeida", "non-dropping-particle" : "", "parse-names" : false, "suffix" : "" }, { "dropping-particle" : "", "family" : "Prado", "given" : "Andre", "non-dropping-particle" : "", "parse-names" : false, "suffix" : "" }, { "dropping-particle" : "", "family" : "Schenkel", "given" : "Gustavo", "non-dropping-particle" : "", "parse-names" : false, "suffix" : "" }, { "dropping-particle" : "", "family" : "Barreto", "given" : "Rosa", "non-dropping-particle" : "", "parse-names" : false, "suffix" : "" }, { "dropping-particle" : "", "family" : "Acosta", "given" : "Angelina Xavier", "non-dropping-particle" : "", "parse-names" : false, "suffix" : "" } ], "container-title" : "Acta Ortopedica Brasileira", "id" : "ITEM-2", "issue" : "2", "issued" : { "date-parts" : [ [ "2013" ] ] }, "page" : "116-119", "title" : "Energy expenditure during gait in patients with mucopolysaccharidosis", "type" : "article-journal", "volume" : "21" }, "uris" : [ "http://www.mendeley.com/documents/?uuid=3ad0096d-3832-47e5-a785-cf0597fdb2ca" ] } ], "mendeley" : { "formattedCitation" : "&lt;sup&gt;4,9&lt;/sup&gt;", "plainTextFormattedCitation" : "4,9", "previouslyFormattedCitation" : "&lt;sup&gt;4,9&lt;/sup&gt;" }, "properties" : { "noteIndex" : 0 }, "schema" : "https://github.com/citation-style-language/schema/raw/master/csl-citation.json" }</w:instrText>
      </w:r>
      <w:r w:rsidR="00F712B7">
        <w:rPr>
          <w:rFonts w:ascii="Arial" w:hAnsi="Arial" w:cs="Arial"/>
          <w:sz w:val="24"/>
          <w:szCs w:val="24"/>
        </w:rPr>
        <w:fldChar w:fldCharType="separate"/>
      </w:r>
      <w:r w:rsidR="00F712B7" w:rsidRPr="00F712B7">
        <w:rPr>
          <w:rFonts w:ascii="Arial" w:hAnsi="Arial" w:cs="Arial"/>
          <w:noProof/>
          <w:sz w:val="24"/>
          <w:szCs w:val="24"/>
          <w:vertAlign w:val="superscript"/>
        </w:rPr>
        <w:t>4,9</w:t>
      </w:r>
      <w:r w:rsidR="00F712B7">
        <w:rPr>
          <w:rFonts w:ascii="Arial" w:hAnsi="Arial" w:cs="Arial"/>
          <w:sz w:val="24"/>
          <w:szCs w:val="24"/>
        </w:rPr>
        <w:fldChar w:fldCharType="end"/>
      </w:r>
      <w:r w:rsidR="0042070D">
        <w:rPr>
          <w:rFonts w:ascii="Arial" w:hAnsi="Arial" w:cs="Arial"/>
          <w:sz w:val="24"/>
          <w:szCs w:val="24"/>
        </w:rPr>
        <w:t xml:space="preserve"> </w:t>
      </w:r>
      <w:r w:rsidR="0042070D" w:rsidRPr="003F585B">
        <w:rPr>
          <w:rFonts w:ascii="Arial" w:hAnsi="Arial" w:cs="Arial"/>
          <w:sz w:val="24"/>
          <w:szCs w:val="24"/>
        </w:rPr>
        <w:t xml:space="preserve"> </w:t>
      </w:r>
    </w:p>
    <w:p w:rsidR="00EB34BF" w:rsidRPr="003F585B" w:rsidRDefault="00EB34BF" w:rsidP="00EB34BF">
      <w:pPr>
        <w:tabs>
          <w:tab w:val="left" w:pos="2410"/>
        </w:tabs>
        <w:spacing w:after="0" w:line="360" w:lineRule="auto"/>
        <w:jc w:val="both"/>
        <w:rPr>
          <w:rFonts w:ascii="Arial" w:hAnsi="Arial" w:cs="Arial"/>
          <w:sz w:val="24"/>
          <w:szCs w:val="24"/>
        </w:rPr>
      </w:pPr>
    </w:p>
    <w:p w:rsidR="00EB34BF" w:rsidRPr="006418D0" w:rsidRDefault="00EB34BF" w:rsidP="004D4A6B">
      <w:pPr>
        <w:pStyle w:val="Ttulo2"/>
      </w:pPr>
      <w:bookmarkStart w:id="8" w:name="_Toc496749602"/>
      <w:r w:rsidRPr="006418D0">
        <w:t>3.</w:t>
      </w:r>
      <w:r w:rsidR="006418D0" w:rsidRPr="006418D0">
        <w:t>1.</w:t>
      </w:r>
      <w:r w:rsidRPr="006418D0">
        <w:t>3 Manifestações neurológicas</w:t>
      </w:r>
      <w:bookmarkEnd w:id="8"/>
    </w:p>
    <w:p w:rsidR="00EB34BF" w:rsidRPr="003F585B" w:rsidRDefault="00EB34BF" w:rsidP="004D4A6B">
      <w:pPr>
        <w:tabs>
          <w:tab w:val="left" w:pos="3081"/>
        </w:tabs>
        <w:spacing w:after="0" w:line="360" w:lineRule="auto"/>
        <w:jc w:val="both"/>
        <w:rPr>
          <w:rFonts w:ascii="Arial" w:hAnsi="Arial" w:cs="Arial"/>
          <w:sz w:val="24"/>
          <w:szCs w:val="24"/>
        </w:rPr>
      </w:pPr>
    </w:p>
    <w:p w:rsidR="00EB34BF" w:rsidRPr="003F585B" w:rsidRDefault="00EB34BF" w:rsidP="00491682">
      <w:pPr>
        <w:spacing w:after="0" w:line="360" w:lineRule="auto"/>
        <w:jc w:val="both"/>
        <w:rPr>
          <w:rFonts w:ascii="Arial" w:hAnsi="Arial" w:cs="Arial"/>
          <w:sz w:val="24"/>
          <w:szCs w:val="24"/>
        </w:rPr>
      </w:pPr>
      <w:r w:rsidRPr="003F585B">
        <w:rPr>
          <w:rFonts w:ascii="Arial" w:hAnsi="Arial" w:cs="Arial"/>
          <w:sz w:val="24"/>
          <w:szCs w:val="24"/>
        </w:rPr>
        <w:t>O sistema nervoso</w:t>
      </w:r>
      <w:r>
        <w:rPr>
          <w:rFonts w:ascii="Arial" w:hAnsi="Arial" w:cs="Arial"/>
          <w:sz w:val="24"/>
          <w:szCs w:val="24"/>
        </w:rPr>
        <w:t>,</w:t>
      </w:r>
      <w:r w:rsidRPr="003F585B">
        <w:rPr>
          <w:rFonts w:ascii="Arial" w:hAnsi="Arial" w:cs="Arial"/>
          <w:sz w:val="24"/>
          <w:szCs w:val="24"/>
        </w:rPr>
        <w:t xml:space="preserve"> central</w:t>
      </w:r>
      <w:r>
        <w:rPr>
          <w:rFonts w:ascii="Arial" w:hAnsi="Arial" w:cs="Arial"/>
          <w:sz w:val="24"/>
          <w:szCs w:val="24"/>
        </w:rPr>
        <w:t xml:space="preserve"> e periférico,</w:t>
      </w:r>
      <w:r w:rsidRPr="003F585B">
        <w:rPr>
          <w:rFonts w:ascii="Arial" w:hAnsi="Arial" w:cs="Arial"/>
          <w:sz w:val="24"/>
          <w:szCs w:val="24"/>
        </w:rPr>
        <w:t xml:space="preserve"> é frequentemente afetado entre os diferentes tipos de MPS</w:t>
      </w:r>
      <w:r>
        <w:rPr>
          <w:rFonts w:ascii="Arial" w:hAnsi="Arial" w:cs="Arial"/>
          <w:sz w:val="24"/>
          <w:szCs w:val="24"/>
        </w:rPr>
        <w:t>. Na forma grave de MPS tipo I e II, todas as formas de MPS tipo III e na MPS tipo VII há maior acometimento do</w:t>
      </w:r>
      <w:r w:rsidR="00BE3C54">
        <w:rPr>
          <w:rFonts w:ascii="Arial" w:hAnsi="Arial" w:cs="Arial"/>
          <w:sz w:val="24"/>
          <w:szCs w:val="24"/>
        </w:rPr>
        <w:t xml:space="preserve"> SNC</w:t>
      </w:r>
      <w:r>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"10.1186/s13023-016-0503-2", "ISSN" : "1750-1172 (Electronic)", "PMID" : "27561270", "abstract" : "The mucopolysaccharidoses (MPS) comprise a heterogeneous family of rare, genetic lysosomal storage disorders that result in severe morbidity and reduced life expectancy. Emerging treatments for several of these disorders have triggered the search for clinically relevant biomarkers and clinical markers associated with treatment efficacy in populations and individuals. However, biomedical measures do not tell the whole story when characterizing a complex chronic disorder such as MPS. Health-related quality of life (HRQoL) tools that utilize patient reported outcomes to address patient parameters such as symptoms (pain, fatigue, psychological health), functioning (activity and limitations), or quality of life, have been used to supplement traditional biomedical endpoints. Many of these HRQoL tools have demonstrated that quality of life is negatively impacted in patients with MPS. There is both the opportunity and need to formally standardize and validate HRQoL tools for the different MPS disorders.", "author" : [ { "dropping-particle" : "", "family" : "Hendriksz", "given" : "Christian J", "non-dropping-particle" : "", "parse-names" : false, "suffix" : "" }, { "dropping-particle" : "", "family" : "Berger", "given" : "Kenneth I", "non-dropping-particle" : "", "parse-names" : false, "suffix" : "" }, { "dropping-particle" : "", "family" : "Lampe", "given" : "Christina", "non-dropping-particle" : "", "parse-names" : false, "suffix" : "" }, { "dropping-particle" : "", "family" : "Kircher", "given" : "Susanne G", "non-dropping-particle" : "", "parse-names" : false, "suffix" : "" }, { "dropping-particle" : "", "family" : "Orchard", "given" : "Paul J", "non-dropping-particle" : "", "parse-names" : false, "suffix" : "" }, { "dropping-particle" : "", "family" : "Southall", "given" : "Rebecca", "non-dropping-particle" : "", "parse-names" : false, "suffix" : "" }, { "dropping-particle" : "", "family" : "Long", "given" : "Sarah", "non-dropping-particle" : "", "parse-names" : false, "suffix" : "" }, { "dropping-particle" : "", "family" : "Sande", "given" : "Stephen", "non-dropping-particle" : "", "parse-names" : false, "suffix" : "" }, { "dropping-particle" : "", "family" : "Gold", "given" : "Jeffrey I", "non-dropping-particle" : "", "parse-names" : false, "suffix" : "" } ], "container-title" : "Orphanet Journal of Rare Diseases", "id" : "ITEM-1", "issue" : "119", "issued" : { "date-parts" : [ [ "2016" ] ] }, "page" : "1-15", "title" : "Health-related quality of life in mucopolysaccharidosis: looking beyond biomedical issues", "type" : "article-journal", "volume" : "11" }, "uris" : [ "http://www.mendeley.com/documents/?uuid=e0a666de-3614-31b7-b842-57e2b6e5c374" ] } ], "mendeley" : { "formattedCitation" : "&lt;sup&gt;10&lt;/sup&gt;", "plainTextFormattedCitation" : "10", "previouslyFormattedCitation" : "&lt;sup&gt;10&lt;/sup&gt;" }, "properties" : { "noteIndex" : 0 }, "schema" : "https://github.com/citation-style-language/schema/raw/master/csl-citation.json" }</w:instrText>
      </w:r>
      <w:r>
        <w:rPr>
          <w:rFonts w:ascii="Arial" w:hAnsi="Arial" w:cs="Arial"/>
          <w:sz w:val="24"/>
          <w:szCs w:val="24"/>
        </w:rPr>
        <w:fldChar w:fldCharType="separate"/>
      </w:r>
      <w:r w:rsidR="001F649C" w:rsidRPr="001F649C">
        <w:rPr>
          <w:rFonts w:ascii="Arial" w:hAnsi="Arial" w:cs="Arial"/>
          <w:noProof/>
          <w:sz w:val="24"/>
          <w:szCs w:val="24"/>
          <w:vertAlign w:val="superscript"/>
        </w:rPr>
        <w:t>10</w:t>
      </w:r>
      <w:r>
        <w:rPr>
          <w:rFonts w:ascii="Arial" w:hAnsi="Arial" w:cs="Arial"/>
          <w:sz w:val="24"/>
          <w:szCs w:val="24"/>
        </w:rPr>
        <w:fldChar w:fldCharType="end"/>
      </w:r>
      <w:r>
        <w:rPr>
          <w:rFonts w:ascii="Arial" w:hAnsi="Arial" w:cs="Arial"/>
          <w:sz w:val="24"/>
          <w:szCs w:val="24"/>
        </w:rPr>
        <w:t>, sugerindo que o GAG heparan sulfato, em acúmulo nesses tipos de MPS, tem predileção por este tecido.</w:t>
      </w:r>
      <w:r w:rsidR="00BE3C54">
        <w:rPr>
          <w:rFonts w:ascii="Arial" w:hAnsi="Arial" w:cs="Arial"/>
          <w:sz w:val="24"/>
          <w:szCs w:val="24"/>
        </w:rPr>
        <w:t xml:space="preserve"> </w:t>
      </w:r>
      <w:r>
        <w:rPr>
          <w:rFonts w:ascii="Arial" w:hAnsi="Arial" w:cs="Arial"/>
          <w:sz w:val="24"/>
          <w:szCs w:val="24"/>
        </w:rPr>
        <w:t>Dentre as alterações de caráter neurológico, o</w:t>
      </w:r>
      <w:r w:rsidRPr="003F585B">
        <w:rPr>
          <w:rFonts w:ascii="Arial" w:hAnsi="Arial" w:cs="Arial"/>
          <w:sz w:val="24"/>
          <w:szCs w:val="24"/>
        </w:rPr>
        <w:t xml:space="preserve"> indivíduo pode apresentar lesões da substância branca</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"author" : [ { "dropping-particle" : "", "family" : "Reichert", "given" : "Roberta", "non-dropping-particle" : "", "parse-names" : false, "suffix" : "" }, { "dropping-particle" : "", "family" : "Campos", "given" : "Lillian Gon\u00e7alves", "non-dropping-particle" : "", "parse-names" : false, "suffix" : "" }, { "dropping-particle" : "", "family" : "Vairo", "given" : "F", "non-dropping-particle" : "", "parse-names" : false, "suffix" : "" }, { "dropping-particle" : "", "family" : "Souza", "given" : "C F M", "non-dropping-particle" : "de", "parse-names" : false, "suffix" : "" }, { "dropping-particle" : "", "family" : "Perez", "given" : "J", "non-dropping-particle" : "", "parse-names" : false, "suffix" : "" }, { "dropping-particle" : "", "family" : "Duate", "given" : "J", "non-dropping-particle" : "", "parse-names" : false, "suffix" : "" }, { "dropping-particle" : "", "family" : "Leiria", "given" : "F", "non-dropping-particle" : "", "parse-names" : false, "suffix" : "" }, { "dropping-particle" : "", "family" : "Anes", "given" : "M", "non-dropping-particle" : "", "parse-names" : false, "suffix" : "" }, { "dropping-particle" : "", "family" : "Vedolin", "given" : "L M", "non-dropping-particle" : "", "parse-names" : false, "suffix" : "" } ], "container-title" : "RadioGraphics", "id" : "ITEM-1", "issue" : "5", "issued" : { "date-parts" : [ [ "2016" ] ] }, "page" : "1448-1462", "title" : "Neuroimaging findings in patients with mucopolysaccharidosis: what you really need to know", "type" : "article-journal", "volume" : "36" }, "uris" : [ "http://www.mendeley.com/documents/?uuid=65fb965f-f89f-4097-90e0-a6b502c9580f" ] } ], "mendeley" : { "formattedCitation" : "&lt;sup&gt;51&lt;/sup&gt;", "plainTextFormattedCitation" : "51", "previouslyFormattedCitation" : "&lt;sup&gt;51&lt;/sup&gt;"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51</w:t>
      </w:r>
      <w:r w:rsidRPr="003F585B">
        <w:rPr>
          <w:rFonts w:ascii="Arial" w:hAnsi="Arial" w:cs="Arial"/>
          <w:sz w:val="24"/>
          <w:szCs w:val="24"/>
        </w:rPr>
        <w:fldChar w:fldCharType="end"/>
      </w:r>
      <w:r w:rsidRPr="003F585B">
        <w:rPr>
          <w:rFonts w:ascii="Arial" w:hAnsi="Arial" w:cs="Arial"/>
          <w:sz w:val="24"/>
          <w:szCs w:val="24"/>
        </w:rPr>
        <w:t>, hidrocefalia comunicante</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"10.3171/2012.11.PEDS11419", "ISSN" : "1933-0715", "PMID" : "23311386", "abstract" : "Mucopolysaccharidosis (MPS) Type VI, or Maroteaux-Lamy syndrome, is characterized by a deficiency of the enzyme arylsulfatase B (ASB). In patients with this disorder, craniocervical compression, carpal tunnel syndrome, and communicating hydrocephalus are common. Traditionally, hydrocephalus occurring in patients with MPS VI has been treated with shunt placements. Considering obstruction of the outlets from the fourth ventricle at the craniocervical transition, the authors decided to treat a female patient with MPS VI via endoscopic third ventriculostomy. She was 12 years old and had refractory headaches. This seems to be the first reported instance of the neuroendoscopic treatment of hydrocephalus in a patient with MPS VI. The pathophysiology is briefly discussed.", "author" : [ { "dropping-particle" : "", "family" : "Silva Neto", "given" : "Angelo Raimundo da Silva", "non-dropping-particle" : "", "parse-names" : false, "suffix" : "" }, { "dropping-particle" : "", "family" : "Holanda", "given" : "Gervina Brady Moreira", "non-dropping-particle" : "", "parse-names" : false, "suffix" : "" }, { "dropping-particle" : "", "family" : "Farias", "given" : "Maria Cl\u00e1udia Saldanha", "non-dropping-particle" : "", "parse-names" : false, "suffix" : "" }, { "dropping-particle" : "da", "family" : "Costa", "given" : "Gladstone Santos", "non-dropping-particle" : "", "parse-names" : false, "suffix" : "" }, { "dropping-particle" : "", "family" : "Pereira", "given" : "Hougelle Simpl\u00edcio Gomes", "non-dropping-particle" : "", "parse-names" : false, "suffix" : "" } ], "container-title" : "Journal of neurosurgery. Pediatrics", "id" : "ITEM-1", "issue" : "3", "issued" : { "date-parts" : [ [ "2013" ] ] }, "page" : "327-30", "title" : "Hydrocephalus in mucopolysaccharidosis type VI successfully treated with endoscopic third ventriculostomy.", "type" : "article-journal", "volume" : "11" }, "uris" : [ "http://www.mendeley.com/documents/?uuid=4021154e-26df-4c2c-9c13-259aa90eb2db" ] } ], "mendeley" : { "formattedCitation" : "&lt;sup&gt;52&lt;/sup&gt;", "plainTextFormattedCitation" : "52", "previouslyFormattedCitation" : "&lt;sup&gt;52&lt;/sup&gt;"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52</w:t>
      </w:r>
      <w:r w:rsidRPr="003F585B">
        <w:rPr>
          <w:rFonts w:ascii="Arial" w:hAnsi="Arial" w:cs="Arial"/>
          <w:sz w:val="24"/>
          <w:szCs w:val="24"/>
        </w:rPr>
        <w:fldChar w:fldCharType="end"/>
      </w:r>
      <w:r w:rsidRPr="003F585B">
        <w:rPr>
          <w:rFonts w:ascii="Arial" w:hAnsi="Arial" w:cs="Arial"/>
          <w:sz w:val="24"/>
          <w:szCs w:val="24"/>
        </w:rPr>
        <w:t>, atrofia cerebral</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"author" : [ { "dropping-particle" : "", "family" : "Reichert", "given" : "Roberta", "non-dropping-particle" : "", "parse-names" : false, "suffix" : "" }, { "dropping-particle" : "", "family" : "Campos", "given" : "Lillian Gon\u00e7alves", "non-dropping-particle" : "", "parse-names" : false, "suffix" : "" }, { "dropping-particle" : "", "family" : "Vairo", "given" : "F", "non-dropping-particle" : "", "parse-names" : false, "suffix" : "" }, { "dropping-particle" : "", "family" : "Souza", "given" : "C F M", "non-dropping-particle" : "de", "parse-names" : false, "suffix" : "" }, { "dropping-particle" : "", "family" : "Perez", "given" : "J", "non-dropping-particle" : "", "parse-names" : false, "suffix" : "" }, { "dropping-particle" : "", "family" : "Duate", "given" : "J", "non-dropping-particle" : "", "parse-names" : false, "suffix" : "" }, { "dropping-particle" : "", "family" : "Leiria", "given" : "F", "non-dropping-particle" : "", "parse-names" : false, "suffix" : "" }, { "dropping-particle" : "", "family" : "Anes", "given" : "M", "non-dropping-particle" : "", "parse-names" : false, "suffix" : "" }, { "dropping-particle" : "", "family" : "Vedolin", "given" : "L M", "non-dropping-particle" : "", "parse-names" : false, "suffix" : "" } ], "container-title" : "RadioGraphics", "id" : "ITEM-1", "issue" : "5", "issued" : { "date-parts" : [ [ "2016" ] ] }, "page" : "1448-1462", "title" : "Neuroimaging findings in patients with mucopolysaccharidosis: what you really need to know", "type" : "article-journal", "volume" : "36" }, "uris" : [ "http://www.mendeley.com/documents/?uuid=65fb965f-f89f-4097-90e0-a6b502c9580f" ] } ], "mendeley" : { "formattedCitation" : "&lt;sup&gt;51&lt;/sup&gt;", "plainTextFormattedCitation" : "51", "previouslyFormattedCitation" : "&lt;sup&gt;51&lt;/sup&gt;"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51</w:t>
      </w:r>
      <w:r w:rsidRPr="003F585B">
        <w:rPr>
          <w:rFonts w:ascii="Arial" w:hAnsi="Arial" w:cs="Arial"/>
          <w:sz w:val="24"/>
          <w:szCs w:val="24"/>
        </w:rPr>
        <w:fldChar w:fldCharType="end"/>
      </w:r>
      <w:r w:rsidRPr="003F585B">
        <w:rPr>
          <w:rFonts w:ascii="Arial" w:hAnsi="Arial" w:cs="Arial"/>
          <w:sz w:val="24"/>
          <w:szCs w:val="24"/>
        </w:rPr>
        <w:t xml:space="preserve"> e comprometimento cognitivo, </w:t>
      </w:r>
      <w:r w:rsidR="00F50317">
        <w:rPr>
          <w:rFonts w:ascii="Arial" w:hAnsi="Arial" w:cs="Arial"/>
          <w:sz w:val="24"/>
          <w:szCs w:val="24"/>
        </w:rPr>
        <w:t xml:space="preserve">este </w:t>
      </w:r>
      <w:r w:rsidRPr="003F585B">
        <w:rPr>
          <w:rFonts w:ascii="Arial" w:hAnsi="Arial" w:cs="Arial"/>
          <w:sz w:val="24"/>
          <w:szCs w:val="24"/>
        </w:rPr>
        <w:t>presente em alguns tipos de MPS</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"10.1186/1750-1172-7-22", "ISBN" : "1750-1172 (Electronic)\\r1750-1172 (Linking)", "ISSN" : "1750-1172", "PMID" : "22524701", "abstract" : "BACKGROUND: Mucopolysaccharidosis type I (MPS I) is traditionally divided into three phenotypes: the severe Hurler (MPS I-H) phenotype, the intermediate Hurler-Scheie (MPS I-H/S) phenotype and the attenuated Scheie (MPS I-S) phenotype. However, there are no clear criteria for delineating the different phenotypes. Because decisions about optimal treatment (enzyme replacement therapy or hematopoietic stem cell transplantation) need to be made quickly and depend on the presumed phenotype, an assessment of phenotypic severity should be performed soon after diagnosis. Therefore, a numerical severity scale for classifying different MPS I phenotypes at diagnosis based on clinical signs and symptoms was developed.\\n\\nMETHODS: A consensus procedure based on a combined modified Delphi method and a nominal group technique was undertaken. It consisted of two written rounds and a face-to-face meeting. Sixteen MPS I experts participated in the process. The main goal was to identify the most important indicators of phenotypic severity and include these in a numerical severity scale. The correlation between the median subjective expert MPS I rating and the scores derived from this severity scale was used as an indicator of validity.\\n\\nRESULTS: Full consensus was reached on six key clinical items for assessing severity: age of onset of signs and symptoms, developmental delay, joint stiffness/arthropathy/contractures, kyphosis, cardiomyopathy and large head/frontal bossing. Due to the remarkably large variability in the expert MPS I assessments, however, a reliable numerical scale could not be constructed. Because of this variability, such a scale would always result in patients whose calculated severity score differed unacceptably from the median expert severity score, which was considered to be the 'gold standard'.\\n\\nCONCLUSIONS: Although consensus was reached on the six key items for assessing phenotypic severity in MPS I, expert opinion on phenotypic severity at diagnosis proved to be highly variable. This subjectivity emphasizes the need for validated biomarkers and improved genotype-phenotype correlations that can be incorporated into phenotypic severity assessments at diagnosis.", "author" : [ { "dropping-particle" : "", "family" : "Ru", "given" : "Minke H", "non-dropping-particle" : "", "parse-names" : false, "suffix" : "" }, { "dropping-particle" : "", "family" : "Teunissen", "given" : "Quirine GA", "non-dropping-particle" : "", "parse-names" : false, "suffix" : "" }, { "dropping-particle" : "", "family" : "Lee", "given" : "Johanna H", "non-dropping-particle" : "van der", "parse-names" : false, "suffix" : "" }, { "dropping-particle" : "", "family" : "Beck", "given" : "Michael", "non-dropping-particle" : "", "parse-names" : false, "suffix" : "" }, { "dropping-particle" : "", "family" : "Bodamer", "given" : "Olaf A", "non-dropping-particle" : "", "parse-names" : false, "suffix" : "" }, { "dropping-particle" : "", "family" : "Clarke", "given" : "Lorne A", "non-dropping-particle" : "", "parse-names" : false, "suffix" : "" }, { "dropping-particle" : "", "family" : "Hollak", "given" : "Carla E", "non-dropping-particle" : "", "parse-names" : false, "suffix" : "" }, { "dropping-particle" : "", "family" : "Lin", "given" : "Shuan-Pei", "non-dropping-particle" : "", "parse-names" : false, "suffix" : "" }, { "dropping-particle" : "", "family" : "Munoz Rojas", "given" : "Maria-Veronica", "non-dropping-particle" : "", "parse-names" : false, "suffix" : "" }, { "dropping-particle" : "", "family" : "Pastores", "given" : "Gregory M", "non-dropping-particle" : "", "parse-names" : false, "suffix" : "" }, { "dropping-particle" : "", "family" : "Raiman", "given" : "Julian A", "non-dropping-particle" : "", "parse-names" : false, "suffix" : "" }, { "dropping-particle" : "", "family" : "Scarpa", "given" : "Maurizio", "non-dropping-particle" : "", "parse-names" : false, "suffix" : "" }, { "dropping-particle" : "", "family" : "Treacy", "given" : "Eileen P", "non-dropping-particle" : "", "parse-names" : false, "suffix" : "" }, { "dropping-particle" : "", "family" : "Tylki-Szymanska", "given" : "Anna", "non-dropping-particle" : "", "parse-names" : false, "suffix" : "" }, { "dropping-particle" : "", "family" : "Wraith", "given" : "Edmond", "non-dropping-particle" : "", "parse-names" : false, "suffix" : "" }, { "dropping-particle" : "", "family" : "Zeman", "given" : "Jiri", "non-dropping-particle" : "", "parse-names" : false, "suffix" : "" }, { "dropping-particle" : "", "family" : "Wijburg", "given" : "Frits A", "non-dropping-particle" : "", "parse-names" : false, "suffix" : "" } ], "container-title" : "Orphanet Journal of Rare Diseases", "id" : "ITEM-1", "issue" : "1", "issued" : { "date-parts" : [ [ "2012" ] ] }, "page" : "22", "publisher" : "BioMed Central Ltd", "title" : "Capturing phenotypic heterogeneity in MPS I: results of an international consensus procedure", "type" : "article-journal", "volume" : "7" }, "uris" : [ "http://www.mendeley.com/documents/?uuid=b64ca157-1fe5-4b55-8b95-4b9d43a636a5" ] } ], "mendeley" : { "formattedCitation" : "&lt;sup&gt;44&lt;/sup&gt;", "plainTextFormattedCitation" : "44", "previouslyFormattedCitation" : "&lt;sup&gt;44&lt;/sup&gt;"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44</w:t>
      </w:r>
      <w:r w:rsidRPr="003F585B">
        <w:rPr>
          <w:rFonts w:ascii="Arial" w:hAnsi="Arial" w:cs="Arial"/>
          <w:sz w:val="24"/>
          <w:szCs w:val="24"/>
        </w:rPr>
        <w:fldChar w:fldCharType="end"/>
      </w:r>
      <w:r w:rsidRPr="003F585B">
        <w:rPr>
          <w:rFonts w:ascii="Arial" w:hAnsi="Arial" w:cs="Arial"/>
          <w:sz w:val="24"/>
          <w:szCs w:val="24"/>
        </w:rPr>
        <w:t xml:space="preserve">, exceto o tipo IV e VI, </w:t>
      </w:r>
      <w:r w:rsidR="00592495">
        <w:rPr>
          <w:rFonts w:ascii="Arial" w:hAnsi="Arial" w:cs="Arial"/>
          <w:sz w:val="24"/>
          <w:szCs w:val="24"/>
        </w:rPr>
        <w:t xml:space="preserve">nos quais </w:t>
      </w:r>
      <w:r w:rsidRPr="003F585B">
        <w:rPr>
          <w:rFonts w:ascii="Arial" w:hAnsi="Arial" w:cs="Arial"/>
          <w:sz w:val="24"/>
          <w:szCs w:val="24"/>
        </w:rPr>
        <w:t>a dificuldade de compreensão costuma não estar associada</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"10.1043/0003-3219(2006)076[0335:MTAOMS]2.0.CO;2", "ISBN" : "0003-3219", "ISSN" : "00033219", "PMID" : "16539564", "abstract" : "Morquio syndrome (mucopolysaccharidosis type IVA) is an autosomal recessive disorder caused by the accumulation of mucopolysaccharides in lysosomes because of the deficiency of N-acetylgalactosamine-6-sulphate sulphatase. Patients with Morquio syndrome often need orthodontic treatment. This study demonstrates the correction of malocclusion by orthodontic treatment and the improvement of the masticatory function by prosthodontic treatment in a male patient affected by Morquio syndrome. Labial inclinations of mandibular and maxillary anterior teeth were corrected, and spaces necessary for prosthodontic restorations were preserved. After this procedure, the restorations were made, and Hawley appliances were used in both jaws for retention. Patient satisfaction and an acceptable occlusal relationship were achieved by following an optimal treatment plan when considering the general status of the patient with Morquio syndrome.", "author" : [ { "dropping-particle" : "", "family" : "\u00d6n\u00e7a\u01e7", "given" : "G\u00f6khan", "non-dropping-particle" : "", "parse-names" : false, "suffix" : "" }, { "dropping-particle" : "", "family" : "Ertan Erdin\u00e7", "given" : "Aslihan M.", "non-dropping-particle" : "", "parse-names" : false, "suffix" : "" }, { "dropping-particle" : "", "family" : "Cal", "given" : "Ebru", "non-dropping-particle" : "", "parse-names" : false, "suffix" : "" } ], "container-title" : "Angle Orthodontist", "id" : "ITEM-1", "issue" : "2", "issued" : { "date-parts" : [ [ "2006" ] ] }, "page" : "335-340", "title" : "Multidisciplinary treatment approach of Morquio Syndrome (mucopolysaccharidosis type IVA)", "type" : "article-journal", "volume" : "76" }, "uris" : [ "http://www.mendeley.com/documents/?uuid=7f3e75b1-45cd-4c5a-8c07-97f5b212bf3d" ] }, { "id" : "ITEM-2", "itemData" : { "DOI" : "10.2223/JPED.1743 [doi]", "ISBN" : "0021-7557 (Print)\\r0021-7557 (Linking)", "ISSN" : "0021-7557", "PMID" : "18338089", "abstract" : "OBJECTIVE: Descrever o perfil de mobilidade articular e das for\u00e7as de garra e de pin\u00e7a de indiv\u00edduos com MPS VI, al\u00e9m de sua correla\u00e7\u00e3o com a excre\u00e7\u00e3o urin\u00e1ria de glicosaminoglicanos, atividade da ARSB e distancia percorrida no teste de caminhada de 6 minutos. METHODS: This was an observational study of 28 patients with MPS VI, who had not undergone specific treatment. All patients were assessed for amplitude of joint mobility (shoulder, elbow, and knee), grip and pinch strength and urinary GAG excretion and also performed the 6MWT. RESULTS: Shoulder flexion exhibited the greatest limitation, with no correlation with age, followed by knee extension and elbow flexion, both of which were correlated inversely with age. Hand grip strength was compromised in all patients, and pinch strength exhibited a positive correlation with age. CONCLUSIONS: The fact that restricted shoulder flexion was not correlated with age suggests that this finding is present early on in MPS VI and that it constitutes an important clinical sign that should arouse diagnostic suspicion of this disease. The amplitude of knee extension and elbow flexion, in turn, are possible markers of disease progression since they have a negative correlation with age. Further studies are needed to confirm these hypotheses.", "author" : [ { "dropping-particle" : "", "family" : "Cardoso-Santos", "given" : "A", "non-dropping-particle" : "", "parse-names" : false, "suffix" : "" }, { "dropping-particle" : "", "family" : "Azevedo", "given" : "A C", "non-dropping-particle" : "", "parse-names" : false, "suffix" : "" }, { "dropping-particle" : "", "family" : "Fagondes", "given" : "S", "non-dropping-particle" : "", "parse-names" : false, "suffix" : "" }, { "dropping-particle" : "", "family" : "Burin", "given" : "M G", "non-dropping-particle" : "", "parse-names" : false, "suffix" : "" }, { "dropping-particle" : "", "family" : "Giugliani", "given" : "R", "non-dropping-particle" : "", "parse-names" : false, "suffix" : "" }, { "dropping-particle" : "V", "family" : "Schwartz", "given" : "I", "non-dropping-particle" : "", "parse-names" : false, "suffix" : "" } ], "container-title" : "J.Pediatr.", "id" : "ITEM-2", "issue" : "2", "issued" : { "date-parts" : [ [ "2008" ] ] }, "page" : "130-135", "title" : "Mucopolysaccharidosis type VI (Maroteaux-Lamy syndrome): assessment of joint mobility and grip and pinch strength.", "type" : "article-journal", "volume" : "84" }, "uris" : [ "http://www.mendeley.com/documents/?uuid=75be6894-52e9-428c-8f8c-adf380a5f980" ] } ], "mendeley" : { "formattedCitation" : "&lt;sup&gt;30,53&lt;/sup&gt;", "plainTextFormattedCitation" : "30,53", "previouslyFormattedCitation" : "&lt;sup&gt;30,53&lt;/sup&gt;"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30,53</w:t>
      </w:r>
      <w:r w:rsidRPr="003F585B">
        <w:rPr>
          <w:rFonts w:ascii="Arial" w:hAnsi="Arial" w:cs="Arial"/>
          <w:sz w:val="24"/>
          <w:szCs w:val="24"/>
        </w:rPr>
        <w:fldChar w:fldCharType="end"/>
      </w:r>
      <w:r w:rsidRPr="003F585B">
        <w:rPr>
          <w:rFonts w:ascii="Arial" w:hAnsi="Arial" w:cs="Arial"/>
          <w:sz w:val="24"/>
          <w:szCs w:val="24"/>
        </w:rPr>
        <w:t>. Anomalias da medula espinhal (como mielopatia e compressão medular) e de outros elementos neurais também compreendem possíveis alterações neurológicas em casos de MPS</w:t>
      </w:r>
      <w:r w:rsidR="00BE3C54">
        <w:rPr>
          <w:rFonts w:ascii="Arial" w:hAnsi="Arial" w:cs="Arial"/>
          <w:sz w:val="24"/>
          <w:szCs w:val="24"/>
        </w:rPr>
        <w:t>.</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"author" : [ { "dropping-particle" : "", "family" : "Reichert", "given" : "Roberta", "non-dropping-particle" : "", "parse-names" : false, "suffix" : "" }, { "dropping-particle" : "", "family" : "Campos", "given" : "Lillian Gon\u00e7alves", "non-dropping-particle" : "", "parse-names" : false, "suffix" : "" }, { "dropping-particle" : "", "family" : "Vairo", "given" : "F", "non-dropping-particle" : "", "parse-names" : false, "suffix" : "" }, { "dropping-particle" : "", "family" : "Souza", "given" : "C F M", "non-dropping-particle" : "de", "parse-names" : false, "suffix" : "" }, { "dropping-particle" : "", "family" : "Perez", "given" : "J", "non-dropping-particle" : "", "parse-names" : false, "suffix" : "" }, { "dropping-particle" : "", "family" : "Duate", "given" : "J", "non-dropping-particle" : "", "parse-names" : false, "suffix" : "" }, { "dropping-particle" : "", "family" : "Leiria", "given" : "F", "non-dropping-particle" : "", "parse-names" : false, "suffix" : "" }, { "dropping-particle" : "", "family" : "Anes", "given" : "M", "non-dropping-particle" : "", "parse-names" : false, "suffix" : "" }, { "dropping-particle" : "", "family" : "Vedolin", "given" : "L M", "non-dropping-particle" : "", "parse-names" : false, "suffix" : "" } ], "container-title" : "RadioGraphics", "id" : "ITEM-1", "issue" : "5", "issued" : { "date-parts" : [ [ "2016" ] ] }, "page" : "1448-1462", "title" : "Neuroimaging findings in patients with mucopolysaccharidosis: what you really need to know", "type" : "article-journal", "volume" : "36" }, "uris" : [ "http://www.mendeley.com/documents/?uuid=65fb965f-f89f-4097-90e0-a6b502c9580f" ] }, { "id" : "ITEM-2", "itemData" : { "DOI" : "10.1016/j.ymgme.2016.06.002", "ISSN" : "1096-7206", "PMID" : "27296532", "abstract" : "The mucopolysaccharidoses (MPS) are a family of lysosomal storage disorders characterized by deficient activity of enzymes that degrade glycosaminoglycans (GAGs). Skeletal disease is common in MPS patients, with the severity varying both within and between subtypes. Within the spectrum of skeletal disease, spinal manifestations are particularly prevalent. Developmental and degenerative abnormalities affecting the substructures of the spine can result in compression of the spinal cord and associated neural elements. Resulting neurological complications, including pain and paralysis, significantly reduce patient quality of life and life expectancy. Systemic therapies for MPS, such as hematopoietic stem cell transplantation and enzyme replacement therapy, have shown limited efficacy for improving spinal manifestations in patients and animal models. Therefore, there is a pressing need for new therapeutic approaches that specifically target this debilitating aspect of the disease. In this review, we examine how pathological abnormalities affecting the key substructures of the spine - the discs, vertebrae, odontoid process and dura - contribute to the progression of spinal deformity and symptomatic compression of neural elements. Specifically, we review current understanding of the underlying pathophysiology of spine disease in MPS, how the tissues of the spine respond to current clinical and experimental treatments, and discuss future strategies for improving the efficacy of these treatments.", "author" : [ { "dropping-particle" : "", "family" : "Peck", "given" : "Sun H", "non-dropping-particle" : "", "parse-names" : false, "suffix" : "" }, { "dropping-particle" : "", "family" : "Casal", "given" : "Margret L", "non-dropping-particle" : "", "parse-names" : false, "suffix" : "" }, { "dropping-particle" : "", "family" : "Malhotra", "given" : "Neil R", "non-dropping-particle" : "", "parse-names" : false, "suffix" : "" }, { "dropping-particle" : "", "family" : "Ficicioglu", "given" : "Can", "non-dropping-particle" : "", "parse-names" : false, "suffix" : "" }, { "dropping-particle" : "", "family" : "Smith", "given" : "Lachlan J", "non-dropping-particle" : "", "parse-names" : false, "suffix" : "" } ], "container-title" : "Molecular gnetics and metabolism", "id" : "ITEM-2", "issue" : "4", "issued" : { "date-parts" : [ [ "2016" ] ] }, "page" : "232-43", "publisher" : "Elsevier B.V.", "title" : "Pathogenesis and treatment of spine disease in the mucopolysaccharidoses.", "type" : "article-journal", "volume" : "118" }, "uris" : [ "http://www.mendeley.com/documents/?uuid=a5cf6b73-c5e7-460e-be2a-0a5828cca054" ] } ], "mendeley" : { "formattedCitation" : "&lt;sup&gt;51,54&lt;/sup&gt;", "plainTextFormattedCitation" : "51,54", "previouslyFormattedCitation" : "&lt;sup&gt;51,54&lt;/sup&gt;"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51,54</w:t>
      </w:r>
      <w:r w:rsidRPr="003F585B">
        <w:rPr>
          <w:rFonts w:ascii="Arial" w:hAnsi="Arial" w:cs="Arial"/>
          <w:sz w:val="24"/>
          <w:szCs w:val="24"/>
        </w:rPr>
        <w:fldChar w:fldCharType="end"/>
      </w:r>
    </w:p>
    <w:p w:rsidR="00A62F69" w:rsidRDefault="00A62F69" w:rsidP="00491682">
      <w:pPr>
        <w:spacing w:after="0" w:line="360" w:lineRule="auto"/>
        <w:jc w:val="both"/>
        <w:rPr>
          <w:rFonts w:ascii="Arial" w:hAnsi="Arial" w:cs="Arial"/>
          <w:sz w:val="24"/>
          <w:szCs w:val="24"/>
        </w:rPr>
      </w:pPr>
    </w:p>
    <w:p w:rsidR="00EB34BF" w:rsidRDefault="00EB34BF" w:rsidP="00491682">
      <w:pPr>
        <w:spacing w:after="0" w:line="360" w:lineRule="auto"/>
        <w:jc w:val="both"/>
        <w:rPr>
          <w:rFonts w:ascii="Arial" w:hAnsi="Arial" w:cs="Arial"/>
          <w:sz w:val="24"/>
          <w:szCs w:val="24"/>
        </w:rPr>
      </w:pPr>
      <w:r w:rsidRPr="003F585B">
        <w:rPr>
          <w:rFonts w:ascii="Arial" w:hAnsi="Arial" w:cs="Arial"/>
          <w:sz w:val="24"/>
          <w:szCs w:val="24"/>
        </w:rPr>
        <w:t>Estudos sugerem ainda a ocorrência de dor crônica em indivíduos com MPS</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"10.1007/s10545-014-9737-0", "ISBN" : "1573-2665; 0141-8955", "ISSN" : "15732665", "PMID" : "25048386", "abstract" : "BACKGROUND: While clinical observations suggest that many patients with mucopolysaccharidosis (MPS) experience chronic pain, few studies have assessed its extent and impact. We therefore investigated its prevalence in patients with all types of MPS in the Netherlands. We also examined the association between pain and health related quality of life (HRQoL) and other clinical variables.\\n\\nMETHODS: We conducted a nationwide MPS survey that used questionnaires on MPS and disease-related symptoms (MPS-specific questionnaire), developmental level (Vineland Screener 0-6 years), quality of life (PedsQl and SF-36), and disability (Childhood Health Assessment Questionnaire). Depending on their age and developmental level, patients or their parents were asked to assess pain by keeping a pain diary for five consecutive days: either the Non-communicating Children's Pain Checklist - Revised (3-18 years intellectually disabled and children &lt;8 years), the VAS-score (&gt; 18 years), or the Faces Pain Scale - Revised (8-18 years).\\n\\nRESULTS: Eighty-nine MPS patients were invited, 55 of whom agreed to participate (response rate 62 %; median age 10.9 years, range 2.9-47.2 years). They covered a wide spectrum in all age groups, ranging from no pain to severe pain. Forty percent scored above the cut-off value for pain. Most reported pain sites were the back and hips. While the MPS III group experienced the highest frequency of pain (52.9 %), 50 % of patients with an intellectual disability seemed to experience pain, versus 30 % of patients with a normal intelligence. MPS patients scored much lower (i.e., more pain) than a random sample of the Dutch population on the bodily pain domain of the SF-36 scale and the PedsQl.\\n\\nCONCLUSION: With or without intellectual disabilities, many MPS patients experience pain. We recommend that standardized pain assessments are included in the regular follow-up program of patients with MPS.", "author" : [ { "dropping-particle" : "", "family" : "Brands", "given" : "Marion M G", "non-dropping-particle" : "", "parse-names" : false, "suffix" : "" }, { "dropping-particle" : "", "family" : "G\u00fcng\u00f6r", "given" : "Deniz", "non-dropping-particle" : "", "parse-names" : false, "suffix" : "" }, { "dropping-particle" : "", "family" : "Hout", "given" : "Johanna M P", "non-dropping-particle" : "van den", "parse-names" : false, "suffix" : "" }, { "dropping-particle" : "", "family" : "Karstens", "given" : "Francois P J", "non-dropping-particle" : "", "parse-names" : false, "suffix" : "" }, { "dropping-particle" : "", "family" : "Oussoren", "given" : "Esmee", "non-dropping-particle" : "", "parse-names" : false, "suffix" : "" }, { "dropping-particle" : "", "family" : "Plug", "given" : "Iris", "non-dropping-particle" : "", "parse-names" : false, "suffix" : "" }, { "dropping-particle" : "", "family" : "Boelens", "given" : "Jaap Jan", "non-dropping-particle" : "", "parse-names" : false, "suffix" : "" }, { "dropping-particle" : "", "family" : "Hasselt", "given" : "Peter M.", "non-dropping-particle" : "van", "parse-names" : false, "suffix" : "" }, { "dropping-particle" : "", "family" : "Hollak", "given" : "Carla E M", "non-dropping-particle" : "", "parse-names" : false, "suffix" : "" }, { "dropping-particle" : "", "family" : "Mulder", "given" : "Margot F.", "non-dropping-particle" : "", "parse-names" : false, "suffix" : "" }, { "dropping-particle" : "", "family" : "Gozalbo", "given" : "Estela Rubio", "non-dropping-particle" : "", "parse-names" : false, "suffix" : "" }, { "dropping-particle" : "", "family" : "Smeitink", "given" : "Jan A.", "non-dropping-particle" : "", "parse-names" : false, "suffix" : "" }, { "dropping-particle" : "", "family" : "Smit", "given" : "G. Peter A", "non-dropping-particle" : "", "parse-names" : false, "suffix" : "" }, { "dropping-particle" : "", "family" : "Wijburg", "given" : "Frits A.", "non-dropping-particle" : "", "parse-names" : false, "suffix" : "" }, { "dropping-particle" : "", "family" : "Meutgeert", "given" : "Hanka", "non-dropping-particle" : "", "parse-names" : false, "suffix" : "" }, { "dropping-particle" : "", "family" : "Ploeg", "given" : "Ans T.", "non-dropping-particle" : "van der", "parse-names" : false, "suffix" : "" } ], "container-title" : "Journal of Inherited Metabolic Disease", "id" : "ITEM-1", "issue" : "2", "issued" : { "date-parts" : [ [ "2015" ] ] }, "page" : "323-331", "title" : "Pain: a prevalent feature in patients with mucopolysaccharidosis. Results of a cross-sectional national survey", "type" : "article-journal", "volume" : "38" }, "uris" : [ "http://www.mendeley.com/documents/?uuid=cdd25880-97d6-4726-89b5-ca089c99d649" ] }, { "id" : "ITEM-2", "itemData" : { "DOI" : "10.1016/j.ymgme.2013.03.004", "ISBN" : "1096-7192", "ISSN" : "10967192", "PMID" : "23541797", "abstract" : "Background: Sanfilippo disease, or Mucopolysaccharidosis type III (MPS III), is a lysosomal storage disorder and a member of the mucopolysaccharidoses (MPSs). MPS III is clinically characterized by progressive neurodegeneration. Skeletal disease is not felt to be an important clinical component in MPS III patients, unlike in the other MPSs. We conducted radiographic studies in a relatively large group of MPS III patients and detected a high prevalence of osteonecrosis of the femoral head (ONFH). Methods: Thirty-three patients were included in the study. All the patients underwent an X-ray of the pelvis (anteroposterior view). All the X-rays were evaluated by a single, blinded radiologist using a modified Ficat classification system for ONFH (the stages ranged from 0 to IV, with increasing stages signifying more severe abnormalities). Clinical symptoms possibly related to hip disease were recorded. The patients were divided into different phenotypes based on mutational analysis and their plasma heparan sulfate (HS) levels. Results: In 21 of the 33 patients, the disease severity could be predicted by genotype. In 11 of the 12 remaining patients, the phenotype could be assessed via the plasma HS levels. Eight patients (24%) exhibited signs of ONFH (Ficat stage ??? I), and 6 (75%) of them had bilateral changes. None of the patients with attenuated MPS III (n = 14) had ONFH. In 6 of the patients with a severe phenotype, hip dysplasia was detected as an additional finding. The 7 patients with Ficat stages ??? II reported hip pain. Conclusions: Femoral head disease, which resembles ONFH, is common in patients with the severe MPS III phenotype. An evaluation of hip disease should be included in follow-up visits with MPS III patients. ?? 2013 Elsevier Inc.", "author" : [ { "dropping-particle" : "", "family" : "Ruijter", "given" : "Jessica", "non-dropping-particle" : "", "parse-names" : false, "suffix" : "" }, { "dropping-particle" : "", "family" : "Maas", "given" : "Mario", "non-dropping-particle" : "", "parse-names" : false, "suffix" : "" }, { "dropping-particle" : "", "family" : "Janssen", "given" : "Anneloes", "non-dropping-particle" : "", "parse-names" : false, "suffix" : "" }, { "dropping-particle" : "", "family" : "Wijburg", "given" : "Frits A.", "non-dropping-particle" : "", "parse-names" : false, "suffix" : "" } ], "container-title" : "Molecular Genetics and Metabolism", "id" : "ITEM-2", "issue" : "1", "issued" : { "date-parts" : [ [ "2013" ] ] }, "page" : "49-53", "publisher" : "Elsevier Inc.", "title" : "High prevalence of femoral head necrosis in Mucopolysaccharidosis type III (Sanfilippo disease): A national, observational, cross-sectional study", "type" : "article-journal", "volume" : "109" }, "uris" : [ "http://www.mendeley.com/documents/?uuid=1bc8cfb6-3103-4126-a797-0c2b60a62aa4" ] }, { "id" : "ITEM-3", "itemData" : { "DOI" : "10.1016/j.pediatrneurol.2013.08.019", "ISBN" : "1873-5150 (Electronic)\\r0887-8994 (Linking)", "ISSN" : "08878994", "PMID" : "24125813", "abstract" : "Background Carpal tunnel syndrome or median neuropathy at the wrist is a rare condition in children. Of the reported patients with carpal tunnel syndrome, mucopolysaccharidoses and the mucolipidoses are the most common causes. Patients We report 13 patients between the ages of 2 and 17 years of age with carpal tunnel syndrome. Results Mucopolysaccharidoses was the cause in one child. In other children, trauma to the median nerve, malformations of the wrist, brachial plexopathy, obesity, inherited susceptibility to pressure palsies (PMP 22 gene deletion), and family history of median neuropathy at the wrist were identified. All patients had hand pain, numbness, and paresthesias in their hands. The nerve conduction studies showed prolongation of median sensory nerve latency and distal motor latency in median nerve. Conclusions Carpal tunnel syndrome occurs in children and a variety of risk factors predispose to its occurrence. \u00a9 2014 Elsevier Inc. All rights reserved.", "author" : [ { "dropping-particle" : "", "family" : "Davis", "given" : "Lamar", "non-dropping-particle" : "", "parse-names" : false, "suffix" : "" }, { "dropping-particle" : "V.", "family" : "Vedanarayanan", "given" : "V.", "non-dropping-particle" : "", "parse-names" : false, "suffix" : "" } ], "container-title" : "Pediatric Neurology", "id" : "ITEM-3", "issue" : "1", "issued" : { "date-parts" : [ [ "2014" ] ] }, "page" : "57-59", "publisher" : "Elsevier Ltd", "title" : "Carpal tunnel syndrome in children", "type" : "article-journal", "volume" : "50" }, "uris" : [ "http://www.mendeley.com/documents/?uuid=c98c18c8-c3b7-4c0f-b260-1df71a6697c4" ] } ], "mendeley" : { "formattedCitation" : "&lt;sup&gt;33,55,56&lt;/sup&gt;", "plainTextFormattedCitation" : "33,55,56", "previouslyFormattedCitation" : "&lt;sup&gt;33,55,56&lt;/sup&gt;"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33,55,56</w:t>
      </w:r>
      <w:r w:rsidRPr="003F585B">
        <w:rPr>
          <w:rFonts w:ascii="Arial" w:hAnsi="Arial" w:cs="Arial"/>
          <w:sz w:val="24"/>
          <w:szCs w:val="24"/>
        </w:rPr>
        <w:fldChar w:fldCharType="end"/>
      </w:r>
      <w:r>
        <w:rPr>
          <w:rFonts w:ascii="Arial" w:hAnsi="Arial" w:cs="Arial"/>
          <w:sz w:val="24"/>
          <w:szCs w:val="24"/>
        </w:rPr>
        <w:t>,</w:t>
      </w:r>
      <w:r w:rsidRPr="003F585B">
        <w:rPr>
          <w:rFonts w:ascii="Arial" w:hAnsi="Arial" w:cs="Arial"/>
          <w:sz w:val="24"/>
          <w:szCs w:val="24"/>
        </w:rPr>
        <w:t xml:space="preserve"> secundária, possivelmente, aos distúrbios resultantes do acúmulo intralisossomal de GAG</w:t>
      </w:r>
      <w:r w:rsidR="00EB492D">
        <w:rPr>
          <w:rFonts w:ascii="Arial" w:hAnsi="Arial" w:cs="Arial"/>
          <w:sz w:val="24"/>
          <w:szCs w:val="24"/>
        </w:rPr>
        <w:t>s</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"10.1007/s10545-014-9737-0", "ISBN" : "1573-2665; 0141-8955", "ISSN" : "15732665", "PMID" : "25048386", "abstract" : "BACKGROUND: While clinical observations suggest that many patients with mucopolysaccharidosis (MPS) experience chronic pain, few studies have assessed its extent and impact. We therefore investigated its prevalence in patients with all types of MPS in the Netherlands. We also examined the association between pain and health related quality of life (HRQoL) and other clinical variables.\\n\\nMETHODS: We conducted a nationwide MPS survey that used questionnaires on MPS and disease-related symptoms (MPS-specific questionnaire), developmental level (Vineland Screener 0-6 years), quality of life (PedsQl and SF-36), and disability (Childhood Health Assessment Questionnaire). Depending on their age and developmental level, patients or their parents were asked to assess pain by keeping a pain diary for five consecutive days: either the Non-communicating Children's Pain Checklist - Revised (3-18 years intellectually disabled and children &lt;8 years), the VAS-score (&gt; 18 years), or the Faces Pain Scale - Revised (8-18 years).\\n\\nRESULTS: Eighty-nine MPS patients were invited, 55 of whom agreed to participate (response rate 62 %; median age 10.9 years, range 2.9-47.2 years). They covered a wide spectrum in all age groups, ranging from no pain to severe pain. Forty percent scored above the cut-off value for pain. Most reported pain sites were the back and hips. While the MPS III group experienced the highest frequency of pain (52.9 %), 50 % of patients with an intellectual disability seemed to experience pain, versus 30 % of patients with a normal intelligence. MPS patients scored much lower (i.e., more pain) than a random sample of the Dutch population on the bodily pain domain of the SF-36 scale and the PedsQl.\\n\\nCONCLUSION: With or without intellectual disabilities, many MPS patients experience pain. We recommend that standardized pain assessments are included in the regular follow-up program of patients with MPS.", "author" : [ { "dropping-particle" : "", "family" : "Brands", "given" : "Marion M G", "non-dropping-particle" : "", "parse-names" : false, "suffix" : "" }, { "dropping-particle" : "", "family" : "G\u00fcng\u00f6r", "given" : "Deniz", "non-dropping-particle" : "", "parse-names" : false, "suffix" : "" }, { "dropping-particle" : "", "family" : "Hout", "given" : "Johanna M P", "non-dropping-particle" : "van den", "parse-names" : false, "suffix" : "" }, { "dropping-particle" : "", "family" : "Karstens", "given" : "Francois P J", "non-dropping-particle" : "", "parse-names" : false, "suffix" : "" }, { "dropping-particle" : "", "family" : "Oussoren", "given" : "Esmee", "non-dropping-particle" : "", "parse-names" : false, "suffix" : "" }, { "dropping-particle" : "", "family" : "Plug", "given" : "Iris", "non-dropping-particle" : "", "parse-names" : false, "suffix" : "" }, { "dropping-particle" : "", "family" : "Boelens", "given" : "Jaap Jan", "non-dropping-particle" : "", "parse-names" : false, "suffix" : "" }, { "dropping-particle" : "", "family" : "Hasselt", "given" : "Peter M.", "non-dropping-particle" : "van", "parse-names" : false, "suffix" : "" }, { "dropping-particle" : "", "family" : "Hollak", "given" : "Carla E M", "non-dropping-particle" : "", "parse-names" : false, "suffix" : "" }, { "dropping-particle" : "", "family" : "Mulder", "given" : "Margot F.", "non-dropping-particle" : "", "parse-names" : false, "suffix" : "" }, { "dropping-particle" : "", "family" : "Gozalbo", "given" : "Estela Rubio", "non-dropping-particle" : "", "parse-names" : false, "suffix" : "" }, { "dropping-particle" : "", "family" : "Smeitink", "given" : "Jan A.", "non-dropping-particle" : "", "parse-names" : false, "suffix" : "" }, { "dropping-particle" : "", "family" : "Smit", "given" : "G. Peter A", "non-dropping-particle" : "", "parse-names" : false, "suffix" : "" }, { "dropping-particle" : "", "family" : "Wijburg", "given" : "Frits A.", "non-dropping-particle" : "", "parse-names" : false, "suffix" : "" }, { "dropping-particle" : "", "family" : "Meutgeert", "given" : "Hanka", "non-dropping-particle" : "", "parse-names" : false, "suffix" : "" }, { "dropping-particle" : "", "family" : "Ploeg", "given" : "Ans T.", "non-dropping-particle" : "van der", "parse-names" : false, "suffix" : "" } ], "container-title" : "Journal of Inherited Metabolic Disease", "id" : "ITEM-1", "issue" : "2", "issued" : { "date-parts" : [ [ "2015" ] ] }, "page" : "323-331", "title" : "Pain: a prevalent feature in patients with mucopolysaccharidosis. Results of a cross-sectional national survey", "type" : "article-journal", "volume" : "38" }, "uris" : [ "http://www.mendeley.com/documents/?uuid=cdd25880-97d6-4726-89b5-ca089c99d649" ] } ], "mendeley" : { "formattedCitation" : "&lt;sup&gt;33&lt;/sup&gt;", "plainTextFormattedCitation" : "33", "previouslyFormattedCitation" : "&lt;sup&gt;33&lt;/sup&gt;"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33</w:t>
      </w:r>
      <w:r w:rsidRPr="003F585B">
        <w:rPr>
          <w:rFonts w:ascii="Arial" w:hAnsi="Arial" w:cs="Arial"/>
          <w:sz w:val="24"/>
          <w:szCs w:val="24"/>
        </w:rPr>
        <w:fldChar w:fldCharType="end"/>
      </w:r>
      <w:r w:rsidRPr="003F585B">
        <w:rPr>
          <w:rFonts w:ascii="Arial" w:hAnsi="Arial" w:cs="Arial"/>
          <w:sz w:val="24"/>
          <w:szCs w:val="24"/>
        </w:rPr>
        <w:t>, como síndrome do túnel do carpo</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"10.1007/s10545-014-9737-0", "ISBN" : "1573-2665; 0141-8955", "ISSN" : "15732665", "PMID" : "25048386", "abstract" : "BACKGROUND: While clinical observations suggest that many patients with mucopolysaccharidosis (MPS) experience chronic pain, few studies have assessed its extent and impact. We therefore investigated its prevalence in patients with all types of MPS in the Netherlands. We also examined the association between pain and health related quality of life (HRQoL) and other clinical variables.\\n\\nMETHODS: We conducted a nationwide MPS survey that used questionnaires on MPS and disease-related symptoms (MPS-specific questionnaire), developmental level (Vineland Screener 0-6 years), quality of life (PedsQl and SF-36), and disability (Childhood Health Assessment Questionnaire). Depending on their age and developmental level, patients or their parents were asked to assess pain by keeping a pain diary for five consecutive days: either the Non-communicating Children's Pain Checklist - Revised (3-18 years intellectually disabled and children &lt;8 years), the VAS-score (&gt; 18 years), or the Faces Pain Scale - Revised (8-18 years).\\n\\nRESULTS: Eighty-nine MPS patients were invited, 55 of whom agreed to participate (response rate 62 %; median age 10.9 years, range 2.9-47.2 years). They covered a wide spectrum in all age groups, ranging from no pain to severe pain. Forty percent scored above the cut-off value for pain. Most reported pain sites were the back and hips. While the MPS III group experienced the highest frequency of pain (52.9 %), 50 % of patients with an intellectual disability seemed to experience pain, versus 30 % of patients with a normal intelligence. MPS patients scored much lower (i.e., more pain) than a random sample of the Dutch population on the bodily pain domain of the SF-36 scale and the PedsQl.\\n\\nCONCLUSION: With or without intellectual disabilities, many MPS patients experience pain. We recommend that standardized pain assessments are included in the regular follow-up program of patients with MPS.", "author" : [ { "dropping-particle" : "", "family" : "Brands", "given" : "Marion M G", "non-dropping-particle" : "", "parse-names" : false, "suffix" : "" }, { "dropping-particle" : "", "family" : "G\u00fcng\u00f6r", "given" : "Deniz", "non-dropping-particle" : "", "parse-names" : false, "suffix" : "" }, { "dropping-particle" : "", "family" : "Hout", "given" : "Johanna M P", "non-dropping-particle" : "van den", "parse-names" : false, "suffix" : "" }, { "dropping-particle" : "", "family" : "Karstens", "given" : "Francois P J", "non-dropping-particle" : "", "parse-names" : false, "suffix" : "" }, { "dropping-particle" : "", "family" : "Oussoren", "given" : "Esmee", "non-dropping-particle" : "", "parse-names" : false, "suffix" : "" }, { "dropping-particle" : "", "family" : "Plug", "given" : "Iris", "non-dropping-particle" : "", "parse-names" : false, "suffix" : "" }, { "dropping-particle" : "", "family" : "Boelens", "given" : "Jaap Jan", "non-dropping-particle" : "", "parse-names" : false, "suffix" : "" }, { "dropping-particle" : "", "family" : "Hasselt", "given" : "Peter M.", "non-dropping-particle" : "van", "parse-names" : false, "suffix" : "" }, { "dropping-particle" : "", "family" : "Hollak", "given" : "Carla E M", "non-dropping-particle" : "", "parse-names" : false, "suffix" : "" }, { "dropping-particle" : "", "family" : "Mulder", "given" : "Margot F.", "non-dropping-particle" : "", "parse-names" : false, "suffix" : "" }, { "dropping-particle" : "", "family" : "Gozalbo", "given" : "Estela Rubio", "non-dropping-particle" : "", "parse-names" : false, "suffix" : "" }, { "dropping-particle" : "", "family" : "Smeitink", "given" : "Jan A.", "non-dropping-particle" : "", "parse-names" : false, "suffix" : "" }, { "dropping-particle" : "", "family" : "Smit", "given" : "G. Peter A", "non-dropping-particle" : "", "parse-names" : false, "suffix" : "" }, { "dropping-particle" : "", "family" : "Wijburg", "given" : "Frits A.", "non-dropping-particle" : "", "parse-names" : false, "suffix" : "" }, { "dropping-particle" : "", "family" : "Meutgeert", "given" : "Hanka", "non-dropping-particle" : "", "parse-names" : false, "suffix" : "" }, { "dropping-particle" : "", "family" : "Ploeg", "given" : "Ans T.", "non-dropping-particle" : "van der", "parse-names" : false, "suffix" : "" } ], "container-title" : "Journal of Inherited Metabolic Disease", "id" : "ITEM-1", "issue" : "2", "issued" : { "date-parts" : [ [ "2015" ] ] }, "page" : "323-331", "title" : "Pain: a prevalent feature in patients with mucopolysaccharidosis. Results of a cross-sectional national survey", "type" : "article-journal", "volume" : "38" }, "uris" : [ "http://www.mendeley.com/documents/?uuid=cdd25880-97d6-4726-89b5-ca089c99d649" ] }, { "id" : "ITEM-2", "itemData" : { "DOI" : "10.1002/ajmg.a.34013", "ISSN" : "1552-4833", "PMID" : "21567931", "abstract" : "Although carpal tunnel syndrome (CTS) is the most common compressive neuropathy seen in the upper extremity of adults, it is rarely seen in children. Several reports have shown that mucopolysaccharidosis type II (Hunter syndrome), a rare genetic disorder, is one of the causes of CTS in children. Usual symptoms of CTS are pain, weakness, and paresthesias in the hand and digits. However, the diagnosis of CTS in Hunter syndrome is often delayed or unrecognized because of atypical symptoms and cognitive impairment. Here, we report the prevalence, clinical manifestation, and nerve conduction profiles of CTS in 45 Hunter syndrome patients. The mean age of the study participants was 117.1 (74.9) months (range: 4-408 months); all patients were male. Forty-three (96.0%) of the 45 patients with Hunter syndrome had CTS. Bilateral CTS was observed in all patients; 73 (82.0%) of the patients' hands had severe degree of CTS. Intriguingly, in contrast with other nerve velocities, decreases in forearm conduction velocities of the median nerve were observed in 28 (31.5%) of 89 hands with CTS. There was a significant difference in age (P &lt; 0.001) between hands with normal, mild, moderate, and severe grades of CTS. The compound muscle action potential and sensory nerve action potential amplitudes of the median nerves decreased with age (CMAP, r = -0.526, P &lt; 0.001; SNAP, r = -0.564, P &lt; 0.001). Early recognition and intervention to ameliorate the symptoms of CTS are important in improving the quality of life of Hunter syndrome patients.", "author" : [ { "dropping-particle" : "", "family" : "Kwon", "given" : "Jeong-Yi", "non-dropping-particle" : "", "parse-names" : false, "suffix" : "" }, { "dropping-particle" : "", "family" : "Ko", "given" : "Kiljun", "non-dropping-particle" : "", "parse-names" : false, "suffix" : "" }, { "dropping-particle" : "", "family" : "Sohn", "given" : "Young Bae", "non-dropping-particle" : "", "parse-names" : false, "suffix" : "" }, { "dropping-particle" : "", "family" : "Kim", "given" : "Su Jin", "non-dropping-particle" : "", "parse-names" : false, "suffix" : "" }, { "dropping-particle" : "", "family" : "Park", "given" : "Sung Won", "non-dropping-particle" : "", "parse-names" : false, "suffix" : "" }, { "dropping-particle" : "", "family" : "Kim", "given" : "Se-Hwa", "non-dropping-particle" : "", "parse-names" : false, "suffix" : "" }, { "dropping-particle" : "", "family" : "Cho", "given" : "Sung-Yoon", "non-dropping-particle" : "", "parse-names" : false, "suffix" : "" }, { "dropping-particle" : "", "family" : "Jin", "given" : "Dong-Kyu", "non-dropping-particle" : "", "parse-names" : false, "suffix" : "" } ], "container-title" : "American journal of medical genetics. Part A", "id" : "ITEM-2", "issued" : { "date-parts" : [ [ "2011" ] ] }, "page" : "1329-1335", "title" : "High prevalence of carpal tunnel syndrome in children with mucopolysaccharidosis type II (Hunter syndrome).", "type" : "article-journal", "volume" : "155A" }, "uris" : [ "http://www.mendeley.com/documents/?uuid=3b0b0d7b-9cb5-45a6-8027-ae368376e55d" ] }, { "id" : "ITEM-3", "itemData" : { "DOI" : "10.1016/j.pediatrneurol.2013.08.019", "ISBN" : "1873-5150 (Electronic)\\r0887-8994 (Linking)", "ISSN" : "08878994", "PMID" : "24125813", "abstract" : "Background Carpal tunnel syndrome or median neuropathy at the wrist is a rare condition in children. Of the reported patients with carpal tunnel syndrome, mucopolysaccharidoses and the mucolipidoses are the most common causes. Patients We report 13 patients between the ages of 2 and 17 years of age with carpal tunnel syndrome. Results Mucopolysaccharidoses was the cause in one child. In other children, trauma to the median nerve, malformations of the wrist, brachial plexopathy, obesity, inherited susceptibility to pressure palsies (PMP 22 gene deletion), and family history of median neuropathy at the wrist were identified. All patients had hand pain, numbness, and paresthesias in their hands. The nerve conduction studies showed prolongation of median sensory nerve latency and distal motor latency in median nerve. Conclusions Carpal tunnel syndrome occurs in children and a variety of risk factors predispose to its occurrence. \u00a9 2014 Elsevier Inc. All rights reserved.", "author" : [ { "dropping-particle" : "", "family" : "Davis", "given" : "Lamar", "non-dropping-particle" : "", "parse-names" : false, "suffix" : "" }, { "dropping-particle" : "V.", "family" : "Vedanarayanan", "given" : "V.", "non-dropping-particle" : "", "parse-names" : false, "suffix" : "" } ], "container-title" : "Pediatric Neurology", "id" : "ITEM-3", "issue" : "1", "issued" : { "date-parts" : [ [ "2014" ] ] }, "page" : "57-59", "publisher" : "Elsevier Ltd", "title" : "Carpal tunnel syndrome in children", "type" : "article-journal", "volume" : "50" }, "uris" : [ "http://www.mendeley.com/documents/?uuid=c98c18c8-c3b7-4c0f-b260-1df71a6697c4" ] } ], "mendeley" : { "formattedCitation" : "&lt;sup&gt;33,56,57&lt;/sup&gt;", "plainTextFormattedCitation" : "33,56,57", "previouslyFormattedCitation" : "&lt;sup&gt;33,56,57&lt;/sup&gt;"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33,56,57</w:t>
      </w:r>
      <w:r w:rsidRPr="003F585B">
        <w:rPr>
          <w:rFonts w:ascii="Arial" w:hAnsi="Arial" w:cs="Arial"/>
          <w:sz w:val="24"/>
          <w:szCs w:val="24"/>
        </w:rPr>
        <w:fldChar w:fldCharType="end"/>
      </w:r>
      <w:r w:rsidRPr="003F585B">
        <w:rPr>
          <w:rFonts w:ascii="Arial" w:hAnsi="Arial" w:cs="Arial"/>
          <w:sz w:val="24"/>
          <w:szCs w:val="24"/>
        </w:rPr>
        <w:t xml:space="preserve">, aumento da pressão </w:t>
      </w:r>
      <w:r w:rsidRPr="003F585B">
        <w:rPr>
          <w:rFonts w:ascii="Arial" w:hAnsi="Arial" w:cs="Arial"/>
          <w:sz w:val="24"/>
          <w:szCs w:val="24"/>
        </w:rPr>
        <w:lastRenderedPageBreak/>
        <w:t>intracraniana</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"10.1007/s10545-014-9737-0", "ISBN" : "1573-2665; 0141-8955", "ISSN" : "15732665", "PMID" : "25048386", "abstract" : "BACKGROUND: While clinical observations suggest that many patients with mucopolysaccharidosis (MPS) experience chronic pain, few studies have assessed its extent and impact. We therefore investigated its prevalence in patients with all types of MPS in the Netherlands. We also examined the association between pain and health related quality of life (HRQoL) and other clinical variables.\\n\\nMETHODS: We conducted a nationwide MPS survey that used questionnaires on MPS and disease-related symptoms (MPS-specific questionnaire), developmental level (Vineland Screener 0-6 years), quality of life (PedsQl and SF-36), and disability (Childhood Health Assessment Questionnaire). Depending on their age and developmental level, patients or their parents were asked to assess pain by keeping a pain diary for five consecutive days: either the Non-communicating Children's Pain Checklist - Revised (3-18 years intellectually disabled and children &lt;8 years), the VAS-score (&gt; 18 years), or the Faces Pain Scale - Revised (8-18 years).\\n\\nRESULTS: Eighty-nine MPS patients were invited, 55 of whom agreed to participate (response rate 62 %; median age 10.9 years, range 2.9-47.2 years). They covered a wide spectrum in all age groups, ranging from no pain to severe pain. Forty percent scored above the cut-off value for pain. Most reported pain sites were the back and hips. While the MPS III group experienced the highest frequency of pain (52.9 %), 50 % of patients with an intellectual disability seemed to experience pain, versus 30 % of patients with a normal intelligence. MPS patients scored much lower (i.e., more pain) than a random sample of the Dutch population on the bodily pain domain of the SF-36 scale and the PedsQl.\\n\\nCONCLUSION: With or without intellectual disabilities, many MPS patients experience pain. We recommend that standardized pain assessments are included in the regular follow-up program of patients with MPS.", "author" : [ { "dropping-particle" : "", "family" : "Brands", "given" : "Marion M G", "non-dropping-particle" : "", "parse-names" : false, "suffix" : "" }, { "dropping-particle" : "", "family" : "G\u00fcng\u00f6r", "given" : "Deniz", "non-dropping-particle" : "", "parse-names" : false, "suffix" : "" }, { "dropping-particle" : "", "family" : "Hout", "given" : "Johanna M P", "non-dropping-particle" : "van den", "parse-names" : false, "suffix" : "" }, { "dropping-particle" : "", "family" : "Karstens", "given" : "Francois P J", "non-dropping-particle" : "", "parse-names" : false, "suffix" : "" }, { "dropping-particle" : "", "family" : "Oussoren", "given" : "Esmee", "non-dropping-particle" : "", "parse-names" : false, "suffix" : "" }, { "dropping-particle" : "", "family" : "Plug", "given" : "Iris", "non-dropping-particle" : "", "parse-names" : false, "suffix" : "" }, { "dropping-particle" : "", "family" : "Boelens", "given" : "Jaap Jan", "non-dropping-particle" : "", "parse-names" : false, "suffix" : "" }, { "dropping-particle" : "", "family" : "Hasselt", "given" : "Peter M.", "non-dropping-particle" : "van", "parse-names" : false, "suffix" : "" }, { "dropping-particle" : "", "family" : "Hollak", "given" : "Carla E M", "non-dropping-particle" : "", "parse-names" : false, "suffix" : "" }, { "dropping-particle" : "", "family" : "Mulder", "given" : "Margot F.", "non-dropping-particle" : "", "parse-names" : false, "suffix" : "" }, { "dropping-particle" : "", "family" : "Gozalbo", "given" : "Estela Rubio", "non-dropping-particle" : "", "parse-names" : false, "suffix" : "" }, { "dropping-particle" : "", "family" : "Smeitink", "given" : "Jan A.", "non-dropping-particle" : "", "parse-names" : false, "suffix" : "" }, { "dropping-particle" : "", "family" : "Smit", "given" : "G. Peter A", "non-dropping-particle" : "", "parse-names" : false, "suffix" : "" }, { "dropping-particle" : "", "family" : "Wijburg", "given" : "Frits A.", "non-dropping-particle" : "", "parse-names" : false, "suffix" : "" }, { "dropping-particle" : "", "family" : "Meutgeert", "given" : "Hanka", "non-dropping-particle" : "", "parse-names" : false, "suffix" : "" }, { "dropping-particle" : "", "family" : "Ploeg", "given" : "Ans T.", "non-dropping-particle" : "van der", "parse-names" : false, "suffix" : "" } ], "container-title" : "Journal of Inherited Metabolic Disease", "id" : "ITEM-1", "issue" : "2", "issued" : { "date-parts" : [ [ "2015" ] ] }, "page" : "323-331", "title" : "Pain: a prevalent feature in patients with mucopolysaccharidosis. Results of a cross-sectional national survey", "type" : "article-journal", "volume" : "38" }, "uris" : [ "http://www.mendeley.com/documents/?uuid=cdd25880-97d6-4726-89b5-ca089c99d649" ] } ], "mendeley" : { "formattedCitation" : "&lt;sup&gt;33&lt;/sup&gt;", "plainTextFormattedCitation" : "33", "previouslyFormattedCitation" : "&lt;sup&gt;33&lt;/sup&gt;"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33</w:t>
      </w:r>
      <w:r w:rsidRPr="003F585B">
        <w:rPr>
          <w:rFonts w:ascii="Arial" w:hAnsi="Arial" w:cs="Arial"/>
          <w:sz w:val="24"/>
          <w:szCs w:val="24"/>
        </w:rPr>
        <w:fldChar w:fldCharType="end"/>
      </w:r>
      <w:r w:rsidRPr="003F585B">
        <w:rPr>
          <w:rFonts w:ascii="Arial" w:hAnsi="Arial" w:cs="Arial"/>
          <w:sz w:val="24"/>
          <w:szCs w:val="24"/>
        </w:rPr>
        <w:t xml:space="preserve"> e alterações articulares</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"10.1007/s10545-014-9737-0", "ISBN" : "1573-2665; 0141-8955", "ISSN" : "15732665", "PMID" : "25048386", "abstract" : "BACKGROUND: While clinical observations suggest that many patients with mucopolysaccharidosis (MPS) experience chronic pain, few studies have assessed its extent and impact. We therefore investigated its prevalence in patients with all types of MPS in the Netherlands. We also examined the association between pain and health related quality of life (HRQoL) and other clinical variables.\\n\\nMETHODS: We conducted a nationwide MPS survey that used questionnaires on MPS and disease-related symptoms (MPS-specific questionnaire), developmental level (Vineland Screener 0-6 years), quality of life (PedsQl and SF-36), and disability (Childhood Health Assessment Questionnaire). Depending on their age and developmental level, patients or their parents were asked to assess pain by keeping a pain diary for five consecutive days: either the Non-communicating Children's Pain Checklist - Revised (3-18 years intellectually disabled and children &lt;8 years), the VAS-score (&gt; 18 years), or the Faces Pain Scale - Revised (8-18 years).\\n\\nRESULTS: Eighty-nine MPS patients were invited, 55 of whom agreed to participate (response rate 62 %; median age 10.9 years, range 2.9-47.2 years). They covered a wide spectrum in all age groups, ranging from no pain to severe pain. Forty percent scored above the cut-off value for pain. Most reported pain sites were the back and hips. While the MPS III group experienced the highest frequency of pain (52.9 %), 50 % of patients with an intellectual disability seemed to experience pain, versus 30 % of patients with a normal intelligence. MPS patients scored much lower (i.e., more pain) than a random sample of the Dutch population on the bodily pain domain of the SF-36 scale and the PedsQl.\\n\\nCONCLUSION: With or without intellectual disabilities, many MPS patients experience pain. We recommend that standardized pain assessments are included in the regular follow-up program of patients with MPS.", "author" : [ { "dropping-particle" : "", "family" : "Brands", "given" : "Marion M G", "non-dropping-particle" : "", "parse-names" : false, "suffix" : "" }, { "dropping-particle" : "", "family" : "G\u00fcng\u00f6r", "given" : "Deniz", "non-dropping-particle" : "", "parse-names" : false, "suffix" : "" }, { "dropping-particle" : "", "family" : "Hout", "given" : "Johanna M P", "non-dropping-particle" : "van den", "parse-names" : false, "suffix" : "" }, { "dropping-particle" : "", "family" : "Karstens", "given" : "Francois P J", "non-dropping-particle" : "", "parse-names" : false, "suffix" : "" }, { "dropping-particle" : "", "family" : "Oussoren", "given" : "Esmee", "non-dropping-particle" : "", "parse-names" : false, "suffix" : "" }, { "dropping-particle" : "", "family" : "Plug", "given" : "Iris", "non-dropping-particle" : "", "parse-names" : false, "suffix" : "" }, { "dropping-particle" : "", "family" : "Boelens", "given" : "Jaap Jan", "non-dropping-particle" : "", "parse-names" : false, "suffix" : "" }, { "dropping-particle" : "", "family" : "Hasselt", "given" : "Peter M.", "non-dropping-particle" : "van", "parse-names" : false, "suffix" : "" }, { "dropping-particle" : "", "family" : "Hollak", "given" : "Carla E M", "non-dropping-particle" : "", "parse-names" : false, "suffix" : "" }, { "dropping-particle" : "", "family" : "Mulder", "given" : "Margot F.", "non-dropping-particle" : "", "parse-names" : false, "suffix" : "" }, { "dropping-particle" : "", "family" : "Gozalbo", "given" : "Estela Rubio", "non-dropping-particle" : "", "parse-names" : false, "suffix" : "" }, { "dropping-particle" : "", "family" : "Smeitink", "given" : "Jan A.", "non-dropping-particle" : "", "parse-names" : false, "suffix" : "" }, { "dropping-particle" : "", "family" : "Smit", "given" : "G. Peter A", "non-dropping-particle" : "", "parse-names" : false, "suffix" : "" }, { "dropping-particle" : "", "family" : "Wijburg", "given" : "Frits A.", "non-dropping-particle" : "", "parse-names" : false, "suffix" : "" }, { "dropping-particle" : "", "family" : "Meutgeert", "given" : "Hanka", "non-dropping-particle" : "", "parse-names" : false, "suffix" : "" }, { "dropping-particle" : "", "family" : "Ploeg", "given" : "Ans T.", "non-dropping-particle" : "van der", "parse-names" : false, "suffix" : "" } ], "container-title" : "Journal of Inherited Metabolic Disease", "id" : "ITEM-1", "issue" : "2", "issued" : { "date-parts" : [ [ "2015" ] ] }, "page" : "323-331", "title" : "Pain: a prevalent feature in patients with mucopolysaccharidosis. Results of a cross-sectional national survey", "type" : "article-journal", "volume" : "38" }, "uris" : [ "http://www.mendeley.com/documents/?uuid=cdd25880-97d6-4726-89b5-ca089c99d649" ] }, { "id" : "ITEM-2", "itemData" : { "DOI" : "10.1016/j.ymgme.2013.03.004", "ISBN" : "1096-7192", "ISSN" : "10967192", "PMID" : "23541797", "abstract" : "Background: Sanfilippo disease, or Mucopolysaccharidosis type III (MPS III), is a lysosomal storage disorder and a member of the mucopolysaccharidoses (MPSs). MPS III is clinically characterized by progressive neurodegeneration. Skeletal disease is not felt to be an important clinical component in MPS III patients, unlike in the other MPSs. We conducted radiographic studies in a relatively large group of MPS III patients and detected a high prevalence of osteonecrosis of the femoral head (ONFH). Methods: Thirty-three patients were included in the study. All the patients underwent an X-ray of the pelvis (anteroposterior view). All the X-rays were evaluated by a single, blinded radiologist using a modified Ficat classification system for ONFH (the stages ranged from 0 to IV, with increasing stages signifying more severe abnormalities). Clinical symptoms possibly related to hip disease were recorded. The patients were divided into different phenotypes based on mutational analysis and their plasma heparan sulfate (HS) levels. Results: In 21 of the 33 patients, the disease severity could be predicted by genotype. In 11 of the 12 remaining patients, the phenotype could be assessed via the plasma HS levels. Eight patients (24%) exhibited signs of ONFH (Ficat stage ??? I), and 6 (75%) of them had bilateral changes. None of the patients with attenuated MPS III (n = 14) had ONFH. In 6 of the patients with a severe phenotype, hip dysplasia was detected as an additional finding. The 7 patients with Ficat stages ??? II reported hip pain. Conclusions: Femoral head disease, which resembles ONFH, is common in patients with the severe MPS III phenotype. An evaluation of hip disease should be included in follow-up visits with MPS III patients. ?? 2013 Elsevier Inc.", "author" : [ { "dropping-particle" : "", "family" : "Ruijter", "given" : "Jessica", "non-dropping-particle" : "", "parse-names" : false, "suffix" : "" }, { "dropping-particle" : "", "family" : "Maas", "given" : "Mario", "non-dropping-particle" : "", "parse-names" : false, "suffix" : "" }, { "dropping-particle" : "", "family" : "Janssen", "given" : "Anneloes", "non-dropping-particle" : "", "parse-names" : false, "suffix" : "" }, { "dropping-particle" : "", "family" : "Wijburg", "given" : "Frits A.", "non-dropping-particle" : "", "parse-names" : false, "suffix" : "" } ], "container-title" : "Molecular Genetics and Metabolism", "id" : "ITEM-2", "issue" : "1", "issued" : { "date-parts" : [ [ "2013" ] ] }, "page" : "49-53", "publisher" : "Elsevier Inc.", "title" : "High prevalence of femoral head necrosis in Mucopolysaccharidosis type III (Sanfilippo disease): A national, observational, cross-sectional study", "type" : "article-journal", "volume" : "109" }, "uris" : [ "http://www.mendeley.com/documents/?uuid=1bc8cfb6-3103-4126-a797-0c2b60a62aa4" ] } ], "mendeley" : { "formattedCitation" : "&lt;sup&gt;33,55&lt;/sup&gt;", "plainTextFormattedCitation" : "33,55", "previouslyFormattedCitation" : "&lt;sup&gt;33,55&lt;/sup&gt;"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33,55</w:t>
      </w:r>
      <w:r w:rsidRPr="003F585B">
        <w:rPr>
          <w:rFonts w:ascii="Arial" w:hAnsi="Arial" w:cs="Arial"/>
          <w:sz w:val="24"/>
          <w:szCs w:val="24"/>
        </w:rPr>
        <w:fldChar w:fldCharType="end"/>
      </w:r>
      <w:r w:rsidRPr="003F585B">
        <w:rPr>
          <w:rFonts w:ascii="Arial" w:hAnsi="Arial" w:cs="Arial"/>
          <w:sz w:val="24"/>
          <w:szCs w:val="24"/>
        </w:rPr>
        <w:t>. No entanto, a condição de demência, presente em alguns fenótipos de MPS, pode contribuir para a</w:t>
      </w:r>
      <w:r w:rsidR="00EE7548">
        <w:rPr>
          <w:rFonts w:ascii="Arial" w:hAnsi="Arial" w:cs="Arial"/>
          <w:sz w:val="24"/>
          <w:szCs w:val="24"/>
        </w:rPr>
        <w:t xml:space="preserve"> subestimação d</w:t>
      </w:r>
      <w:r w:rsidRPr="003F585B">
        <w:rPr>
          <w:rFonts w:ascii="Arial" w:hAnsi="Arial" w:cs="Arial"/>
          <w:sz w:val="24"/>
          <w:szCs w:val="24"/>
        </w:rPr>
        <w:t>a dor nesta população</w:t>
      </w:r>
      <w:r w:rsidR="00D13529">
        <w:rPr>
          <w:rFonts w:ascii="Arial" w:hAnsi="Arial" w:cs="Arial"/>
          <w:sz w:val="24"/>
          <w:szCs w:val="24"/>
        </w:rPr>
        <w:t>.</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"10.1007/s10545-014-9737-0", "ISBN" : "1573-2665; 0141-8955", "ISSN" : "15732665", "PMID" : "25048386", "abstract" : "BACKGROUND: While clinical observations suggest that many patients with mucopolysaccharidosis (MPS) experience chronic pain, few studies have assessed its extent and impact. We therefore investigated its prevalence in patients with all types of MPS in the Netherlands. We also examined the association between pain and health related quality of life (HRQoL) and other clinical variables.\\n\\nMETHODS: We conducted a nationwide MPS survey that used questionnaires on MPS and disease-related symptoms (MPS-specific questionnaire), developmental level (Vineland Screener 0-6 years), quality of life (PedsQl and SF-36), and disability (Childhood Health Assessment Questionnaire). Depending on their age and developmental level, patients or their parents were asked to assess pain by keeping a pain diary for five consecutive days: either the Non-communicating Children's Pain Checklist - Revised (3-18 years intellectually disabled and children &lt;8 years), the VAS-score (&gt; 18 years), or the Faces Pain Scale - Revised (8-18 years).\\n\\nRESULTS: Eighty-nine MPS patients were invited, 55 of whom agreed to participate (response rate 62 %; median age 10.9 years, range 2.9-47.2 years). They covered a wide spectrum in all age groups, ranging from no pain to severe pain. Forty percent scored above the cut-off value for pain. Most reported pain sites were the back and hips. While the MPS III group experienced the highest frequency of pain (52.9 %), 50 % of patients with an intellectual disability seemed to experience pain, versus 30 % of patients with a normal intelligence. MPS patients scored much lower (i.e., more pain) than a random sample of the Dutch population on the bodily pain domain of the SF-36 scale and the PedsQl.\\n\\nCONCLUSION: With or without intellectual disabilities, many MPS patients experience pain. We recommend that standardized pain assessments are included in the regular follow-up program of patients with MPS.", "author" : [ { "dropping-particle" : "", "family" : "Brands", "given" : "Marion M G", "non-dropping-particle" : "", "parse-names" : false, "suffix" : "" }, { "dropping-particle" : "", "family" : "G\u00fcng\u00f6r", "given" : "Deniz", "non-dropping-particle" : "", "parse-names" : false, "suffix" : "" }, { "dropping-particle" : "", "family" : "Hout", "given" : "Johanna M P", "non-dropping-particle" : "van den", "parse-names" : false, "suffix" : "" }, { "dropping-particle" : "", "family" : "Karstens", "given" : "Francois P J", "non-dropping-particle" : "", "parse-names" : false, "suffix" : "" }, { "dropping-particle" : "", "family" : "Oussoren", "given" : "Esmee", "non-dropping-particle" : "", "parse-names" : false, "suffix" : "" }, { "dropping-particle" : "", "family" : "Plug", "given" : "Iris", "non-dropping-particle" : "", "parse-names" : false, "suffix" : "" }, { "dropping-particle" : "", "family" : "Boelens", "given" : "Jaap Jan", "non-dropping-particle" : "", "parse-names" : false, "suffix" : "" }, { "dropping-particle" : "", "family" : "Hasselt", "given" : "Peter M.", "non-dropping-particle" : "van", "parse-names" : false, "suffix" : "" }, { "dropping-particle" : "", "family" : "Hollak", "given" : "Carla E M", "non-dropping-particle" : "", "parse-names" : false, "suffix" : "" }, { "dropping-particle" : "", "family" : "Mulder", "given" : "Margot F.", "non-dropping-particle" : "", "parse-names" : false, "suffix" : "" }, { "dropping-particle" : "", "family" : "Gozalbo", "given" : "Estela Rubio", "non-dropping-particle" : "", "parse-names" : false, "suffix" : "" }, { "dropping-particle" : "", "family" : "Smeitink", "given" : "Jan A.", "non-dropping-particle" : "", "parse-names" : false, "suffix" : "" }, { "dropping-particle" : "", "family" : "Smit", "given" : "G. Peter A", "non-dropping-particle" : "", "parse-names" : false, "suffix" : "" }, { "dropping-particle" : "", "family" : "Wijburg", "given" : "Frits A.", "non-dropping-particle" : "", "parse-names" : false, "suffix" : "" }, { "dropping-particle" : "", "family" : "Meutgeert", "given" : "Hanka", "non-dropping-particle" : "", "parse-names" : false, "suffix" : "" }, { "dropping-particle" : "", "family" : "Ploeg", "given" : "Ans T.", "non-dropping-particle" : "van der", "parse-names" : false, "suffix" : "" } ], "container-title" : "Journal of Inherited Metabolic Disease", "id" : "ITEM-1", "issue" : "2", "issued" : { "date-parts" : [ [ "2015" ] ] }, "page" : "323-331", "title" : "Pain: a prevalent feature in patients with mucopolysaccharidosis. Results of a cross-sectional national survey", "type" : "article-journal", "volume" : "38" }, "uris" : [ "http://www.mendeley.com/documents/?uuid=cdd25880-97d6-4726-89b5-ca089c99d649" ] }, { "id" : "ITEM-2", "itemData" : { "DOI" : "10.1016/j.otorri.2011.05.003", "ISSN" : "00016519", "author" : [ { "dropping-particle" : "", "family" : "Santos", "given" : "Saturnino", "non-dropping-particle" : "", "parse-names" : false, "suffix" : "" }, { "dropping-particle" : "", "family" : "L\u00f3pez", "given" : "Laura", "non-dropping-particle" : "", "parse-names" : false, "suffix" : "" }, { "dropping-particle" : "", "family" : "Gonz\u00e1lez", "given" : "Luis", "non-dropping-particle" : "", "parse-names" : false, "suffix" : "" }, { "dropping-particle" : "", "family" : "Dom\u00ednguez", "given" : "M. Jes\u00fas", "non-dropping-particle" : "", "parse-names" : false, "suffix" : "" } ], "container-title" : "Acta Otorrinolaringol\u00f3gica Espa\u00f1ola", "id" : "ITEM-2", "issue" : "6", "issued" : { "date-parts" : [ [ "2011" ] ] }, "page" : "411-417", "title" : "Hipoacusia y problemas de v\u00eda a\u00e9rea en ni\u00f1os con mucopolisacaridosis", "type" : "article-journal", "volume" : "62" }, "uris" : [ "http://www.mendeley.com/documents/?uuid=7cacc730-06a2-42a1-b91b-cfb947b16804" ] } ], "mendeley" : { "formattedCitation" : "&lt;sup&gt;33,36&lt;/sup&gt;", "plainTextFormattedCitation" : "33,36", "previouslyFormattedCitation" : "&lt;sup&gt;33,36&lt;/sup&gt;"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33,36</w:t>
      </w:r>
      <w:r w:rsidRPr="003F585B">
        <w:rPr>
          <w:rFonts w:ascii="Arial" w:hAnsi="Arial" w:cs="Arial"/>
          <w:sz w:val="24"/>
          <w:szCs w:val="24"/>
        </w:rPr>
        <w:fldChar w:fldCharType="end"/>
      </w:r>
    </w:p>
    <w:p w:rsidR="00A62F69" w:rsidRDefault="00A62F69" w:rsidP="00491682">
      <w:pPr>
        <w:spacing w:after="0" w:line="360" w:lineRule="auto"/>
        <w:jc w:val="both"/>
        <w:rPr>
          <w:rFonts w:ascii="Arial" w:hAnsi="Arial" w:cs="Arial"/>
          <w:sz w:val="24"/>
          <w:szCs w:val="24"/>
        </w:rPr>
      </w:pPr>
    </w:p>
    <w:p w:rsidR="00EB34BF" w:rsidRDefault="00EB34BF" w:rsidP="00491682">
      <w:pPr>
        <w:spacing w:after="0" w:line="360" w:lineRule="auto"/>
        <w:jc w:val="both"/>
        <w:rPr>
          <w:rFonts w:ascii="Arial" w:hAnsi="Arial" w:cs="Arial"/>
          <w:sz w:val="24"/>
          <w:szCs w:val="24"/>
        </w:rPr>
      </w:pPr>
      <w:r>
        <w:rPr>
          <w:rFonts w:ascii="Arial" w:hAnsi="Arial" w:cs="Arial"/>
          <w:sz w:val="24"/>
          <w:szCs w:val="24"/>
        </w:rPr>
        <w:t xml:space="preserve">A apresentação </w:t>
      </w:r>
      <w:r w:rsidR="00A73FD0">
        <w:rPr>
          <w:rFonts w:ascii="Arial" w:hAnsi="Arial" w:cs="Arial"/>
          <w:sz w:val="24"/>
          <w:szCs w:val="24"/>
        </w:rPr>
        <w:t xml:space="preserve">clínica </w:t>
      </w:r>
      <w:r>
        <w:rPr>
          <w:rFonts w:ascii="Arial" w:hAnsi="Arial" w:cs="Arial"/>
          <w:sz w:val="24"/>
          <w:szCs w:val="24"/>
        </w:rPr>
        <w:t>das manifestações somáticas e neurológicas é variável e depende da intensidade da deficiência enzimática, da concentração de GAG</w:t>
      </w:r>
      <w:r w:rsidR="00EB492D">
        <w:rPr>
          <w:rFonts w:ascii="Arial" w:hAnsi="Arial" w:cs="Arial"/>
          <w:sz w:val="24"/>
          <w:szCs w:val="24"/>
        </w:rPr>
        <w:t>s</w:t>
      </w:r>
      <w:r>
        <w:rPr>
          <w:rFonts w:ascii="Arial" w:hAnsi="Arial" w:cs="Arial"/>
          <w:sz w:val="24"/>
          <w:szCs w:val="24"/>
        </w:rPr>
        <w:t xml:space="preserve"> armazenad</w:t>
      </w:r>
      <w:r w:rsidR="00FF7D71">
        <w:rPr>
          <w:rFonts w:ascii="Arial" w:hAnsi="Arial" w:cs="Arial"/>
          <w:sz w:val="24"/>
          <w:szCs w:val="24"/>
        </w:rPr>
        <w:t>os nos tecidos e do tipo de MPS. Além disto,</w:t>
      </w:r>
      <w:r>
        <w:rPr>
          <w:rFonts w:ascii="Arial" w:hAnsi="Arial" w:cs="Arial"/>
          <w:sz w:val="24"/>
          <w:szCs w:val="24"/>
        </w:rPr>
        <w:t xml:space="preserve"> </w:t>
      </w:r>
      <w:r w:rsidR="00FF7D71">
        <w:rPr>
          <w:rFonts w:ascii="Arial" w:hAnsi="Arial" w:cs="Arial"/>
          <w:sz w:val="24"/>
          <w:szCs w:val="24"/>
        </w:rPr>
        <w:t xml:space="preserve">essas alterações </w:t>
      </w:r>
      <w:r>
        <w:rPr>
          <w:rFonts w:ascii="Arial" w:hAnsi="Arial" w:cs="Arial"/>
          <w:sz w:val="24"/>
          <w:szCs w:val="24"/>
        </w:rPr>
        <w:t>interfer</w:t>
      </w:r>
      <w:r w:rsidR="00FF7D71">
        <w:rPr>
          <w:rFonts w:ascii="Arial" w:hAnsi="Arial" w:cs="Arial"/>
          <w:sz w:val="24"/>
          <w:szCs w:val="24"/>
        </w:rPr>
        <w:t>em</w:t>
      </w:r>
      <w:r>
        <w:rPr>
          <w:rFonts w:ascii="Arial" w:hAnsi="Arial" w:cs="Arial"/>
          <w:sz w:val="24"/>
          <w:szCs w:val="24"/>
        </w:rPr>
        <w:t xml:space="preserve"> diretamente na progressão da doença</w:t>
      </w:r>
      <w:r w:rsidR="00FF7D71">
        <w:rPr>
          <w:rFonts w:ascii="Arial" w:hAnsi="Arial" w:cs="Arial"/>
          <w:sz w:val="24"/>
          <w:szCs w:val="24"/>
        </w:rPr>
        <w:t>.</w:t>
      </w:r>
      <w:r>
        <w:rPr>
          <w:rFonts w:ascii="Arial" w:hAnsi="Arial" w:cs="Arial"/>
          <w:sz w:val="24"/>
          <w:szCs w:val="24"/>
        </w:rPr>
        <w:fldChar w:fldCharType="begin" w:fldLock="1"/>
      </w:r>
      <w:r w:rsidR="00195481">
        <w:rPr>
          <w:rFonts w:ascii="Arial" w:hAnsi="Arial" w:cs="Arial"/>
          <w:sz w:val="24"/>
          <w:szCs w:val="24"/>
        </w:rPr>
        <w:instrText>ADDIN CSL_CITATION { "citationItems" : [ { "id" : "ITEM-1", "itemData" : { "author" : [ { "dropping-particle" : "", "family" : "Rossier", "given" : "Viviane Ferreira", "non-dropping-particle" : "", "parse-names" : false, "suffix" : "" }, { "dropping-particle" : "", "family" : "Guar\u00e9", "given" : "Renata de Oliveira", "non-dropping-particle" : "", "parse-names" : false, "suffix" : "" }, { "dropping-particle" : "", "family" : "Haddad", "given" : "A\u00edda Sabbagh", "non-dropping-particle" : "", "parse-names" : false, "suffix" : "" }, { "dropping-particle" : "", "family" : "Ciamponi", "given" : "Ana L\u00eddia", "non-dropping-particle" : "", "parse-names" : false, "suffix" : "" } ], "container-title" : "JBP - Rev Ibero-am Odontopediatr Odontol Beb\u00ea", "id" : "ITEM-1", "issue" : "38", "issued" : { "date-parts" : [ [ "2004" ] ] }, "page" : "326-334", "title" : "Mucopolissacaridose Tipo III ( S\u00edndrome de Sanfilippo ) \u2013 Revis\u00e3o e Relato de Casos Cl\u00ednicos", "type" : "article-journal", "volume" : "7" }, "uris" : [ "http://www.mendeley.com/documents/?uuid=13420338-fdf5-4132-b928-599e0588b28a" ] }, { "id" : "ITEM-2", "itemData" : { "DOI" : "10.1186/1546-0096-12-32", "ISSN" : "1546-0096", "PMID" : "25110468", "abstract" : "BACKGROUND: Children with mucopolysaccharidoses (MPS) often have musculoskeletal (MSK) abnormalities. Paediatric Gait, Arms, Legs, and Spine (pGALS), is a simple MSK assessment validated in school-age children to detect abnormal joints. We aimed to identify MSK abnormalities in children with MPS performing pGALS.\\n\\nMETHODS: Videos of children with a spectrum of MPS performing pGALS were analysed. A piloted proforma to record abnormalities for each pGALS manoeuvre observed in the videos (scored as normal/abnormal/not assessable) was used by three observers blinded to MPS subtype. Videos were scored independently and rescored for intra- and inter-observer consistency. Data were pooled and analysed.\\n\\nRESULTS: Eighteen videos of children [12 boys, 6 girls, median age 11 years (4-19)] with MPS (13 type I [5 Hurler, 8 attenuated type I]; 4 type II; 1 mannosidosis) were assessed. The most common abnormalities detected using pGALS were restrictions of the shoulder, elbow, wrist, jaw (&gt;75% cases), and fingers (2/3 cases). Mean intra-observer \u039a 0.74 (range 0.65-0.88) and inter-observer \u039a 0.62 (range 0.51-0.77). Hip manoeuvres were not clearly demonstrated in the videos.\\n\\nCONCLUSIONS: In this observational study, pGALS identifies MSK abnormalities in children with MPS. Restricted joint movement (especially upper limb) was a consistent finding. Future work includes pGALS assessment of the hip and testing pGALS in further children with attenuated MPS type I. The use of pGALS and awareness of patterns of joint involvement may be a useful adjunct to facilitate earlier recognition of these rare conditions and ultimately access to specialist care.", "author" : [ { "dropping-particle" : "", "family" : "Chan", "given" : "Mercedes O", "non-dropping-particle" : "", "parse-names" : false, "suffix" : "" }, { "dropping-particle" : "", "family" : "Sen", "given" : "Ethan S", "non-dropping-particle" : "", "parse-names" : false, "suffix" : "" }, { "dropping-particle" : "", "family" : "Hardy", "given" : "Elizabeth", "non-dropping-particle" : "", "parse-names" : false, "suffix" : "" }, { "dropping-particle" : "", "family" : "Hensman", "given" : "Pauline", "non-dropping-particle" : "", "parse-names" : false, "suffix" : "" }, { "dropping-particle" : "", "family" : "Wraith", "given" : "Edmond", "non-dropping-particle" : "", "parse-names" : false, "suffix" : "" }, { "dropping-particle" : "", "family" : "Jones", "given" : "Simon", "non-dropping-particle" : "", "parse-names" : false, "suffix" : "" }, { "dropping-particle" : "", "family" : "Rapley", "given" : "Tim", "non-dropping-particle" : "", "parse-names" : false, "suffix" : "" }, { "dropping-particle" : "", "family" : "Foster", "given" : "Helen E", "non-dropping-particle" : "", "parse-names" : false, "suffix" : "" } ], "container-title" : "Pediatric rheumatology online journal", "id" : "ITEM-2", "issue" : "32", "issued" : { "date-parts" : [ [ "2014" ] ] }, "page" : "1-9", "title" : "Assessment of musculoskeletal abnormalities in children with mucopolysaccharidoses using pGALS.", "type" : "article-journal", "volume" : "12" }, "uris" : [ "http://www.mendeley.com/documents/?uuid=bdf88c63-89a0-4de5-baa7-b0b8491d126a" ] }, { "id" : "ITEM-3", "itemData" : { "DOI" : "10.1016/j.otorri.2011.05.003", "ISSN" : "00016519", "author" : [ { "dropping-particle" : "", "family" : "Santos", "given" : "Saturnino", "non-dropping-particle" : "", "parse-names" : false, "suffix" : "" }, { "dropping-particle" : "", "family" : "L\u00f3pez", "given" : "Laura", "non-dropping-particle" : "", "parse-names" : false, "suffix" : "" }, { "dropping-particle" : "", "family" : "Gonz\u00e1lez", "given" : "Luis", "non-dropping-particle" : "", "parse-names" : false, "suffix" : "" }, { "dropping-particle" : "", "family" : "Dom\u00ednguez", "given" : "M. Jes\u00fas", "non-dropping-particle" : "", "parse-names" : false, "suffix" : "" } ], "container-title" : "Acta Otorrinolaringol\u00f3gica Espa\u00f1ola", "id" : "ITEM-3", "issue" : "6", "issued" : { "date-parts" : [ [ "2011" ] ] }, "page" : "411-417", "title" : "Hipoacusia y problemas de v\u00eda a\u00e9rea en ni\u00f1os con mucopolisacaridosis", "type" : "article-journal", "volume" : "62" }, "uris" : [ "http://www.mendeley.com/documents/?uuid=7cacc730-06a2-42a1-b91b-cfb947b16804" ] } ], "mendeley" : { "formattedCitation" : "&lt;sup&gt;7,36,58&lt;/sup&gt;", "plainTextFormattedCitation" : "7,36,58", "previouslyFormattedCitation" : "&lt;sup&gt;7,36,58&lt;/sup&gt;" }, "properties" : { "noteIndex" : 0 }, "schema" : "https://github.com/citation-style-language/schema/raw/master/csl-citation.json" }</w:instrText>
      </w:r>
      <w:r>
        <w:rPr>
          <w:rFonts w:ascii="Arial" w:hAnsi="Arial" w:cs="Arial"/>
          <w:sz w:val="24"/>
          <w:szCs w:val="24"/>
        </w:rPr>
        <w:fldChar w:fldCharType="separate"/>
      </w:r>
      <w:r w:rsidR="00412B48" w:rsidRPr="00412B48">
        <w:rPr>
          <w:rFonts w:ascii="Arial" w:hAnsi="Arial" w:cs="Arial"/>
          <w:noProof/>
          <w:sz w:val="24"/>
          <w:szCs w:val="24"/>
          <w:vertAlign w:val="superscript"/>
        </w:rPr>
        <w:t>7,36,58</w:t>
      </w:r>
      <w:r>
        <w:rPr>
          <w:rFonts w:ascii="Arial" w:hAnsi="Arial" w:cs="Arial"/>
          <w:sz w:val="24"/>
          <w:szCs w:val="24"/>
        </w:rPr>
        <w:fldChar w:fldCharType="end"/>
      </w:r>
      <w:r>
        <w:rPr>
          <w:rFonts w:ascii="Arial" w:hAnsi="Arial" w:cs="Arial"/>
          <w:sz w:val="24"/>
          <w:szCs w:val="24"/>
        </w:rPr>
        <w:t xml:space="preserve"> A literatura consultada</w:t>
      </w:r>
      <w:r w:rsidR="00A90F8D">
        <w:rPr>
          <w:rFonts w:ascii="Arial" w:hAnsi="Arial" w:cs="Arial"/>
          <w:sz w:val="24"/>
          <w:szCs w:val="24"/>
        </w:rPr>
        <w:t xml:space="preserve"> para esta revisão </w:t>
      </w:r>
      <w:r w:rsidR="006E21EB">
        <w:rPr>
          <w:rFonts w:ascii="Arial" w:hAnsi="Arial" w:cs="Arial"/>
          <w:sz w:val="24"/>
          <w:szCs w:val="24"/>
        </w:rPr>
        <w:t>abrangeu</w:t>
      </w:r>
      <w:r>
        <w:rPr>
          <w:rFonts w:ascii="Arial" w:hAnsi="Arial" w:cs="Arial"/>
          <w:sz w:val="24"/>
          <w:szCs w:val="24"/>
        </w:rPr>
        <w:t xml:space="preserve"> estudos científicos </w:t>
      </w:r>
      <w:r w:rsidR="00A6466F">
        <w:rPr>
          <w:rFonts w:ascii="Arial" w:hAnsi="Arial" w:cs="Arial"/>
          <w:sz w:val="24"/>
          <w:szCs w:val="24"/>
        </w:rPr>
        <w:t xml:space="preserve">que </w:t>
      </w:r>
      <w:r w:rsidR="00A90F8D">
        <w:rPr>
          <w:rFonts w:ascii="Arial" w:hAnsi="Arial" w:cs="Arial"/>
          <w:sz w:val="24"/>
          <w:szCs w:val="24"/>
        </w:rPr>
        <w:t>evidenciar</w:t>
      </w:r>
      <w:r w:rsidR="003B3085">
        <w:rPr>
          <w:rFonts w:ascii="Arial" w:hAnsi="Arial" w:cs="Arial"/>
          <w:sz w:val="24"/>
          <w:szCs w:val="24"/>
        </w:rPr>
        <w:t>am</w:t>
      </w:r>
      <w:r w:rsidR="00A6466F">
        <w:rPr>
          <w:rFonts w:ascii="Arial" w:hAnsi="Arial" w:cs="Arial"/>
          <w:sz w:val="24"/>
          <w:szCs w:val="24"/>
        </w:rPr>
        <w:t xml:space="preserve"> </w:t>
      </w:r>
      <w:r>
        <w:rPr>
          <w:rFonts w:ascii="Arial" w:hAnsi="Arial" w:cs="Arial"/>
          <w:sz w:val="24"/>
          <w:szCs w:val="24"/>
        </w:rPr>
        <w:t>a ocorrência de</w:t>
      </w:r>
      <w:r w:rsidR="00FF7D71">
        <w:rPr>
          <w:rFonts w:ascii="Arial" w:hAnsi="Arial" w:cs="Arial"/>
          <w:sz w:val="24"/>
          <w:szCs w:val="24"/>
        </w:rPr>
        <w:t xml:space="preserve"> algumas dessas</w:t>
      </w:r>
      <w:r>
        <w:rPr>
          <w:rFonts w:ascii="Arial" w:hAnsi="Arial" w:cs="Arial"/>
          <w:sz w:val="24"/>
          <w:szCs w:val="24"/>
        </w:rPr>
        <w:t xml:space="preserve"> manifestações </w:t>
      </w:r>
      <w:r w:rsidR="00FF7D71">
        <w:rPr>
          <w:rFonts w:ascii="Arial" w:hAnsi="Arial" w:cs="Arial"/>
          <w:sz w:val="24"/>
          <w:szCs w:val="24"/>
        </w:rPr>
        <w:t xml:space="preserve">em pacientes com MPS, conforme </w:t>
      </w:r>
      <w:r w:rsidR="00A90F8D">
        <w:rPr>
          <w:rFonts w:ascii="Arial" w:hAnsi="Arial" w:cs="Arial"/>
          <w:sz w:val="24"/>
          <w:szCs w:val="24"/>
        </w:rPr>
        <w:t>exposto</w:t>
      </w:r>
      <w:r w:rsidR="008908DC">
        <w:rPr>
          <w:rFonts w:ascii="Arial" w:hAnsi="Arial" w:cs="Arial"/>
          <w:sz w:val="24"/>
          <w:szCs w:val="24"/>
        </w:rPr>
        <w:t xml:space="preserve"> n</w:t>
      </w:r>
      <w:r w:rsidR="00FF7D71">
        <w:rPr>
          <w:rFonts w:ascii="Arial" w:hAnsi="Arial" w:cs="Arial"/>
          <w:sz w:val="24"/>
          <w:szCs w:val="24"/>
        </w:rPr>
        <w:t>o q</w:t>
      </w:r>
      <w:r w:rsidRPr="009937A7">
        <w:rPr>
          <w:rFonts w:ascii="Arial" w:hAnsi="Arial" w:cs="Arial"/>
          <w:sz w:val="24"/>
          <w:szCs w:val="24"/>
        </w:rPr>
        <w:t>uadro 2</w:t>
      </w:r>
      <w:r w:rsidRPr="003F585B">
        <w:rPr>
          <w:rFonts w:ascii="Arial" w:hAnsi="Arial" w:cs="Arial"/>
          <w:sz w:val="24"/>
          <w:szCs w:val="24"/>
        </w:rPr>
        <w:t>.</w:t>
      </w:r>
    </w:p>
    <w:p w:rsidR="00A62F69" w:rsidRDefault="00A62F69" w:rsidP="00491682">
      <w:pPr>
        <w:spacing w:after="0" w:line="360" w:lineRule="auto"/>
        <w:jc w:val="both"/>
        <w:rPr>
          <w:rFonts w:ascii="Arial" w:hAnsi="Arial" w:cs="Arial"/>
          <w:sz w:val="24"/>
          <w:szCs w:val="24"/>
        </w:rPr>
      </w:pPr>
    </w:p>
    <w:p w:rsidR="00911E5C" w:rsidRDefault="00911E5C" w:rsidP="00911E5C">
      <w:pPr>
        <w:pStyle w:val="EstiloDissertao"/>
      </w:pPr>
      <w:bookmarkStart w:id="9" w:name="_Toc494629431"/>
      <w:r w:rsidRPr="00911E5C">
        <w:rPr>
          <w:b/>
        </w:rPr>
        <w:t xml:space="preserve">Quadro </w:t>
      </w:r>
      <w:r w:rsidRPr="00911E5C">
        <w:rPr>
          <w:b/>
        </w:rPr>
        <w:fldChar w:fldCharType="begin"/>
      </w:r>
      <w:r w:rsidRPr="00911E5C">
        <w:rPr>
          <w:b/>
        </w:rPr>
        <w:instrText xml:space="preserve"> SEQ Quadro \* ARABIC </w:instrText>
      </w:r>
      <w:r w:rsidRPr="00911E5C">
        <w:rPr>
          <w:b/>
        </w:rPr>
        <w:fldChar w:fldCharType="separate"/>
      </w:r>
      <w:r w:rsidR="005E2BE9">
        <w:rPr>
          <w:b/>
          <w:noProof/>
        </w:rPr>
        <w:t>2</w:t>
      </w:r>
      <w:r w:rsidRPr="00911E5C">
        <w:rPr>
          <w:b/>
        </w:rPr>
        <w:fldChar w:fldCharType="end"/>
      </w:r>
      <w:r w:rsidRPr="00911E5C">
        <w:rPr>
          <w:b/>
        </w:rPr>
        <w:t xml:space="preserve"> –</w:t>
      </w:r>
      <w:r>
        <w:t xml:space="preserve"> </w:t>
      </w:r>
      <w:r w:rsidRPr="00EB6941">
        <w:t>Artigos evidenciando a ocorrência de manifestações clínicas em indivíduos acometidos por MPS.</w:t>
      </w:r>
      <w:bookmarkEnd w:id="9"/>
    </w:p>
    <w:tbl>
      <w:tblPr>
        <w:tblW w:w="9186" w:type="dxa"/>
        <w:tblInd w:w="113" w:type="dxa"/>
        <w:tblLayout w:type="fixed"/>
        <w:tblCellMar>
          <w:left w:w="113" w:type="dxa"/>
        </w:tblCellMar>
        <w:tblLook w:val="0000" w:firstRow="0" w:lastRow="0" w:firstColumn="0" w:lastColumn="0" w:noHBand="0" w:noVBand="0"/>
      </w:tblPr>
      <w:tblGrid>
        <w:gridCol w:w="2410"/>
        <w:gridCol w:w="3119"/>
        <w:gridCol w:w="3657"/>
      </w:tblGrid>
      <w:tr w:rsidR="00EB34BF" w:rsidRPr="00F0378E" w:rsidTr="00C75909">
        <w:trPr>
          <w:trHeight w:val="876"/>
        </w:trPr>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EB34BF" w:rsidRPr="00F0378E" w:rsidRDefault="00EB34BF" w:rsidP="00336BB5">
            <w:pPr>
              <w:spacing w:after="0" w:line="360" w:lineRule="auto"/>
              <w:jc w:val="center"/>
              <w:rPr>
                <w:rFonts w:ascii="Arial" w:hAnsi="Arial" w:cs="Arial"/>
                <w:sz w:val="20"/>
                <w:szCs w:val="20"/>
              </w:rPr>
            </w:pPr>
          </w:p>
          <w:p w:rsidR="00EB34BF" w:rsidRPr="00F0378E" w:rsidRDefault="00EB34BF" w:rsidP="00336BB5">
            <w:pPr>
              <w:spacing w:after="0" w:line="360" w:lineRule="auto"/>
              <w:jc w:val="center"/>
              <w:rPr>
                <w:rFonts w:ascii="Arial" w:hAnsi="Arial" w:cs="Arial"/>
                <w:sz w:val="20"/>
                <w:szCs w:val="20"/>
              </w:rPr>
            </w:pPr>
            <w:r w:rsidRPr="00F0378E">
              <w:rPr>
                <w:rFonts w:ascii="Arial" w:hAnsi="Arial" w:cs="Arial"/>
                <w:b/>
                <w:sz w:val="20"/>
                <w:szCs w:val="20"/>
              </w:rPr>
              <w:t>Autor / Ano de publicação</w:t>
            </w: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EB34BF" w:rsidRPr="00F0378E" w:rsidRDefault="00EB34BF" w:rsidP="00336BB5">
            <w:pPr>
              <w:spacing w:after="0" w:line="240" w:lineRule="auto"/>
              <w:jc w:val="center"/>
              <w:rPr>
                <w:rFonts w:ascii="Arial" w:hAnsi="Arial" w:cs="Arial"/>
                <w:sz w:val="20"/>
                <w:szCs w:val="20"/>
              </w:rPr>
            </w:pPr>
          </w:p>
          <w:p w:rsidR="00EB34BF" w:rsidRPr="00F0378E" w:rsidRDefault="00EB34BF" w:rsidP="00336BB5">
            <w:pPr>
              <w:spacing w:after="0" w:line="240" w:lineRule="auto"/>
              <w:jc w:val="center"/>
              <w:rPr>
                <w:rFonts w:ascii="Arial" w:hAnsi="Arial" w:cs="Arial"/>
                <w:sz w:val="20"/>
                <w:szCs w:val="20"/>
              </w:rPr>
            </w:pPr>
            <w:r w:rsidRPr="00F0378E">
              <w:rPr>
                <w:rFonts w:ascii="Arial" w:hAnsi="Arial" w:cs="Arial"/>
                <w:b/>
                <w:sz w:val="20"/>
                <w:szCs w:val="20"/>
              </w:rPr>
              <w:t>Título</w:t>
            </w:r>
          </w:p>
        </w:tc>
        <w:tc>
          <w:tcPr>
            <w:tcW w:w="3657" w:type="dxa"/>
            <w:tcBorders>
              <w:top w:val="single" w:sz="4" w:space="0" w:color="00000A"/>
              <w:left w:val="single" w:sz="4" w:space="0" w:color="00000A"/>
              <w:bottom w:val="single" w:sz="4" w:space="0" w:color="00000A"/>
              <w:right w:val="single" w:sz="4" w:space="0" w:color="00000A"/>
            </w:tcBorders>
            <w:shd w:val="clear" w:color="auto" w:fill="auto"/>
          </w:tcPr>
          <w:p w:rsidR="00EB34BF" w:rsidRPr="00F0378E" w:rsidRDefault="00EB34BF" w:rsidP="00336BB5">
            <w:pPr>
              <w:spacing w:after="0" w:line="240" w:lineRule="auto"/>
              <w:jc w:val="center"/>
              <w:rPr>
                <w:rFonts w:ascii="Arial" w:hAnsi="Arial" w:cs="Arial"/>
                <w:sz w:val="20"/>
                <w:szCs w:val="20"/>
              </w:rPr>
            </w:pPr>
          </w:p>
          <w:p w:rsidR="00EB34BF" w:rsidRPr="00F0378E" w:rsidRDefault="00EB34BF" w:rsidP="00336BB5">
            <w:pPr>
              <w:spacing w:after="0" w:line="240" w:lineRule="auto"/>
              <w:jc w:val="center"/>
              <w:rPr>
                <w:rFonts w:ascii="Arial" w:hAnsi="Arial" w:cs="Arial"/>
                <w:sz w:val="20"/>
                <w:szCs w:val="20"/>
              </w:rPr>
            </w:pPr>
            <w:r w:rsidRPr="00F0378E">
              <w:rPr>
                <w:rFonts w:ascii="Arial" w:hAnsi="Arial" w:cs="Arial"/>
                <w:b/>
                <w:sz w:val="20"/>
                <w:szCs w:val="20"/>
              </w:rPr>
              <w:t>Objetivo</w:t>
            </w:r>
          </w:p>
        </w:tc>
      </w:tr>
      <w:tr w:rsidR="00EB34BF" w:rsidRPr="00F0378E" w:rsidTr="00C75909">
        <w:trPr>
          <w:trHeight w:val="419"/>
        </w:trPr>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EB34BF" w:rsidRPr="00F0378E" w:rsidRDefault="00EB34BF" w:rsidP="00336BB5">
            <w:pPr>
              <w:spacing w:after="0" w:line="240" w:lineRule="auto"/>
              <w:jc w:val="center"/>
              <w:rPr>
                <w:rFonts w:ascii="Arial" w:hAnsi="Arial" w:cs="Arial"/>
                <w:sz w:val="20"/>
                <w:szCs w:val="20"/>
              </w:rPr>
            </w:pPr>
          </w:p>
          <w:p w:rsidR="00EB34BF" w:rsidRPr="00F0378E" w:rsidRDefault="00EB34BF" w:rsidP="00412B48">
            <w:pPr>
              <w:spacing w:after="0" w:line="240" w:lineRule="auto"/>
              <w:jc w:val="center"/>
              <w:rPr>
                <w:rFonts w:ascii="Arial" w:hAnsi="Arial" w:cs="Arial"/>
                <w:sz w:val="20"/>
                <w:szCs w:val="20"/>
              </w:rPr>
            </w:pPr>
            <w:r w:rsidRPr="00F0378E">
              <w:rPr>
                <w:rFonts w:ascii="Arial" w:hAnsi="Arial" w:cs="Arial"/>
                <w:sz w:val="20"/>
                <w:szCs w:val="20"/>
              </w:rPr>
              <w:t>Turra GS, Schwartz IV. (2009)</w:t>
            </w:r>
            <w:r w:rsidRPr="00F0378E">
              <w:rPr>
                <w:rFonts w:ascii="Arial" w:hAnsi="Arial" w:cs="Arial"/>
                <w:sz w:val="20"/>
                <w:szCs w:val="20"/>
              </w:rPr>
              <w:fldChar w:fldCharType="begin" w:fldLock="1"/>
            </w:r>
            <w:r w:rsidR="00195481">
              <w:rPr>
                <w:rFonts w:ascii="Arial" w:hAnsi="Arial" w:cs="Arial"/>
                <w:sz w:val="20"/>
                <w:szCs w:val="20"/>
              </w:rPr>
              <w:instrText>ADDIN CSL_CITATION { "citationItems" : [ { "id" : "ITEM-1", "itemData" : { "DOI" : "doi:10.2223/JPED.1899 [doi]", "ISBN" : "1678-4782 (Electronic)\\r0021-7557 (Linking)", "ISSN" : "1678-4782; 0021-7557", "PMID" : "19492172", "abstract" : "OBJECTIVES: To characterize the stomatognathic system and stomatognathic functions in patients with mucopolysaccharidosis. METHODS: Cross-sectional and observational study of patients with mucopolysaccharidosis seen at the outpatient clinic at the Medical Genetics Service of Hospital de Clinicas de Porto Alegre. The inclusion criteria were the existence of a biochemical or molecular diagnosis of any type of mucopolysaccharidosis and the agreement to participate in the study by signing an informed consent form. Seventy-eight patients were evaluated through phonoaudiological anamnesis and physical exam. RESULTS: Alterations in at least one item of each structure of the stomatognathic system or stomatognathic function were found in all patients who allowed evaluation of both items on physical examination (n = 76/78). The most frequently compromised structures and functions were respectively the dental arch and the tongue, swallowing and mastication. The only statistically significant difference found between types of mucopolysaccharidosis involved the habitual position of the tongue between the teeth (most frequent in mucopolysaccharidosis VI). Among patients with mucopolysaccharidosis I, II or VI who underwent enzyme replacement therapy or not, there was statistically significant difference in oral breathing mode (more frequent in the group without enzyme replacement therapy). CONCLUSIONS: Alterations in stomatognathic systems and functions are prevalent among individuals with mucopolysaccharidosis, even if enzyme replacement therapy is administered. Such finding suggests that speech therapy follow-up plays a major role in the treatment plan of this group of diseases; this hypothesis should be confirmed by additional studies.", "author" : [ { "dropping-particle" : "", "family" : "Turra", "given" : "G S", "non-dropping-particle" : "", "parse-names" : false, "suffix" : "" }, { "dropping-particle" : "V", "family" : "Schwartz", "given" : "I", "non-dropping-particle" : "", "parse-names" : false, "suffix" : "" } ], "container-title" : "Jornal de pediatria", "id" : "ITEM-1", "issue" : "3", "issued" : { "date-parts" : [ [ "2009" ] ] }, "page" : "254-260", "title" : "Evaluation of orofacial motricity in patients with mucopolysaccharidosis: a cross-sectional study", "type" : "article-journal", "volume" : "85" }, "uris" : [ "http://www.mendeley.com/documents/?uuid=0d9a1d2c-2c43-4cba-b8d5-0b08d3dbbc33" ] } ], "mendeley" : { "formattedCitation" : "&lt;sup&gt;59&lt;/sup&gt;", "plainTextFormattedCitation" : "59", "previouslyFormattedCitation" : "&lt;sup&gt;59&lt;/sup&gt;" }, "properties" : { "noteIndex" : 0 }, "schema" : "https://github.com/citation-style-language/schema/raw/master/csl-citation.json" }</w:instrText>
            </w:r>
            <w:r w:rsidRPr="00F0378E">
              <w:rPr>
                <w:rFonts w:ascii="Arial" w:hAnsi="Arial" w:cs="Arial"/>
                <w:sz w:val="20"/>
                <w:szCs w:val="20"/>
              </w:rPr>
              <w:fldChar w:fldCharType="separate"/>
            </w:r>
            <w:r w:rsidR="00412B48" w:rsidRPr="00412B48">
              <w:rPr>
                <w:rFonts w:ascii="Arial" w:hAnsi="Arial" w:cs="Arial"/>
                <w:noProof/>
                <w:sz w:val="20"/>
                <w:szCs w:val="20"/>
                <w:vertAlign w:val="superscript"/>
              </w:rPr>
              <w:t>59</w:t>
            </w:r>
            <w:r w:rsidRPr="00F0378E">
              <w:rPr>
                <w:rFonts w:ascii="Arial" w:hAnsi="Arial" w:cs="Arial"/>
                <w:sz w:val="20"/>
                <w:szCs w:val="20"/>
              </w:rPr>
              <w:fldChar w:fldCharType="end"/>
            </w: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EB34BF" w:rsidRPr="00FF1F37" w:rsidRDefault="00EB34BF" w:rsidP="00336BB5">
            <w:pPr>
              <w:spacing w:after="0" w:line="240" w:lineRule="auto"/>
              <w:jc w:val="both"/>
              <w:rPr>
                <w:rFonts w:ascii="Arial" w:hAnsi="Arial" w:cs="Arial"/>
                <w:sz w:val="20"/>
                <w:szCs w:val="20"/>
                <w:lang w:val="en-US"/>
              </w:rPr>
            </w:pPr>
          </w:p>
          <w:p w:rsidR="00EB34BF" w:rsidRPr="00FF1F37" w:rsidRDefault="00EB34BF" w:rsidP="00E012C6">
            <w:pPr>
              <w:spacing w:after="0" w:line="240" w:lineRule="auto"/>
              <w:jc w:val="both"/>
              <w:rPr>
                <w:rFonts w:ascii="Arial" w:hAnsi="Arial" w:cs="Arial"/>
                <w:sz w:val="20"/>
                <w:szCs w:val="20"/>
                <w:lang w:val="en-US"/>
              </w:rPr>
            </w:pPr>
            <w:r w:rsidRPr="00FF1F37">
              <w:rPr>
                <w:rFonts w:ascii="Arial" w:hAnsi="Arial" w:cs="Arial"/>
                <w:sz w:val="20"/>
                <w:szCs w:val="20"/>
                <w:lang w:val="en-US"/>
              </w:rPr>
              <w:t xml:space="preserve">Evaluation of </w:t>
            </w:r>
            <w:proofErr w:type="spellStart"/>
            <w:r w:rsidRPr="00FF1F37">
              <w:rPr>
                <w:rFonts w:ascii="Arial" w:hAnsi="Arial" w:cs="Arial"/>
                <w:sz w:val="20"/>
                <w:szCs w:val="20"/>
                <w:lang w:val="en-US"/>
              </w:rPr>
              <w:t>orofacial</w:t>
            </w:r>
            <w:proofErr w:type="spellEnd"/>
            <w:r w:rsidRPr="00FF1F37">
              <w:rPr>
                <w:rFonts w:ascii="Arial" w:hAnsi="Arial" w:cs="Arial"/>
                <w:sz w:val="20"/>
                <w:szCs w:val="20"/>
                <w:lang w:val="en-US"/>
              </w:rPr>
              <w:t xml:space="preserve"> </w:t>
            </w:r>
            <w:proofErr w:type="spellStart"/>
            <w:r w:rsidRPr="00FF1F37">
              <w:rPr>
                <w:rFonts w:ascii="Arial" w:hAnsi="Arial" w:cs="Arial"/>
                <w:sz w:val="20"/>
                <w:szCs w:val="20"/>
                <w:lang w:val="en-US"/>
              </w:rPr>
              <w:t>motricity</w:t>
            </w:r>
            <w:proofErr w:type="spellEnd"/>
            <w:r w:rsidRPr="00FF1F37">
              <w:rPr>
                <w:rFonts w:ascii="Arial" w:hAnsi="Arial" w:cs="Arial"/>
                <w:sz w:val="20"/>
                <w:szCs w:val="20"/>
                <w:lang w:val="en-US"/>
              </w:rPr>
              <w:t xml:space="preserve"> in patients with mucopolysaccharidosis: a cross-sectional study</w:t>
            </w:r>
          </w:p>
          <w:p w:rsidR="00E012C6" w:rsidRPr="00FF1F37" w:rsidRDefault="00E012C6" w:rsidP="00E012C6">
            <w:pPr>
              <w:spacing w:after="0" w:line="240" w:lineRule="auto"/>
              <w:jc w:val="both"/>
              <w:rPr>
                <w:rFonts w:ascii="Arial" w:hAnsi="Arial" w:cs="Arial"/>
                <w:sz w:val="20"/>
                <w:szCs w:val="20"/>
                <w:lang w:val="en-US"/>
              </w:rPr>
            </w:pPr>
          </w:p>
        </w:tc>
        <w:tc>
          <w:tcPr>
            <w:tcW w:w="3657" w:type="dxa"/>
            <w:tcBorders>
              <w:top w:val="single" w:sz="4" w:space="0" w:color="00000A"/>
              <w:left w:val="single" w:sz="4" w:space="0" w:color="00000A"/>
              <w:bottom w:val="single" w:sz="4" w:space="0" w:color="00000A"/>
              <w:right w:val="single" w:sz="4" w:space="0" w:color="00000A"/>
            </w:tcBorders>
            <w:shd w:val="clear" w:color="auto" w:fill="auto"/>
          </w:tcPr>
          <w:p w:rsidR="00EB34BF" w:rsidRPr="00FF1F37" w:rsidRDefault="00EB34BF" w:rsidP="00336BB5">
            <w:pPr>
              <w:spacing w:after="0" w:line="240" w:lineRule="auto"/>
              <w:jc w:val="both"/>
              <w:rPr>
                <w:rFonts w:ascii="Arial" w:hAnsi="Arial" w:cs="Arial"/>
                <w:sz w:val="20"/>
                <w:szCs w:val="20"/>
                <w:lang w:val="en-US"/>
              </w:rPr>
            </w:pPr>
          </w:p>
          <w:p w:rsidR="00EB34BF" w:rsidRPr="00F0378E" w:rsidRDefault="00EB34BF" w:rsidP="00336BB5">
            <w:pPr>
              <w:spacing w:after="0" w:line="240" w:lineRule="auto"/>
              <w:jc w:val="both"/>
              <w:rPr>
                <w:rFonts w:ascii="Arial" w:hAnsi="Arial" w:cs="Arial"/>
                <w:sz w:val="20"/>
                <w:szCs w:val="20"/>
              </w:rPr>
            </w:pPr>
            <w:r w:rsidRPr="00F0378E">
              <w:rPr>
                <w:rFonts w:ascii="Arial" w:hAnsi="Arial" w:cs="Arial"/>
                <w:sz w:val="20"/>
                <w:szCs w:val="20"/>
              </w:rPr>
              <w:t>Caracterizar o sistema e funções estomatognáticas de pacientes com MPS.</w:t>
            </w:r>
          </w:p>
        </w:tc>
      </w:tr>
      <w:tr w:rsidR="00EB34BF" w:rsidRPr="00F0378E" w:rsidTr="00C75909">
        <w:trPr>
          <w:trHeight w:val="419"/>
        </w:trPr>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EB34BF" w:rsidRPr="00F0378E" w:rsidRDefault="00EB34BF" w:rsidP="00336BB5">
            <w:pPr>
              <w:spacing w:after="0" w:line="240" w:lineRule="auto"/>
              <w:jc w:val="center"/>
              <w:rPr>
                <w:rFonts w:ascii="Arial" w:hAnsi="Arial" w:cs="Arial"/>
                <w:sz w:val="20"/>
                <w:szCs w:val="20"/>
              </w:rPr>
            </w:pPr>
          </w:p>
          <w:p w:rsidR="00EB34BF" w:rsidRPr="00F0378E" w:rsidRDefault="00EB34BF" w:rsidP="00336BB5">
            <w:pPr>
              <w:spacing w:after="0" w:line="240" w:lineRule="auto"/>
              <w:jc w:val="center"/>
              <w:rPr>
                <w:rFonts w:ascii="Arial" w:hAnsi="Arial" w:cs="Arial"/>
                <w:sz w:val="20"/>
                <w:szCs w:val="20"/>
              </w:rPr>
            </w:pPr>
            <w:r w:rsidRPr="00F0378E">
              <w:rPr>
                <w:rFonts w:ascii="Arial" w:hAnsi="Arial" w:cs="Arial"/>
                <w:sz w:val="20"/>
                <w:szCs w:val="20"/>
              </w:rPr>
              <w:t>Know J</w:t>
            </w:r>
            <w:r w:rsidR="00B450DC">
              <w:rPr>
                <w:rFonts w:ascii="Arial" w:hAnsi="Arial" w:cs="Arial"/>
                <w:sz w:val="20"/>
                <w:szCs w:val="20"/>
              </w:rPr>
              <w:t>Y</w:t>
            </w:r>
            <w:r w:rsidRPr="00F0378E">
              <w:rPr>
                <w:rFonts w:ascii="Arial" w:hAnsi="Arial" w:cs="Arial"/>
                <w:sz w:val="20"/>
                <w:szCs w:val="20"/>
              </w:rPr>
              <w:t xml:space="preserve"> et al</w:t>
            </w:r>
            <w:r>
              <w:rPr>
                <w:rFonts w:ascii="Arial" w:hAnsi="Arial" w:cs="Arial"/>
                <w:sz w:val="20"/>
                <w:szCs w:val="20"/>
              </w:rPr>
              <w:t>.</w:t>
            </w:r>
          </w:p>
          <w:p w:rsidR="00EB34BF" w:rsidRPr="00F0378E" w:rsidRDefault="00EB34BF" w:rsidP="00412B48">
            <w:pPr>
              <w:spacing w:after="0" w:line="240" w:lineRule="auto"/>
              <w:jc w:val="center"/>
              <w:rPr>
                <w:rFonts w:ascii="Arial" w:hAnsi="Arial" w:cs="Arial"/>
                <w:sz w:val="20"/>
                <w:szCs w:val="20"/>
              </w:rPr>
            </w:pPr>
            <w:r w:rsidRPr="00F0378E">
              <w:rPr>
                <w:rFonts w:ascii="Arial" w:hAnsi="Arial" w:cs="Arial"/>
                <w:sz w:val="20"/>
                <w:szCs w:val="20"/>
              </w:rPr>
              <w:t>(2011)</w:t>
            </w:r>
            <w:r w:rsidRPr="00F0378E">
              <w:rPr>
                <w:rFonts w:ascii="Arial" w:hAnsi="Arial" w:cs="Arial"/>
                <w:sz w:val="20"/>
                <w:szCs w:val="20"/>
              </w:rPr>
              <w:fldChar w:fldCharType="begin" w:fldLock="1"/>
            </w:r>
            <w:r w:rsidR="00195481">
              <w:rPr>
                <w:rFonts w:ascii="Arial" w:hAnsi="Arial" w:cs="Arial"/>
                <w:sz w:val="20"/>
                <w:szCs w:val="20"/>
              </w:rPr>
              <w:instrText>ADDIN CSL_CITATION { "citationItems" : [ { "id" : "ITEM-1", "itemData" : { "DOI" : "10.1002/ajmg.a.34013", "ISSN" : "1552-4833", "PMID" : "21567931", "abstract" : "Although carpal tunnel syndrome (CTS) is the most common compressive neuropathy seen in the upper extremity of adults, it is rarely seen in children. Several reports have shown that mucopolysaccharidosis type II (Hunter syndrome), a rare genetic disorder, is one of the causes of CTS in children. Usual symptoms of CTS are pain, weakness, and paresthesias in the hand and digits. However, the diagnosis of CTS in Hunter syndrome is often delayed or unrecognized because of atypical symptoms and cognitive impairment. Here, we report the prevalence, clinical manifestation, and nerve conduction profiles of CTS in 45 Hunter syndrome patients. The mean age of the study participants was 117.1 (74.9) months (range: 4-408 months); all patients were male. Forty-three (96.0%) of the 45 patients with Hunter syndrome had CTS. Bilateral CTS was observed in all patients; 73 (82.0%) of the patients' hands had severe degree of CTS. Intriguingly, in contrast with other nerve velocities, decreases in forearm conduction velocities of the median nerve were observed in 28 (31.5%) of 89 hands with CTS. There was a significant difference in age (P &lt; 0.001) between hands with normal, mild, moderate, and severe grades of CTS. The compound muscle action potential and sensory nerve action potential amplitudes of the median nerves decreased with age (CMAP, r = -0.526, P &lt; 0.001; SNAP, r = -0.564, P &lt; 0.001). Early recognition and intervention to ameliorate the symptoms of CTS are important in improving the quality of life of Hunter syndrome patients.", "author" : [ { "dropping-particle" : "", "family" : "Kwon", "given" : "Jeong-Yi", "non-dropping-particle" : "", "parse-names" : false, "suffix" : "" }, { "dropping-particle" : "", "family" : "Ko", "given" : "Kiljun", "non-dropping-particle" : "", "parse-names" : false, "suffix" : "" }, { "dropping-particle" : "", "family" : "Sohn", "given" : "Young Bae", "non-dropping-particle" : "", "parse-names" : false, "suffix" : "" }, { "dropping-particle" : "", "family" : "Kim", "given" : "Su Jin", "non-dropping-particle" : "", "parse-names" : false, "suffix" : "" }, { "dropping-particle" : "", "family" : "Park", "given" : "Sung Won", "non-dropping-particle" : "", "parse-names" : false, "suffix" : "" }, { "dropping-particle" : "", "family" : "Kim", "given" : "Se-Hwa", "non-dropping-particle" : "", "parse-names" : false, "suffix" : "" }, { "dropping-particle" : "", "family" : "Cho", "given" : "Sung-Yoon", "non-dropping-particle" : "", "parse-names" : false, "suffix" : "" }, { "dropping-particle" : "", "family" : "Jin", "given" : "Dong-Kyu", "non-dropping-particle" : "", "parse-names" : false, "suffix" : "" } ], "container-title" : "American journal of medical genetics. Part A", "id" : "ITEM-1", "issued" : { "date-parts" : [ [ "2011" ] ] }, "page" : "1329-1335", "title" : "High prevalence of carpal tunnel syndrome in children with mucopolysaccharidosis type II (Hunter syndrome).", "type" : "article-journal", "volume" : "155A" }, "uris" : [ "http://www.mendeley.com/documents/?uuid=3b0b0d7b-9cb5-45a6-8027-ae368376e55d" ] } ], "mendeley" : { "formattedCitation" : "&lt;sup&gt;57&lt;/sup&gt;", "plainTextFormattedCitation" : "57", "previouslyFormattedCitation" : "&lt;sup&gt;57&lt;/sup&gt;" }, "properties" : { "noteIndex" : 0 }, "schema" : "https://github.com/citation-style-language/schema/raw/master/csl-citation.json" }</w:instrText>
            </w:r>
            <w:r w:rsidRPr="00F0378E">
              <w:rPr>
                <w:rFonts w:ascii="Arial" w:hAnsi="Arial" w:cs="Arial"/>
                <w:sz w:val="20"/>
                <w:szCs w:val="20"/>
              </w:rPr>
              <w:fldChar w:fldCharType="separate"/>
            </w:r>
            <w:r w:rsidR="00412B48" w:rsidRPr="00412B48">
              <w:rPr>
                <w:rFonts w:ascii="Arial" w:hAnsi="Arial" w:cs="Arial"/>
                <w:noProof/>
                <w:sz w:val="20"/>
                <w:szCs w:val="20"/>
                <w:vertAlign w:val="superscript"/>
              </w:rPr>
              <w:t>57</w:t>
            </w:r>
            <w:r w:rsidRPr="00F0378E">
              <w:rPr>
                <w:rFonts w:ascii="Arial" w:hAnsi="Arial" w:cs="Arial"/>
                <w:sz w:val="20"/>
                <w:szCs w:val="20"/>
              </w:rPr>
              <w:fldChar w:fldCharType="end"/>
            </w: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EB34BF" w:rsidRPr="00F0378E" w:rsidRDefault="00EB34BF" w:rsidP="00336BB5">
            <w:pPr>
              <w:spacing w:after="0" w:line="240" w:lineRule="auto"/>
              <w:jc w:val="both"/>
              <w:rPr>
                <w:rFonts w:ascii="Arial" w:hAnsi="Arial" w:cs="Arial"/>
                <w:sz w:val="20"/>
                <w:szCs w:val="20"/>
              </w:rPr>
            </w:pPr>
          </w:p>
          <w:p w:rsidR="00EB34BF" w:rsidRDefault="00EB34BF" w:rsidP="00336BB5">
            <w:pPr>
              <w:spacing w:after="0" w:line="240" w:lineRule="auto"/>
              <w:jc w:val="both"/>
              <w:rPr>
                <w:rFonts w:ascii="Arial" w:hAnsi="Arial" w:cs="Arial"/>
                <w:sz w:val="20"/>
                <w:szCs w:val="20"/>
              </w:rPr>
            </w:pPr>
            <w:r w:rsidRPr="00F0378E">
              <w:rPr>
                <w:rFonts w:ascii="Arial" w:hAnsi="Arial" w:cs="Arial"/>
                <w:sz w:val="20"/>
                <w:szCs w:val="20"/>
              </w:rPr>
              <w:t xml:space="preserve">High </w:t>
            </w:r>
            <w:proofErr w:type="spellStart"/>
            <w:r w:rsidRPr="00F0378E">
              <w:rPr>
                <w:rFonts w:ascii="Arial" w:hAnsi="Arial" w:cs="Arial"/>
                <w:sz w:val="20"/>
                <w:szCs w:val="20"/>
              </w:rPr>
              <w:t>prevalence</w:t>
            </w:r>
            <w:proofErr w:type="spellEnd"/>
            <w:r w:rsidRPr="00F0378E">
              <w:rPr>
                <w:rFonts w:ascii="Arial" w:hAnsi="Arial" w:cs="Arial"/>
                <w:sz w:val="20"/>
                <w:szCs w:val="20"/>
              </w:rPr>
              <w:t xml:space="preserve"> of </w:t>
            </w:r>
            <w:proofErr w:type="spellStart"/>
            <w:r w:rsidRPr="00F0378E">
              <w:rPr>
                <w:rFonts w:ascii="Arial" w:hAnsi="Arial" w:cs="Arial"/>
                <w:sz w:val="20"/>
                <w:szCs w:val="20"/>
              </w:rPr>
              <w:t>carpal</w:t>
            </w:r>
            <w:proofErr w:type="spellEnd"/>
            <w:r w:rsidRPr="00F0378E">
              <w:rPr>
                <w:rFonts w:ascii="Arial" w:hAnsi="Arial" w:cs="Arial"/>
                <w:sz w:val="20"/>
                <w:szCs w:val="20"/>
              </w:rPr>
              <w:t xml:space="preserve"> </w:t>
            </w:r>
            <w:proofErr w:type="spellStart"/>
            <w:r w:rsidRPr="00F0378E">
              <w:rPr>
                <w:rFonts w:ascii="Arial" w:hAnsi="Arial" w:cs="Arial"/>
                <w:sz w:val="20"/>
                <w:szCs w:val="20"/>
              </w:rPr>
              <w:t>tunnel</w:t>
            </w:r>
            <w:proofErr w:type="spellEnd"/>
            <w:r w:rsidRPr="00F0378E">
              <w:rPr>
                <w:rFonts w:ascii="Arial" w:hAnsi="Arial" w:cs="Arial"/>
                <w:sz w:val="20"/>
                <w:szCs w:val="20"/>
              </w:rPr>
              <w:t xml:space="preserve"> </w:t>
            </w:r>
            <w:proofErr w:type="spellStart"/>
            <w:r w:rsidRPr="00F0378E">
              <w:rPr>
                <w:rFonts w:ascii="Arial" w:hAnsi="Arial" w:cs="Arial"/>
                <w:sz w:val="20"/>
                <w:szCs w:val="20"/>
              </w:rPr>
              <w:t>syndrome</w:t>
            </w:r>
            <w:proofErr w:type="spellEnd"/>
            <w:r w:rsidRPr="00F0378E">
              <w:rPr>
                <w:rFonts w:ascii="Arial" w:hAnsi="Arial" w:cs="Arial"/>
                <w:sz w:val="20"/>
                <w:szCs w:val="20"/>
              </w:rPr>
              <w:t xml:space="preserve"> in </w:t>
            </w:r>
            <w:proofErr w:type="spellStart"/>
            <w:r w:rsidRPr="00F0378E">
              <w:rPr>
                <w:rFonts w:ascii="Arial" w:hAnsi="Arial" w:cs="Arial"/>
                <w:sz w:val="20"/>
                <w:szCs w:val="20"/>
              </w:rPr>
              <w:t>children</w:t>
            </w:r>
            <w:proofErr w:type="spellEnd"/>
            <w:r w:rsidRPr="00F0378E">
              <w:rPr>
                <w:rFonts w:ascii="Arial" w:hAnsi="Arial" w:cs="Arial"/>
                <w:sz w:val="20"/>
                <w:szCs w:val="20"/>
              </w:rPr>
              <w:t xml:space="preserve"> </w:t>
            </w:r>
            <w:proofErr w:type="spellStart"/>
            <w:r w:rsidRPr="00F0378E">
              <w:rPr>
                <w:rFonts w:ascii="Arial" w:hAnsi="Arial" w:cs="Arial"/>
                <w:sz w:val="20"/>
                <w:szCs w:val="20"/>
              </w:rPr>
              <w:t>with</w:t>
            </w:r>
            <w:proofErr w:type="spellEnd"/>
            <w:r w:rsidRPr="00F0378E">
              <w:rPr>
                <w:rFonts w:ascii="Arial" w:hAnsi="Arial" w:cs="Arial"/>
                <w:sz w:val="20"/>
                <w:szCs w:val="20"/>
              </w:rPr>
              <w:t xml:space="preserve"> </w:t>
            </w:r>
            <w:proofErr w:type="spellStart"/>
            <w:r w:rsidRPr="00F0378E">
              <w:rPr>
                <w:rFonts w:ascii="Arial" w:hAnsi="Arial" w:cs="Arial"/>
                <w:sz w:val="20"/>
                <w:szCs w:val="20"/>
              </w:rPr>
              <w:t>mucopolysaccharisdosis</w:t>
            </w:r>
            <w:proofErr w:type="spellEnd"/>
            <w:r w:rsidRPr="00F0378E">
              <w:rPr>
                <w:rFonts w:ascii="Arial" w:hAnsi="Arial" w:cs="Arial"/>
                <w:sz w:val="20"/>
                <w:szCs w:val="20"/>
              </w:rPr>
              <w:t xml:space="preserve"> </w:t>
            </w:r>
            <w:proofErr w:type="spellStart"/>
            <w:r w:rsidRPr="00F0378E">
              <w:rPr>
                <w:rFonts w:ascii="Arial" w:hAnsi="Arial" w:cs="Arial"/>
                <w:sz w:val="20"/>
                <w:szCs w:val="20"/>
              </w:rPr>
              <w:t>type</w:t>
            </w:r>
            <w:proofErr w:type="spellEnd"/>
            <w:r w:rsidRPr="00F0378E">
              <w:rPr>
                <w:rFonts w:ascii="Arial" w:hAnsi="Arial" w:cs="Arial"/>
                <w:sz w:val="20"/>
                <w:szCs w:val="20"/>
              </w:rPr>
              <w:t xml:space="preserve"> II (Hunter </w:t>
            </w:r>
            <w:proofErr w:type="spellStart"/>
            <w:r w:rsidRPr="00F0378E">
              <w:rPr>
                <w:rFonts w:ascii="Arial" w:hAnsi="Arial" w:cs="Arial"/>
                <w:sz w:val="20"/>
                <w:szCs w:val="20"/>
              </w:rPr>
              <w:t>Syndrome</w:t>
            </w:r>
            <w:proofErr w:type="spellEnd"/>
            <w:r w:rsidRPr="00F0378E">
              <w:rPr>
                <w:rFonts w:ascii="Arial" w:hAnsi="Arial" w:cs="Arial"/>
                <w:sz w:val="20"/>
                <w:szCs w:val="20"/>
              </w:rPr>
              <w:t>)</w:t>
            </w:r>
          </w:p>
          <w:p w:rsidR="00E012C6" w:rsidRPr="00F0378E" w:rsidRDefault="00E012C6" w:rsidP="00336BB5">
            <w:pPr>
              <w:spacing w:after="0" w:line="240" w:lineRule="auto"/>
              <w:jc w:val="both"/>
              <w:rPr>
                <w:rFonts w:ascii="Arial" w:hAnsi="Arial" w:cs="Arial"/>
                <w:sz w:val="20"/>
                <w:szCs w:val="20"/>
              </w:rPr>
            </w:pPr>
          </w:p>
        </w:tc>
        <w:tc>
          <w:tcPr>
            <w:tcW w:w="3657" w:type="dxa"/>
            <w:tcBorders>
              <w:top w:val="single" w:sz="4" w:space="0" w:color="00000A"/>
              <w:left w:val="single" w:sz="4" w:space="0" w:color="00000A"/>
              <w:bottom w:val="single" w:sz="4" w:space="0" w:color="00000A"/>
              <w:right w:val="single" w:sz="4" w:space="0" w:color="00000A"/>
            </w:tcBorders>
            <w:shd w:val="clear" w:color="auto" w:fill="auto"/>
          </w:tcPr>
          <w:p w:rsidR="00EB34BF" w:rsidRPr="00F0378E" w:rsidRDefault="00EB34BF" w:rsidP="00336BB5">
            <w:pPr>
              <w:spacing w:after="0" w:line="240" w:lineRule="auto"/>
              <w:jc w:val="both"/>
              <w:rPr>
                <w:rFonts w:ascii="Arial" w:hAnsi="Arial" w:cs="Arial"/>
                <w:sz w:val="20"/>
                <w:szCs w:val="20"/>
              </w:rPr>
            </w:pPr>
          </w:p>
          <w:p w:rsidR="00EB34BF" w:rsidRPr="00F0378E" w:rsidRDefault="00EB34BF" w:rsidP="00336BB5">
            <w:pPr>
              <w:spacing w:after="0" w:line="240" w:lineRule="auto"/>
              <w:jc w:val="both"/>
              <w:rPr>
                <w:rFonts w:ascii="Arial" w:hAnsi="Arial" w:cs="Arial"/>
                <w:sz w:val="20"/>
                <w:szCs w:val="20"/>
              </w:rPr>
            </w:pPr>
            <w:r w:rsidRPr="00F0378E">
              <w:rPr>
                <w:rFonts w:ascii="Arial" w:hAnsi="Arial" w:cs="Arial"/>
                <w:sz w:val="20"/>
                <w:szCs w:val="20"/>
              </w:rPr>
              <w:t>Relatar a prevalência e os achados eletrofisiológicos da síndrome do túnel do carpo em crianças com síndrome de Hunter.</w:t>
            </w:r>
          </w:p>
        </w:tc>
      </w:tr>
      <w:tr w:rsidR="00EB34BF" w:rsidRPr="00F0378E" w:rsidTr="00C75909">
        <w:trPr>
          <w:trHeight w:val="419"/>
        </w:trPr>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EB34BF" w:rsidRPr="00F0378E" w:rsidRDefault="00EB34BF" w:rsidP="00336BB5">
            <w:pPr>
              <w:spacing w:after="0" w:line="240" w:lineRule="auto"/>
              <w:jc w:val="center"/>
              <w:rPr>
                <w:rFonts w:ascii="Arial" w:hAnsi="Arial" w:cs="Arial"/>
                <w:sz w:val="20"/>
                <w:szCs w:val="20"/>
              </w:rPr>
            </w:pPr>
          </w:p>
          <w:p w:rsidR="00EB34BF" w:rsidRPr="00F0378E" w:rsidRDefault="00EB34BF" w:rsidP="00336BB5">
            <w:pPr>
              <w:spacing w:after="0" w:line="240" w:lineRule="auto"/>
              <w:jc w:val="center"/>
              <w:rPr>
                <w:rFonts w:ascii="Arial" w:hAnsi="Arial" w:cs="Arial"/>
                <w:sz w:val="20"/>
                <w:szCs w:val="20"/>
              </w:rPr>
            </w:pPr>
            <w:r w:rsidRPr="00F0378E">
              <w:rPr>
                <w:rFonts w:ascii="Arial" w:hAnsi="Arial" w:cs="Arial"/>
                <w:sz w:val="20"/>
                <w:szCs w:val="20"/>
              </w:rPr>
              <w:t>Matos MA et al.</w:t>
            </w:r>
          </w:p>
          <w:p w:rsidR="00EB34BF" w:rsidRPr="00F0378E" w:rsidRDefault="00EB34BF" w:rsidP="001F649C">
            <w:pPr>
              <w:spacing w:after="0" w:line="240" w:lineRule="auto"/>
              <w:jc w:val="center"/>
              <w:rPr>
                <w:rFonts w:ascii="Arial" w:hAnsi="Arial" w:cs="Arial"/>
                <w:sz w:val="20"/>
                <w:szCs w:val="20"/>
              </w:rPr>
            </w:pPr>
            <w:r w:rsidRPr="00F0378E">
              <w:rPr>
                <w:rFonts w:ascii="Arial" w:hAnsi="Arial" w:cs="Arial"/>
                <w:sz w:val="20"/>
                <w:szCs w:val="20"/>
              </w:rPr>
              <w:t>(2013)</w:t>
            </w:r>
            <w:r w:rsidRPr="00F0378E">
              <w:rPr>
                <w:rFonts w:ascii="Arial" w:hAnsi="Arial" w:cs="Arial"/>
                <w:sz w:val="20"/>
                <w:szCs w:val="20"/>
              </w:rPr>
              <w:fldChar w:fldCharType="begin" w:fldLock="1"/>
            </w:r>
            <w:r w:rsidR="005C2E82">
              <w:rPr>
                <w:rFonts w:ascii="Arial" w:hAnsi="Arial" w:cs="Arial"/>
                <w:sz w:val="20"/>
                <w:szCs w:val="20"/>
              </w:rPr>
              <w:instrText>ADDIN CSL_CITATION { "citationItems" : [ { "id" : "ITEM-1", "itemData" : { "DOI" : "10.1590/S1413-78522013000200009", "ISSN" : "1413-7852", "PMID" : "24453654", "abstract" : "Objective: The aim of this study is to evaluate energy expenditure in gait by mucopolysaccharidosis affected patients by means of a simple and adequate to the clinical environment methodology. Methods: A cross-sectional study was carried out comparing energy expenditure during gait in 19 patients suffering from mucopolysaccharidosis (MPS Group) with 19 asymptomatic control individuals (Control Group). Energy expenditure was measured in calories (cal) using a Polar telemetric watch (model FT7) during a 50 meter walk. Variables such as age, weight, height, body mass index (BMI), initial hart rate, final hart rate, and walking time, were recorded. Results: MPS Group showed a mean energy expenditure during gait of 2.84 cal (\u00b11,01), versus 1.42 cal (\u00b10,51), 100% higher than the Control Group; MPS also presented increased initial hart rate (22% higher), final hart rate (13% higher) and walking time (13% higher). Conclusions: Energy expenditure during gait in MPS patients was two times higher than control individuals; the methodology used showed to be a promising alternative, also adequate to the standard clinical environment.", "author" : [ { "dropping-particle" : "", "family" : "Matos", "given" : "Marcos Almeida", "non-dropping-particle" : "", "parse-names" : false, "suffix" : "" }, { "dropping-particle" : "", "family" : "Prado", "given" : "Andre", "non-dropping-particle" : "", "parse-names" : false, "suffix" : "" }, { "dropping-particle" : "", "family" : "Schenkel", "given" : "Gustavo", "non-dropping-particle" : "", "parse-names" : false, "suffix" : "" }, { "dropping-particle" : "", "family" : "Barreto", "given" : "Rosa", "non-dropping-particle" : "", "parse-names" : false, "suffix" : "" }, { "dropping-particle" : "", "family" : "Acosta", "given" : "Angelina Xavier", "non-dropping-particle" : "", "parse-names" : false, "suffix" : "" } ], "container-title" : "Acta Ortopedica Brasileira", "id" : "ITEM-1", "issue" : "2", "issued" : { "date-parts" : [ [ "2013" ] ] }, "page" : "116-119", "title" : "Energy expenditure during gait in patients with mucopolysaccharidosis", "type" : "article-journal", "volume" : "21" }, "uris" : [ "http://www.mendeley.com/documents/?uuid=3ad0096d-3832-47e5-a785-cf0597fdb2ca" ] } ], "mendeley" : { "formattedCitation" : "&lt;sup&gt;9&lt;/sup&gt;", "plainTextFormattedCitation" : "9", "previouslyFormattedCitation" : "&lt;sup&gt;9&lt;/sup&gt;" }, "properties" : { "noteIndex" : 0 }, "schema" : "https://github.com/citation-style-language/schema/raw/master/csl-citation.json" }</w:instrText>
            </w:r>
            <w:r w:rsidRPr="00F0378E">
              <w:rPr>
                <w:rFonts w:ascii="Arial" w:hAnsi="Arial" w:cs="Arial"/>
                <w:sz w:val="20"/>
                <w:szCs w:val="20"/>
              </w:rPr>
              <w:fldChar w:fldCharType="separate"/>
            </w:r>
            <w:r w:rsidR="001F649C" w:rsidRPr="001F649C">
              <w:rPr>
                <w:rFonts w:ascii="Arial" w:hAnsi="Arial" w:cs="Arial"/>
                <w:noProof/>
                <w:sz w:val="20"/>
                <w:szCs w:val="20"/>
                <w:vertAlign w:val="superscript"/>
              </w:rPr>
              <w:t>9</w:t>
            </w:r>
            <w:r w:rsidRPr="00F0378E">
              <w:rPr>
                <w:rFonts w:ascii="Arial" w:hAnsi="Arial" w:cs="Arial"/>
                <w:sz w:val="20"/>
                <w:szCs w:val="20"/>
              </w:rPr>
              <w:fldChar w:fldCharType="end"/>
            </w:r>
          </w:p>
        </w:tc>
        <w:tc>
          <w:tcPr>
            <w:tcW w:w="3119" w:type="dxa"/>
            <w:tcBorders>
              <w:top w:val="single" w:sz="4" w:space="0" w:color="00000A"/>
              <w:left w:val="single" w:sz="4" w:space="0" w:color="00000A"/>
              <w:bottom w:val="single" w:sz="4" w:space="0" w:color="00000A"/>
              <w:right w:val="single" w:sz="4" w:space="0" w:color="00000A"/>
            </w:tcBorders>
            <w:shd w:val="clear" w:color="auto" w:fill="auto"/>
          </w:tcPr>
          <w:p w:rsidR="00EB34BF" w:rsidRPr="00FF1F37" w:rsidRDefault="00EB34BF" w:rsidP="00336BB5">
            <w:pPr>
              <w:spacing w:after="0" w:line="240" w:lineRule="auto"/>
              <w:jc w:val="both"/>
              <w:rPr>
                <w:rFonts w:ascii="Arial" w:hAnsi="Arial" w:cs="Arial"/>
                <w:sz w:val="20"/>
                <w:szCs w:val="20"/>
                <w:lang w:val="en-US"/>
              </w:rPr>
            </w:pPr>
          </w:p>
          <w:p w:rsidR="00EB34BF" w:rsidRPr="00FF1F37" w:rsidRDefault="00EB34BF" w:rsidP="00336BB5">
            <w:pPr>
              <w:spacing w:after="0" w:line="240" w:lineRule="auto"/>
              <w:jc w:val="both"/>
              <w:rPr>
                <w:rFonts w:ascii="Arial" w:hAnsi="Arial" w:cs="Arial"/>
                <w:sz w:val="20"/>
                <w:szCs w:val="20"/>
                <w:lang w:val="en-US"/>
              </w:rPr>
            </w:pPr>
            <w:r w:rsidRPr="00FF1F37">
              <w:rPr>
                <w:rFonts w:ascii="Arial" w:hAnsi="Arial" w:cs="Arial"/>
                <w:sz w:val="20"/>
                <w:szCs w:val="20"/>
                <w:lang w:val="en-US"/>
              </w:rPr>
              <w:t>Energy expenditure during gait in patients with mucopolysaccharidosis</w:t>
            </w:r>
          </w:p>
          <w:p w:rsidR="00E012C6" w:rsidRPr="00FF1F37" w:rsidRDefault="00E012C6" w:rsidP="00336BB5">
            <w:pPr>
              <w:spacing w:after="0" w:line="240" w:lineRule="auto"/>
              <w:jc w:val="both"/>
              <w:rPr>
                <w:rFonts w:ascii="Arial" w:hAnsi="Arial" w:cs="Arial"/>
                <w:sz w:val="20"/>
                <w:szCs w:val="20"/>
                <w:lang w:val="en-US"/>
              </w:rPr>
            </w:pPr>
          </w:p>
        </w:tc>
        <w:tc>
          <w:tcPr>
            <w:tcW w:w="3657" w:type="dxa"/>
            <w:tcBorders>
              <w:top w:val="single" w:sz="4" w:space="0" w:color="00000A"/>
              <w:left w:val="single" w:sz="4" w:space="0" w:color="00000A"/>
              <w:bottom w:val="single" w:sz="4" w:space="0" w:color="00000A"/>
              <w:right w:val="single" w:sz="4" w:space="0" w:color="00000A"/>
            </w:tcBorders>
            <w:shd w:val="clear" w:color="auto" w:fill="auto"/>
          </w:tcPr>
          <w:p w:rsidR="00EB34BF" w:rsidRPr="00FF1F37" w:rsidRDefault="00EB34BF" w:rsidP="00336BB5">
            <w:pPr>
              <w:spacing w:after="0" w:line="240" w:lineRule="auto"/>
              <w:jc w:val="both"/>
              <w:rPr>
                <w:rFonts w:ascii="Arial" w:hAnsi="Arial" w:cs="Arial"/>
                <w:sz w:val="20"/>
                <w:szCs w:val="20"/>
                <w:lang w:val="en-US"/>
              </w:rPr>
            </w:pPr>
          </w:p>
          <w:p w:rsidR="00EB34BF" w:rsidRPr="00F0378E" w:rsidRDefault="00EB34BF" w:rsidP="00336BB5">
            <w:pPr>
              <w:spacing w:after="0" w:line="240" w:lineRule="auto"/>
              <w:jc w:val="both"/>
              <w:rPr>
                <w:rFonts w:ascii="Arial" w:hAnsi="Arial" w:cs="Arial"/>
                <w:sz w:val="20"/>
                <w:szCs w:val="20"/>
              </w:rPr>
            </w:pPr>
            <w:r w:rsidRPr="00F0378E">
              <w:rPr>
                <w:rFonts w:ascii="Arial" w:hAnsi="Arial" w:cs="Arial"/>
                <w:sz w:val="20"/>
                <w:szCs w:val="20"/>
              </w:rPr>
              <w:t>Avaliar o gasto energético durante a marcha de pacientes com MPS.</w:t>
            </w:r>
          </w:p>
        </w:tc>
      </w:tr>
    </w:tbl>
    <w:p w:rsidR="00EB34BF" w:rsidRPr="00F0378E" w:rsidRDefault="00EB34BF" w:rsidP="00EB34BF">
      <w:pPr>
        <w:spacing w:after="0" w:line="240" w:lineRule="auto"/>
        <w:jc w:val="both"/>
        <w:rPr>
          <w:rFonts w:ascii="Arial" w:hAnsi="Arial" w:cs="Arial"/>
          <w:sz w:val="20"/>
          <w:szCs w:val="24"/>
        </w:rPr>
      </w:pPr>
      <w:r w:rsidRPr="00F0378E">
        <w:rPr>
          <w:rFonts w:ascii="Arial" w:hAnsi="Arial" w:cs="Arial"/>
          <w:b/>
          <w:sz w:val="20"/>
          <w:szCs w:val="24"/>
        </w:rPr>
        <w:t>Legenda:</w:t>
      </w:r>
      <w:r w:rsidRPr="00F0378E">
        <w:rPr>
          <w:rFonts w:ascii="Arial" w:hAnsi="Arial" w:cs="Arial"/>
          <w:sz w:val="20"/>
          <w:szCs w:val="24"/>
        </w:rPr>
        <w:t xml:space="preserve"> MPS</w:t>
      </w:r>
      <w:r w:rsidR="00050D57">
        <w:rPr>
          <w:rFonts w:ascii="Arial" w:hAnsi="Arial" w:cs="Arial"/>
          <w:sz w:val="20"/>
          <w:szCs w:val="24"/>
        </w:rPr>
        <w:t xml:space="preserve"> – </w:t>
      </w:r>
      <w:r>
        <w:rPr>
          <w:rFonts w:ascii="Arial" w:hAnsi="Arial" w:cs="Arial"/>
          <w:sz w:val="20"/>
          <w:szCs w:val="20"/>
        </w:rPr>
        <w:t>Mucopolissacaridose</w:t>
      </w:r>
      <w:r w:rsidRPr="00F0378E">
        <w:rPr>
          <w:rFonts w:ascii="Arial" w:hAnsi="Arial" w:cs="Arial"/>
          <w:sz w:val="20"/>
          <w:szCs w:val="24"/>
        </w:rPr>
        <w:t>.</w:t>
      </w:r>
    </w:p>
    <w:p w:rsidR="00AA1D1F" w:rsidRDefault="00AA1D1F" w:rsidP="00491682">
      <w:pPr>
        <w:spacing w:after="0" w:line="360" w:lineRule="auto"/>
        <w:jc w:val="both"/>
        <w:rPr>
          <w:rFonts w:ascii="Arial" w:hAnsi="Arial" w:cs="Arial"/>
          <w:sz w:val="24"/>
          <w:szCs w:val="24"/>
        </w:rPr>
      </w:pPr>
    </w:p>
    <w:p w:rsidR="00EB34BF" w:rsidRPr="003F585B" w:rsidRDefault="00EB34BF" w:rsidP="00491682">
      <w:pPr>
        <w:spacing w:after="0" w:line="360" w:lineRule="auto"/>
        <w:jc w:val="both"/>
        <w:rPr>
          <w:rFonts w:ascii="Arial" w:hAnsi="Arial" w:cs="Arial"/>
          <w:sz w:val="24"/>
          <w:szCs w:val="24"/>
        </w:rPr>
      </w:pPr>
      <w:r w:rsidRPr="003F585B">
        <w:rPr>
          <w:rFonts w:ascii="Arial" w:hAnsi="Arial" w:cs="Arial"/>
          <w:sz w:val="24"/>
          <w:szCs w:val="24"/>
        </w:rPr>
        <w:t>No estudo de Turra e Schwartz</w:t>
      </w:r>
      <w:r w:rsidR="007004E0">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"doi:10.2223/JPED.1899 [doi]", "ISBN" : "1678-4782 (Electronic)\\r0021-7557 (Linking)", "ISSN" : "1678-4782; 0021-7557", "PMID" : "19492172", "abstract" : "OBJECTIVES: To characterize the stomatognathic system and stomatognathic functions in patients with mucopolysaccharidosis. METHODS: Cross-sectional and observational study of patients with mucopolysaccharidosis seen at the outpatient clinic at the Medical Genetics Service of Hospital de Clinicas de Porto Alegre. The inclusion criteria were the existence of a biochemical or molecular diagnosis of any type of mucopolysaccharidosis and the agreement to participate in the study by signing an informed consent form. Seventy-eight patients were evaluated through phonoaudiological anamnesis and physical exam. RESULTS: Alterations in at least one item of each structure of the stomatognathic system or stomatognathic function were found in all patients who allowed evaluation of both items on physical examination (n = 76/78). The most frequently compromised structures and functions were respectively the dental arch and the tongue, swallowing and mastication. The only statistically significant difference found between types of mucopolysaccharidosis involved the habitual position of the tongue between the teeth (most frequent in mucopolysaccharidosis VI). Among patients with mucopolysaccharidosis I, II or VI who underwent enzyme replacement therapy or not, there was statistically significant difference in oral breathing mode (more frequent in the group without enzyme replacement therapy). CONCLUSIONS: Alterations in stomatognathic systems and functions are prevalent among individuals with mucopolysaccharidosis, even if enzyme replacement therapy is administered. Such finding suggests that speech therapy follow-up plays a major role in the treatment plan of this group of diseases; this hypothesis should be confirmed by additional studies.", "author" : [ { "dropping-particle" : "", "family" : "Turra", "given" : "G S", "non-dropping-particle" : "", "parse-names" : false, "suffix" : "" }, { "dropping-particle" : "V", "family" : "Schwartz", "given" : "I", "non-dropping-particle" : "", "parse-names" : false, "suffix" : "" } ], "container-title" : "Jornal de pediatria", "id" : "ITEM-1", "issue" : "3", "issued" : { "date-parts" : [ [ "2009" ] ] }, "page" : "254-260", "title" : "Evaluation of orofacial motricity in patients with mucopolysaccharidosis: a cross-sectional study", "type" : "article-journal", "volume" : "85" }, "uris" : [ "http://www.mendeley.com/documents/?uuid=0d9a1d2c-2c43-4cba-b8d5-0b08d3dbbc33" ] } ], "mendeley" : { "formattedCitation" : "&lt;sup&gt;59&lt;/sup&gt;", "plainTextFormattedCitation" : "59", "previouslyFormattedCitation" : "&lt;sup&gt;59&lt;/sup&gt;" }, "properties" : { "noteIndex" : 0 }, "schema" : "https://github.com/citation-style-language/schema/raw/master/csl-citation.json" }</w:instrText>
      </w:r>
      <w:r w:rsidR="007004E0">
        <w:rPr>
          <w:rFonts w:ascii="Arial" w:hAnsi="Arial" w:cs="Arial"/>
          <w:sz w:val="24"/>
          <w:szCs w:val="24"/>
        </w:rPr>
        <w:fldChar w:fldCharType="separate"/>
      </w:r>
      <w:r w:rsidR="00412B48" w:rsidRPr="00412B48">
        <w:rPr>
          <w:rFonts w:ascii="Arial" w:hAnsi="Arial" w:cs="Arial"/>
          <w:noProof/>
          <w:sz w:val="24"/>
          <w:szCs w:val="24"/>
          <w:vertAlign w:val="superscript"/>
        </w:rPr>
        <w:t>59</w:t>
      </w:r>
      <w:r w:rsidR="007004E0">
        <w:rPr>
          <w:rFonts w:ascii="Arial" w:hAnsi="Arial" w:cs="Arial"/>
          <w:sz w:val="24"/>
          <w:szCs w:val="24"/>
        </w:rPr>
        <w:fldChar w:fldCharType="end"/>
      </w:r>
      <w:r w:rsidRPr="003F585B">
        <w:rPr>
          <w:rFonts w:ascii="Arial" w:hAnsi="Arial" w:cs="Arial"/>
          <w:sz w:val="24"/>
          <w:szCs w:val="24"/>
        </w:rPr>
        <w:t>, pacientes com diagnóstico de MPS (tipo I, II, III-B, IV-A e VI) foram submetidos à avaliação das estruturas e fun</w:t>
      </w:r>
      <w:r w:rsidR="00A7702E">
        <w:rPr>
          <w:rFonts w:ascii="Arial" w:hAnsi="Arial" w:cs="Arial"/>
          <w:sz w:val="24"/>
          <w:szCs w:val="24"/>
        </w:rPr>
        <w:t>ções estomatognáticas. Entre ess</w:t>
      </w:r>
      <w:r w:rsidRPr="003F585B">
        <w:rPr>
          <w:rFonts w:ascii="Arial" w:hAnsi="Arial" w:cs="Arial"/>
          <w:sz w:val="24"/>
          <w:szCs w:val="24"/>
        </w:rPr>
        <w:t>es pacientes, alguns haviam feito cirurgia de adenoidectomia, amigdalectomia ou passado por processo de intubação orotraqueal. Em relação às estruturas que compõem o sistema estomatognático, a arcada dentária e a língua foram as mais afetadas</w:t>
      </w:r>
      <w:r w:rsidR="00A7702E">
        <w:rPr>
          <w:rFonts w:ascii="Arial" w:hAnsi="Arial" w:cs="Arial"/>
          <w:sz w:val="24"/>
          <w:szCs w:val="24"/>
        </w:rPr>
        <w:t>;</w:t>
      </w:r>
      <w:r w:rsidRPr="003F585B">
        <w:rPr>
          <w:rFonts w:ascii="Arial" w:hAnsi="Arial" w:cs="Arial"/>
          <w:sz w:val="24"/>
          <w:szCs w:val="24"/>
        </w:rPr>
        <w:t xml:space="preserve"> e as funções de mastigação e deglutição as </w:t>
      </w:r>
      <w:r w:rsidR="00A7702E">
        <w:rPr>
          <w:rFonts w:ascii="Arial" w:hAnsi="Arial" w:cs="Arial"/>
          <w:sz w:val="24"/>
          <w:szCs w:val="24"/>
        </w:rPr>
        <w:t>que tiveram maior comprometimento n</w:t>
      </w:r>
      <w:r w:rsidRPr="003F585B">
        <w:rPr>
          <w:rFonts w:ascii="Arial" w:hAnsi="Arial" w:cs="Arial"/>
          <w:sz w:val="24"/>
          <w:szCs w:val="24"/>
        </w:rPr>
        <w:t xml:space="preserve">a amostra estudada. Funções como sucção, respiração e fala também apresentaram alteração, porém em menor proporção. A pesquisa </w:t>
      </w:r>
      <w:r w:rsidRPr="003F585B">
        <w:rPr>
          <w:rFonts w:ascii="Arial" w:hAnsi="Arial" w:cs="Arial"/>
          <w:sz w:val="24"/>
          <w:szCs w:val="24"/>
        </w:rPr>
        <w:lastRenderedPageBreak/>
        <w:t xml:space="preserve">demonstrou que manifestações como posição habitual de língua entre os dentes, mordida aberta e respiração bucal </w:t>
      </w:r>
      <w:r w:rsidR="00E24041">
        <w:rPr>
          <w:rFonts w:ascii="Arial" w:hAnsi="Arial" w:cs="Arial"/>
          <w:sz w:val="24"/>
          <w:szCs w:val="24"/>
        </w:rPr>
        <w:t xml:space="preserve">também </w:t>
      </w:r>
      <w:r w:rsidRPr="003F585B">
        <w:rPr>
          <w:rFonts w:ascii="Arial" w:hAnsi="Arial" w:cs="Arial"/>
          <w:sz w:val="24"/>
          <w:szCs w:val="24"/>
        </w:rPr>
        <w:t>foram constatadas na população do estudo</w:t>
      </w:r>
      <w:r w:rsidR="007004E0">
        <w:rPr>
          <w:rFonts w:ascii="Arial" w:hAnsi="Arial" w:cs="Arial"/>
          <w:sz w:val="24"/>
          <w:szCs w:val="24"/>
        </w:rPr>
        <w:t>.</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"doi:10.2223/JPED.1899 [doi]", "ISBN" : "1678-4782 (Electronic)\\r0021-7557 (Linking)", "ISSN" : "1678-4782; 0021-7557", "PMID" : "19492172", "abstract" : "OBJECTIVES: To characterize the stomatognathic system and stomatognathic functions in patients with mucopolysaccharidosis. METHODS: Cross-sectional and observational study of patients with mucopolysaccharidosis seen at the outpatient clinic at the Medical Genetics Service of Hospital de Clinicas de Porto Alegre. The inclusion criteria were the existence of a biochemical or molecular diagnosis of any type of mucopolysaccharidosis and the agreement to participate in the study by signing an informed consent form. Seventy-eight patients were evaluated through phonoaudiological anamnesis and physical exam. RESULTS: Alterations in at least one item of each structure of the stomatognathic system or stomatognathic function were found in all patients who allowed evaluation of both items on physical examination (n = 76/78). The most frequently compromised structures and functions were respectively the dental arch and the tongue, swallowing and mastication. The only statistically significant difference found between types of mucopolysaccharidosis involved the habitual position of the tongue between the teeth (most frequent in mucopolysaccharidosis VI). Among patients with mucopolysaccharidosis I, II or VI who underwent enzyme replacement therapy or not, there was statistically significant difference in oral breathing mode (more frequent in the group without enzyme replacement therapy). CONCLUSIONS: Alterations in stomatognathic systems and functions are prevalent among individuals with mucopolysaccharidosis, even if enzyme replacement therapy is administered. Such finding suggests that speech therapy follow-up plays a major role in the treatment plan of this group of diseases; this hypothesis should be confirmed by additional studies.", "author" : [ { "dropping-particle" : "", "family" : "Turra", "given" : "G S", "non-dropping-particle" : "", "parse-names" : false, "suffix" : "" }, { "dropping-particle" : "V", "family" : "Schwartz", "given" : "I", "non-dropping-particle" : "", "parse-names" : false, "suffix" : "" } ], "container-title" : "Jornal de pediatria", "id" : "ITEM-1", "issue" : "3", "issued" : { "date-parts" : [ [ "2009" ] ] }, "page" : "254-260", "title" : "Evaluation of orofacial motricity in patients with mucopolysaccharidosis: a cross-sectional study", "type" : "article-journal", "volume" : "85" }, "uris" : [ "http://www.mendeley.com/documents/?uuid=0d9a1d2c-2c43-4cba-b8d5-0b08d3dbbc33" ] } ], "mendeley" : { "formattedCitation" : "&lt;sup&gt;59&lt;/sup&gt;", "plainTextFormattedCitation" : "59", "previouslyFormattedCitation" : "&lt;sup&gt;59&lt;/sup&gt;"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59</w:t>
      </w:r>
      <w:r w:rsidRPr="003F585B">
        <w:rPr>
          <w:rFonts w:ascii="Arial" w:hAnsi="Arial" w:cs="Arial"/>
          <w:sz w:val="24"/>
          <w:szCs w:val="24"/>
        </w:rPr>
        <w:fldChar w:fldCharType="end"/>
      </w:r>
    </w:p>
    <w:p w:rsidR="00A62F69" w:rsidRDefault="00A62F69" w:rsidP="00491682">
      <w:pPr>
        <w:spacing w:after="0" w:line="360" w:lineRule="auto"/>
        <w:jc w:val="both"/>
        <w:rPr>
          <w:rFonts w:ascii="Arial" w:hAnsi="Arial" w:cs="Arial"/>
          <w:sz w:val="24"/>
          <w:szCs w:val="24"/>
        </w:rPr>
      </w:pPr>
    </w:p>
    <w:p w:rsidR="00EB34BF" w:rsidRPr="00FF1F37" w:rsidRDefault="00EB34BF" w:rsidP="00491682">
      <w:pPr>
        <w:spacing w:after="0" w:line="360" w:lineRule="auto"/>
        <w:jc w:val="both"/>
        <w:rPr>
          <w:rFonts w:ascii="Arial" w:hAnsi="Arial" w:cs="Arial"/>
          <w:sz w:val="24"/>
          <w:szCs w:val="24"/>
          <w:lang w:val="en-US"/>
        </w:rPr>
      </w:pPr>
      <w:r w:rsidRPr="003F585B">
        <w:rPr>
          <w:rFonts w:ascii="Arial" w:hAnsi="Arial" w:cs="Arial"/>
          <w:sz w:val="24"/>
          <w:szCs w:val="24"/>
        </w:rPr>
        <w:t xml:space="preserve">Presume-se, portanto, que alterações na estrutura e função do sistema estomagnático </w:t>
      </w:r>
      <w:r w:rsidR="002668A8">
        <w:rPr>
          <w:rFonts w:ascii="Arial" w:hAnsi="Arial" w:cs="Arial"/>
          <w:sz w:val="24"/>
          <w:szCs w:val="24"/>
        </w:rPr>
        <w:t>geram</w:t>
      </w:r>
      <w:r w:rsidRPr="003F585B">
        <w:rPr>
          <w:rFonts w:ascii="Arial" w:hAnsi="Arial" w:cs="Arial"/>
          <w:sz w:val="24"/>
          <w:szCs w:val="24"/>
        </w:rPr>
        <w:t xml:space="preserve"> repercussões </w:t>
      </w:r>
      <w:r w:rsidR="007826F6">
        <w:rPr>
          <w:rFonts w:ascii="Arial" w:hAnsi="Arial" w:cs="Arial"/>
          <w:sz w:val="24"/>
          <w:szCs w:val="24"/>
        </w:rPr>
        <w:t>para</w:t>
      </w:r>
      <w:r w:rsidRPr="003F585B">
        <w:rPr>
          <w:rFonts w:ascii="Arial" w:hAnsi="Arial" w:cs="Arial"/>
          <w:sz w:val="24"/>
          <w:szCs w:val="24"/>
        </w:rPr>
        <w:t xml:space="preserve"> o sistema respiratório de pacientes com MPS, comprometendo-lhes a capacidade de executar atividades diárias.</w:t>
      </w:r>
      <w:r w:rsidR="002668A8">
        <w:rPr>
          <w:rFonts w:ascii="Arial" w:hAnsi="Arial" w:cs="Arial"/>
          <w:sz w:val="24"/>
          <w:szCs w:val="24"/>
        </w:rPr>
        <w:t xml:space="preserve"> Pois, em consequência às alterações respiratórias esses indivíduos podem apresentar baixa tolerância ao esforço físico. </w:t>
      </w:r>
      <w:r w:rsidRPr="003F585B">
        <w:rPr>
          <w:rFonts w:ascii="Arial" w:hAnsi="Arial" w:cs="Arial"/>
          <w:sz w:val="24"/>
          <w:szCs w:val="24"/>
        </w:rPr>
        <w:t xml:space="preserve">No entanto, devido a </w:t>
      </w:r>
      <w:r w:rsidR="00B758CE">
        <w:rPr>
          <w:rFonts w:ascii="Arial" w:hAnsi="Arial" w:cs="Arial"/>
          <w:sz w:val="24"/>
          <w:szCs w:val="24"/>
        </w:rPr>
        <w:t>exist</w:t>
      </w:r>
      <w:r w:rsidRPr="003F585B">
        <w:rPr>
          <w:rFonts w:ascii="Arial" w:hAnsi="Arial" w:cs="Arial"/>
          <w:sz w:val="24"/>
          <w:szCs w:val="24"/>
        </w:rPr>
        <w:t>ência de poucos estudos sobre esta associação, ainda não estão bem compreendidas as alterações estomatognáticas na capacidade funcional destes indivíduos</w:t>
      </w:r>
      <w:r w:rsidR="007004E0">
        <w:rPr>
          <w:rFonts w:ascii="Arial" w:hAnsi="Arial" w:cs="Arial"/>
          <w:sz w:val="24"/>
          <w:szCs w:val="24"/>
        </w:rPr>
        <w:t>.</w:t>
      </w:r>
      <w:r w:rsidRPr="003F585B">
        <w:rPr>
          <w:rFonts w:ascii="Arial" w:hAnsi="Arial" w:cs="Arial"/>
          <w:sz w:val="24"/>
          <w:szCs w:val="24"/>
        </w:rPr>
        <w:fldChar w:fldCharType="begin" w:fldLock="1"/>
      </w:r>
      <w:r w:rsidR="00195481">
        <w:rPr>
          <w:rFonts w:ascii="Arial" w:hAnsi="Arial" w:cs="Arial"/>
          <w:sz w:val="24"/>
          <w:szCs w:val="24"/>
        </w:rPr>
        <w:instrText xml:space="preserve">ADDIN CSL_CITATION { "citationItems" : [ { "id" : "ITEM-1", "itemData" : { "DOI" : "doi:10.2223/JPED.1899 [doi]", "ISBN" : "1678-4782 (Electronic)\\r0021-7557 (Linking)", "ISSN" : "1678-4782; 0021-7557", "PMID" : "19492172", "abstract" : "OBJECTIVES: To characterize the stomatognathic system and stomatognathic functions in patients with mucopolysaccharidosis. METHODS: Cross-sectional and observational study of patients with mucopolysaccharidosis seen at the outpatient clinic at the Medical Genetics Service of Hospital de Clinicas de Porto Alegre. The inclusion criteria were the existence of a biochemical or molecular diagnosis of any type of mucopolysaccharidosis and the agreement to participate in the study by signing an informed consent form. Seventy-eight patients were evaluated through phonoaudiological anamnesis and physical exam. RESULTS: Alterations in at least one item of each structure of the stomatognathic system or stomatognathic function were found in all patients who allowed evaluation of both items on physical examination (n = 76/78). The most frequently compromised structures and functions were respectively the dental arch and the tongue, swallowing and mastication. The only statistically significant difference found between types of mucopolysaccharidosis involved the habitual position of the tongue between the teeth (most frequent in mucopolysaccharidosis VI). Among patients with mucopolysaccharidosis I, II or </w:instrText>
      </w:r>
      <w:r w:rsidR="00195481" w:rsidRPr="00354961">
        <w:rPr>
          <w:rFonts w:ascii="Arial" w:hAnsi="Arial" w:cs="Arial"/>
          <w:sz w:val="24"/>
          <w:szCs w:val="24"/>
          <w:lang w:val="en-US"/>
        </w:rPr>
        <w:instrText>VI who underwent enzyme replacement therapy or not, there was statistically significant difference in oral breathing mode (more frequent in the group without enzyme replacement therapy). CONCLUSIONS: Alterations in stomatognathic systems and functions are prevalent among individuals with mucopolysaccharidosis, even if enzyme replacement therapy is administered. Such finding suggests that speech therapy follow-up plays a major role in the treatment plan of this group of diseases; this hypothesis should be confirmed by additional studies.", "author" : [ { "dropping-particle" : "", "family" : "Turra", "given" : "G S", "non-dropping-particle" : "", "parse-names" : false, "suffix" : "" }, { "dropping-particle" : "V", "family" : "Schwartz", "given" : "I", "non-dropping-particle" : "", "parse-names" : false, "suffix" : "" } ], "container-title" : "Jornal de pediatria", "id" : "ITEM-1", "issue" : "3", "issued" : { "date-parts" : [ [ "2009" ] ] }, "page" : "254-260", "title" : "Evaluation of orofacial motricity in patients wi</w:instrText>
      </w:r>
      <w:r w:rsidR="00195481" w:rsidRPr="00E76A91">
        <w:rPr>
          <w:rFonts w:ascii="Arial" w:hAnsi="Arial" w:cs="Arial"/>
          <w:sz w:val="24"/>
          <w:szCs w:val="24"/>
          <w:lang w:val="en-US"/>
        </w:rPr>
        <w:instrText>th mucopolysaccharidosis: a cross-sectional study", "type" : "article-journal", "volume" : "85" }, "uris" : [ "http://www.mendeley.com/documents/?uuid=0d9a1d2c-2c43-4cba-b8d5-0b08d3dbbc33" ] } ], "mendeley" : { "formattedCitation" : "&lt;sup&gt;59&lt;/sup&gt;", "plainTextFormattedCitation" : "59", "previouslyFormattedCitation" : "&lt;sup&gt;59&lt;/sup&gt;"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lang w:val="en-US"/>
        </w:rPr>
        <w:t>59</w:t>
      </w:r>
      <w:r w:rsidRPr="003F585B">
        <w:rPr>
          <w:rFonts w:ascii="Arial" w:hAnsi="Arial" w:cs="Arial"/>
          <w:sz w:val="24"/>
          <w:szCs w:val="24"/>
        </w:rPr>
        <w:fldChar w:fldCharType="end"/>
      </w:r>
    </w:p>
    <w:p w:rsidR="00A6336B" w:rsidRDefault="00A6336B" w:rsidP="00491682">
      <w:pPr>
        <w:spacing w:after="0" w:line="360" w:lineRule="auto"/>
        <w:jc w:val="both"/>
        <w:rPr>
          <w:rFonts w:ascii="Arial" w:hAnsi="Arial" w:cs="Arial"/>
          <w:sz w:val="24"/>
          <w:szCs w:val="24"/>
          <w:lang w:val="en-US"/>
        </w:rPr>
      </w:pPr>
    </w:p>
    <w:p w:rsidR="00EB34BF" w:rsidRPr="003F585B" w:rsidRDefault="00EB34BF" w:rsidP="00491682">
      <w:pPr>
        <w:spacing w:after="0" w:line="360" w:lineRule="auto"/>
        <w:jc w:val="both"/>
        <w:rPr>
          <w:rFonts w:ascii="Arial" w:hAnsi="Arial" w:cs="Arial"/>
          <w:sz w:val="24"/>
          <w:szCs w:val="24"/>
        </w:rPr>
      </w:pPr>
      <w:r w:rsidRPr="00354961">
        <w:rPr>
          <w:rFonts w:ascii="Arial" w:hAnsi="Arial" w:cs="Arial"/>
          <w:sz w:val="24"/>
          <w:szCs w:val="24"/>
          <w:lang w:val="en-US"/>
        </w:rPr>
        <w:t>Know et al.</w:t>
      </w:r>
      <w:r w:rsidR="007004E0" w:rsidRPr="00943378">
        <w:rPr>
          <w:rFonts w:ascii="Arial" w:hAnsi="Arial" w:cs="Arial"/>
          <w:sz w:val="24"/>
          <w:szCs w:val="24"/>
        </w:rPr>
        <w:fldChar w:fldCharType="begin" w:fldLock="1"/>
      </w:r>
      <w:r w:rsidR="00195481" w:rsidRPr="00943378">
        <w:rPr>
          <w:rFonts w:ascii="Arial" w:hAnsi="Arial" w:cs="Arial"/>
          <w:sz w:val="24"/>
          <w:szCs w:val="24"/>
        </w:rPr>
        <w:instrText>ADDIN CSL_CITATION { "citationItems" : [ { "id" : "ITEM-1", "itemData" : { "DOI" : "10.1002/ajmg.a.34013", "ISSN" : "1552-4833", "PMID" : "21567931", "abstract" : "Although carpal tunnel syndrome (CTS) is the most common compressive neuropathy seen in the upper extremity of adults, it is rarely seen in children. Several reports have shown that mucopolysaccharidosis type II (Hunter syndrome), a rare genetic disorder, is one of the causes of CTS in children. Usual symptoms of CTS are pain, weakness, and paresthesias in the hand and digits. However, the diagnosis of CTS in Hunter syndrome is often delayed or unrecognized because of atypical symptoms and cognitive impairment. Here, we report the prevalence, clinical manifestation, and nerve conduction profiles of CTS in 45 Hunter syndrome patients. The mean age of the study participants was 117.1 (74.9) months (range: 4-408 months); all patients were male. Forty-three (96.0%) of the 45 patients with Hunter syndrome had CTS. Bilateral CTS was observed in all patients; 73 (82.0%) of the patients' hands had severe degree of CTS. Intriguingly, in contrast with other nerve velocities, decreases in forearm conduction velocities of the median nerve were observed in 28 (31.5%) of 89 hands with CTS. There was a significant difference in age (P &lt; 0.001) between hands with normal, mild, moderate, and severe grades of CTS. The compound muscle action potential and sensory nerve action potential amplitudes of the median nerves decreased with age (CMAP, r = -0.526, P &lt; 0.001; SNAP, r = -0.564, P &lt; 0.001). Early recognition and intervention to ameliorate the symptoms of CTS are important in improving the quality of life of Hunter syndrome patients.", "author" : [ { "dropping-particle" : "", "family" : "Kwon", "given" : "Jeong-Yi", "non-dropping-particle" : "", "parse-names" : false, "suffix" : "" }, { "dropping-particle" : "", "family" : "Ko", "given" : "Kiljun", "non-dropping-particle" : "", "parse-names" : false, "suffix" : "" }, { "dropping-particle" : "", "family" : "Sohn", "given" : "Young Bae", "non-dropping-particle" : "", "parse-names" : false, "suffix" : "" }, { "dropping-particle" : "", "family" : "Kim", "given" : "Su Jin", "non-dropping-particle" : "", "parse-names" : false, "suffix" : "" }, { "dropping-particle" : "", "family" : "Park", "given" : "Sung Won", "non-dropping-particle" : "", "parse-names" : false, "suffix" : "" }, { "dropping-particle" : "", "family" : "Kim", "given" : "Se-Hwa", "non-dropping-particle" : "", "parse-names" : false, "suffix" : "" }, { "dropping-particle" : "", "family" : "Cho", "given" : "Sung-Yoon", "non-dropping-particle" : "", "parse-names" : false, "suffix" : "" }, { "dropping-particle" : "", "family" : "Jin", "given" : "Dong-Kyu", "non-dropping-particle" : "", "parse-names" : false, "suffix" : "" } ], "container-title" : "American journal of medical genetics. Part A", "id" : "ITEM-1", "issued" : { "date-parts" : [ [ "2011" ] ] }, "page" : "1329-1335", "title" : "High prevalence of carpal tunnel syndrome in children with mucopolysaccharidosis type II (Hunter syndrome).", "type" : "article-journal", "volume" : "155A" }, "uris" : [ "http://www.mendeley.com/documents/?uuid=3b0b0d7b-9cb5-45a6-8027-ae368376e55d" ] } ], "mendeley" : { "formattedCitation" : "&lt;sup&gt;57&lt;/sup&gt;", "plainTextFormattedCitation" : "57", "previouslyFormattedCitation" : "&lt;sup&gt;57&lt;/sup&gt;" }, "properties" : { "noteIndex" : 0 }, "schema" : "https://github.com/citation-style-language/schema/raw/master/csl-citation.json" }</w:instrText>
      </w:r>
      <w:r w:rsidR="007004E0" w:rsidRPr="00943378">
        <w:rPr>
          <w:rFonts w:ascii="Arial" w:hAnsi="Arial" w:cs="Arial"/>
          <w:sz w:val="24"/>
          <w:szCs w:val="24"/>
        </w:rPr>
        <w:fldChar w:fldCharType="separate"/>
      </w:r>
      <w:r w:rsidR="00412B48" w:rsidRPr="00943378">
        <w:rPr>
          <w:rFonts w:ascii="Arial" w:hAnsi="Arial" w:cs="Arial"/>
          <w:noProof/>
          <w:sz w:val="24"/>
          <w:szCs w:val="24"/>
          <w:vertAlign w:val="superscript"/>
        </w:rPr>
        <w:t>57</w:t>
      </w:r>
      <w:r w:rsidR="007004E0" w:rsidRPr="00943378">
        <w:rPr>
          <w:rFonts w:ascii="Arial" w:hAnsi="Arial" w:cs="Arial"/>
          <w:sz w:val="24"/>
          <w:szCs w:val="24"/>
        </w:rPr>
        <w:fldChar w:fldCharType="end"/>
      </w:r>
      <w:r w:rsidRPr="00943378">
        <w:rPr>
          <w:rFonts w:ascii="Arial" w:hAnsi="Arial" w:cs="Arial"/>
          <w:sz w:val="24"/>
          <w:szCs w:val="24"/>
        </w:rPr>
        <w:t xml:space="preserve"> </w:t>
      </w:r>
      <w:r w:rsidR="005E1536" w:rsidRPr="00943378">
        <w:rPr>
          <w:rFonts w:ascii="Arial" w:hAnsi="Arial" w:cs="Arial"/>
          <w:sz w:val="24"/>
          <w:szCs w:val="24"/>
        </w:rPr>
        <w:t xml:space="preserve">desenvolveram um estudo </w:t>
      </w:r>
      <w:r w:rsidRPr="00943378">
        <w:rPr>
          <w:rFonts w:ascii="Arial" w:hAnsi="Arial" w:cs="Arial"/>
          <w:sz w:val="24"/>
          <w:szCs w:val="24"/>
        </w:rPr>
        <w:t xml:space="preserve">sobre a </w:t>
      </w:r>
      <w:r w:rsidR="00184C20" w:rsidRPr="00943378">
        <w:rPr>
          <w:rFonts w:ascii="Arial" w:hAnsi="Arial" w:cs="Arial"/>
          <w:sz w:val="24"/>
          <w:szCs w:val="24"/>
        </w:rPr>
        <w:t>ocorrência</w:t>
      </w:r>
      <w:r w:rsidRPr="00943378">
        <w:rPr>
          <w:rFonts w:ascii="Arial" w:hAnsi="Arial" w:cs="Arial"/>
          <w:sz w:val="24"/>
          <w:szCs w:val="24"/>
        </w:rPr>
        <w:t xml:space="preserve"> d</w:t>
      </w:r>
      <w:r w:rsidR="00184C20" w:rsidRPr="00943378">
        <w:rPr>
          <w:rFonts w:ascii="Arial" w:hAnsi="Arial" w:cs="Arial"/>
          <w:sz w:val="24"/>
          <w:szCs w:val="24"/>
        </w:rPr>
        <w:t>a</w:t>
      </w:r>
      <w:r w:rsidRPr="00943378">
        <w:rPr>
          <w:rFonts w:ascii="Arial" w:hAnsi="Arial" w:cs="Arial"/>
          <w:sz w:val="24"/>
          <w:szCs w:val="24"/>
        </w:rPr>
        <w:t xml:space="preserve"> síndrome do túnel do carpo (STC) em crianças com MPS tipo</w:t>
      </w:r>
      <w:r w:rsidRPr="007015CE">
        <w:rPr>
          <w:rFonts w:ascii="Arial" w:hAnsi="Arial" w:cs="Arial"/>
          <w:sz w:val="24"/>
          <w:szCs w:val="24"/>
        </w:rPr>
        <w:t xml:space="preserve"> II</w:t>
      </w:r>
      <w:r w:rsidR="005E1536" w:rsidRPr="007015CE">
        <w:rPr>
          <w:rFonts w:ascii="Arial" w:hAnsi="Arial" w:cs="Arial"/>
          <w:sz w:val="24"/>
          <w:szCs w:val="24"/>
        </w:rPr>
        <w:t xml:space="preserve">. </w:t>
      </w:r>
      <w:r w:rsidR="005E1536">
        <w:rPr>
          <w:rFonts w:ascii="Arial" w:hAnsi="Arial" w:cs="Arial"/>
          <w:sz w:val="24"/>
          <w:szCs w:val="24"/>
        </w:rPr>
        <w:t xml:space="preserve">Os resultados </w:t>
      </w:r>
      <w:r w:rsidRPr="003F585B">
        <w:rPr>
          <w:rFonts w:ascii="Arial" w:hAnsi="Arial" w:cs="Arial"/>
          <w:sz w:val="24"/>
          <w:szCs w:val="24"/>
        </w:rPr>
        <w:t>aponta</w:t>
      </w:r>
      <w:r w:rsidR="005E1536">
        <w:rPr>
          <w:rFonts w:ascii="Arial" w:hAnsi="Arial" w:cs="Arial"/>
          <w:sz w:val="24"/>
          <w:szCs w:val="24"/>
        </w:rPr>
        <w:t>ram</w:t>
      </w:r>
      <w:r w:rsidRPr="003F585B">
        <w:rPr>
          <w:rFonts w:ascii="Arial" w:hAnsi="Arial" w:cs="Arial"/>
          <w:sz w:val="24"/>
          <w:szCs w:val="24"/>
        </w:rPr>
        <w:t xml:space="preserve"> que o acometimento mais severo de outros órgãos, seguido de comprometimento cognitivo, atraso da linguagem, displasia </w:t>
      </w:r>
      <w:r w:rsidR="005E1536">
        <w:rPr>
          <w:rFonts w:ascii="Arial" w:hAnsi="Arial" w:cs="Arial"/>
          <w:sz w:val="24"/>
          <w:szCs w:val="24"/>
        </w:rPr>
        <w:t xml:space="preserve">esquelética e rigidez articular – </w:t>
      </w:r>
      <w:r w:rsidRPr="003F585B">
        <w:rPr>
          <w:rFonts w:ascii="Arial" w:hAnsi="Arial" w:cs="Arial"/>
          <w:sz w:val="24"/>
          <w:szCs w:val="24"/>
        </w:rPr>
        <w:t>características da MPS II</w:t>
      </w:r>
      <w:r w:rsidR="005E1536">
        <w:rPr>
          <w:rFonts w:ascii="Arial" w:hAnsi="Arial" w:cs="Arial"/>
          <w:sz w:val="24"/>
          <w:szCs w:val="24"/>
        </w:rPr>
        <w:t xml:space="preserve"> –</w:t>
      </w:r>
      <w:r w:rsidRPr="003F585B">
        <w:rPr>
          <w:rFonts w:ascii="Arial" w:hAnsi="Arial" w:cs="Arial"/>
          <w:sz w:val="24"/>
          <w:szCs w:val="24"/>
        </w:rPr>
        <w:t>, são fatores que mascaram os sintomas d</w:t>
      </w:r>
      <w:r w:rsidR="005E1536">
        <w:rPr>
          <w:rFonts w:ascii="Arial" w:hAnsi="Arial" w:cs="Arial"/>
          <w:sz w:val="24"/>
          <w:szCs w:val="24"/>
        </w:rPr>
        <w:t>es</w:t>
      </w:r>
      <w:r w:rsidR="007E5451">
        <w:rPr>
          <w:rFonts w:ascii="Arial" w:hAnsi="Arial" w:cs="Arial"/>
          <w:sz w:val="24"/>
          <w:szCs w:val="24"/>
        </w:rPr>
        <w:t>t</w:t>
      </w:r>
      <w:r w:rsidRPr="003F585B">
        <w:rPr>
          <w:rFonts w:ascii="Arial" w:hAnsi="Arial" w:cs="Arial"/>
          <w:sz w:val="24"/>
          <w:szCs w:val="24"/>
        </w:rPr>
        <w:t>a</w:t>
      </w:r>
      <w:r w:rsidR="005E1536">
        <w:rPr>
          <w:rFonts w:ascii="Arial" w:hAnsi="Arial" w:cs="Arial"/>
          <w:sz w:val="24"/>
          <w:szCs w:val="24"/>
        </w:rPr>
        <w:t xml:space="preserve"> síndrome</w:t>
      </w:r>
      <w:r w:rsidRPr="003F585B">
        <w:rPr>
          <w:rFonts w:ascii="Arial" w:hAnsi="Arial" w:cs="Arial"/>
          <w:sz w:val="24"/>
          <w:szCs w:val="24"/>
        </w:rPr>
        <w:t>.</w:t>
      </w:r>
      <w:r w:rsidR="005E1536">
        <w:rPr>
          <w:rFonts w:ascii="Arial" w:hAnsi="Arial" w:cs="Arial"/>
          <w:sz w:val="24"/>
          <w:szCs w:val="24"/>
        </w:rPr>
        <w:t xml:space="preserve"> </w:t>
      </w:r>
      <w:r w:rsidR="00102A15">
        <w:rPr>
          <w:rFonts w:ascii="Arial" w:hAnsi="Arial" w:cs="Arial"/>
          <w:sz w:val="24"/>
          <w:szCs w:val="24"/>
        </w:rPr>
        <w:t>A</w:t>
      </w:r>
      <w:r w:rsidR="005E1536">
        <w:rPr>
          <w:rFonts w:ascii="Arial" w:hAnsi="Arial" w:cs="Arial"/>
          <w:sz w:val="24"/>
          <w:szCs w:val="24"/>
        </w:rPr>
        <w:t xml:space="preserve"> presença de</w:t>
      </w:r>
      <w:r w:rsidR="00102A15">
        <w:rPr>
          <w:rFonts w:ascii="Arial" w:hAnsi="Arial" w:cs="Arial"/>
          <w:sz w:val="24"/>
          <w:szCs w:val="24"/>
        </w:rPr>
        <w:t>ssas</w:t>
      </w:r>
      <w:r w:rsidR="005E1536">
        <w:rPr>
          <w:rFonts w:ascii="Arial" w:hAnsi="Arial" w:cs="Arial"/>
          <w:sz w:val="24"/>
          <w:szCs w:val="24"/>
        </w:rPr>
        <w:t xml:space="preserve"> alterações</w:t>
      </w:r>
      <w:r w:rsidR="00C23233">
        <w:rPr>
          <w:rFonts w:ascii="Arial" w:hAnsi="Arial" w:cs="Arial"/>
          <w:sz w:val="24"/>
          <w:szCs w:val="24"/>
        </w:rPr>
        <w:t xml:space="preserve"> associadas</w:t>
      </w:r>
      <w:r w:rsidRPr="003F585B">
        <w:rPr>
          <w:rFonts w:ascii="Arial" w:hAnsi="Arial" w:cs="Arial"/>
          <w:sz w:val="24"/>
          <w:szCs w:val="24"/>
        </w:rPr>
        <w:t xml:space="preserve"> contribui para o diagnóstico tardio</w:t>
      </w:r>
      <w:r w:rsidR="00184C20">
        <w:rPr>
          <w:rFonts w:ascii="Arial" w:hAnsi="Arial" w:cs="Arial"/>
          <w:sz w:val="24"/>
          <w:szCs w:val="24"/>
        </w:rPr>
        <w:t xml:space="preserve"> da STC</w:t>
      </w:r>
      <w:r w:rsidR="005E1536">
        <w:rPr>
          <w:rFonts w:ascii="Arial" w:hAnsi="Arial" w:cs="Arial"/>
          <w:sz w:val="24"/>
          <w:szCs w:val="24"/>
        </w:rPr>
        <w:t>; geralmente</w:t>
      </w:r>
      <w:r w:rsidR="00184C20">
        <w:rPr>
          <w:rFonts w:ascii="Arial" w:hAnsi="Arial" w:cs="Arial"/>
          <w:sz w:val="24"/>
          <w:szCs w:val="24"/>
        </w:rPr>
        <w:t xml:space="preserve"> identificada</w:t>
      </w:r>
      <w:r w:rsidR="005E1536">
        <w:rPr>
          <w:rFonts w:ascii="Arial" w:hAnsi="Arial" w:cs="Arial"/>
          <w:sz w:val="24"/>
          <w:szCs w:val="24"/>
        </w:rPr>
        <w:t xml:space="preserve"> quando ocorre </w:t>
      </w:r>
      <w:r w:rsidRPr="003F585B">
        <w:rPr>
          <w:rFonts w:ascii="Arial" w:hAnsi="Arial" w:cs="Arial"/>
          <w:sz w:val="24"/>
          <w:szCs w:val="24"/>
        </w:rPr>
        <w:t>perda total da função da mão. N</w:t>
      </w:r>
      <w:r w:rsidR="00102A15">
        <w:rPr>
          <w:rFonts w:ascii="Arial" w:hAnsi="Arial" w:cs="Arial"/>
          <w:sz w:val="24"/>
          <w:szCs w:val="24"/>
        </w:rPr>
        <w:t>a MPS</w:t>
      </w:r>
      <w:r w:rsidRPr="003F585B">
        <w:rPr>
          <w:rFonts w:ascii="Arial" w:hAnsi="Arial" w:cs="Arial"/>
          <w:sz w:val="24"/>
          <w:szCs w:val="24"/>
        </w:rPr>
        <w:t>, o</w:t>
      </w:r>
      <w:r w:rsidR="00B6518E">
        <w:rPr>
          <w:rFonts w:ascii="Arial" w:hAnsi="Arial" w:cs="Arial"/>
          <w:sz w:val="24"/>
          <w:szCs w:val="24"/>
        </w:rPr>
        <w:t xml:space="preserve"> acúmulo intralisossomal de GAG</w:t>
      </w:r>
      <w:r w:rsidR="00EB492D">
        <w:rPr>
          <w:rFonts w:ascii="Arial" w:hAnsi="Arial" w:cs="Arial"/>
          <w:sz w:val="24"/>
          <w:szCs w:val="24"/>
        </w:rPr>
        <w:t>s</w:t>
      </w:r>
      <w:r w:rsidRPr="003F585B">
        <w:rPr>
          <w:rFonts w:ascii="Arial" w:hAnsi="Arial" w:cs="Arial"/>
          <w:sz w:val="24"/>
          <w:szCs w:val="24"/>
        </w:rPr>
        <w:t xml:space="preserve"> no tecido conjuntivo do retináculo flexor e a alteração anatômica gerada pela displasia óssea no ante</w:t>
      </w:r>
      <w:r>
        <w:rPr>
          <w:rFonts w:ascii="Arial" w:hAnsi="Arial" w:cs="Arial"/>
          <w:sz w:val="24"/>
          <w:szCs w:val="24"/>
        </w:rPr>
        <w:t>braço esclarecem a presença dest</w:t>
      </w:r>
      <w:r w:rsidRPr="003F585B">
        <w:rPr>
          <w:rFonts w:ascii="Arial" w:hAnsi="Arial" w:cs="Arial"/>
          <w:sz w:val="24"/>
          <w:szCs w:val="24"/>
        </w:rPr>
        <w:t xml:space="preserve">a injúria. Os achados do </w:t>
      </w:r>
      <w:r w:rsidR="00184C20">
        <w:rPr>
          <w:rFonts w:ascii="Arial" w:hAnsi="Arial" w:cs="Arial"/>
          <w:sz w:val="24"/>
          <w:szCs w:val="24"/>
        </w:rPr>
        <w:t xml:space="preserve">referido </w:t>
      </w:r>
      <w:r w:rsidRPr="003F585B">
        <w:rPr>
          <w:rFonts w:ascii="Arial" w:hAnsi="Arial" w:cs="Arial"/>
          <w:sz w:val="24"/>
          <w:szCs w:val="24"/>
        </w:rPr>
        <w:t>estudo justificam a condição de com</w:t>
      </w:r>
      <w:r w:rsidR="001456CA">
        <w:rPr>
          <w:rFonts w:ascii="Arial" w:hAnsi="Arial" w:cs="Arial"/>
          <w:sz w:val="24"/>
          <w:szCs w:val="24"/>
        </w:rPr>
        <w:t>prometimento da função da mão em</w:t>
      </w:r>
      <w:r w:rsidR="00102A15">
        <w:rPr>
          <w:rFonts w:ascii="Arial" w:hAnsi="Arial" w:cs="Arial"/>
          <w:sz w:val="24"/>
          <w:szCs w:val="24"/>
        </w:rPr>
        <w:t xml:space="preserve"> </w:t>
      </w:r>
      <w:r w:rsidRPr="003F585B">
        <w:rPr>
          <w:rFonts w:ascii="Arial" w:hAnsi="Arial" w:cs="Arial"/>
          <w:sz w:val="24"/>
          <w:szCs w:val="24"/>
        </w:rPr>
        <w:t>indivíduos com MPS tipo II, repercutindo sobre a habilidade de</w:t>
      </w:r>
      <w:r w:rsidR="001456CA">
        <w:rPr>
          <w:rFonts w:ascii="Arial" w:hAnsi="Arial" w:cs="Arial"/>
          <w:sz w:val="24"/>
          <w:szCs w:val="24"/>
        </w:rPr>
        <w:t xml:space="preserve"> os mesmos</w:t>
      </w:r>
      <w:r w:rsidRPr="003F585B">
        <w:rPr>
          <w:rFonts w:ascii="Arial" w:hAnsi="Arial" w:cs="Arial"/>
          <w:sz w:val="24"/>
          <w:szCs w:val="24"/>
        </w:rPr>
        <w:t xml:space="preserve"> desenvolver</w:t>
      </w:r>
      <w:r w:rsidR="001456CA">
        <w:rPr>
          <w:rFonts w:ascii="Arial" w:hAnsi="Arial" w:cs="Arial"/>
          <w:sz w:val="24"/>
          <w:szCs w:val="24"/>
        </w:rPr>
        <w:t>em</w:t>
      </w:r>
      <w:r w:rsidRPr="003F585B">
        <w:rPr>
          <w:rFonts w:ascii="Arial" w:hAnsi="Arial" w:cs="Arial"/>
          <w:sz w:val="24"/>
          <w:szCs w:val="24"/>
        </w:rPr>
        <w:t xml:space="preserve"> </w:t>
      </w:r>
      <w:r w:rsidR="001456CA">
        <w:rPr>
          <w:rFonts w:ascii="Arial" w:hAnsi="Arial" w:cs="Arial"/>
          <w:sz w:val="24"/>
          <w:szCs w:val="24"/>
        </w:rPr>
        <w:t>tarefas</w:t>
      </w:r>
      <w:r w:rsidRPr="003F585B">
        <w:rPr>
          <w:rFonts w:ascii="Arial" w:hAnsi="Arial" w:cs="Arial"/>
          <w:sz w:val="24"/>
          <w:szCs w:val="24"/>
        </w:rPr>
        <w:t xml:space="preserve"> bimanuais, de coordenação motora fina e atividades de vida diária que exigem força manual</w:t>
      </w:r>
      <w:r w:rsidR="007004E0">
        <w:rPr>
          <w:rFonts w:ascii="Arial" w:hAnsi="Arial" w:cs="Arial"/>
          <w:sz w:val="24"/>
          <w:szCs w:val="24"/>
        </w:rPr>
        <w:t>.</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"10.1002/ajmg.a.34013", "ISSN" : "1552-4833", "PMID" : "21567931", "abstract" : "Although carpal tunnel syndrome (CTS) is the most common compressive neuropathy seen in the upper extremity of adults, it is rarely seen in children. Several reports have shown that mucopolysaccharidosis type II (Hunter syndrome), a rare genetic disorder, is one of the causes of CTS in children. Usual symptoms of CTS are pain, weakness, and paresthesias in the hand and digits. However, the diagnosis of CTS in Hunter syndrome is often delayed or unrecognized because of atypical symptoms and cognitive impairment. Here, we report the prevalence, clinical manifestation, and nerve conduction profiles of CTS in 45 Hunter syndrome patients. The mean age of the study participants was 117.1 (74.9) months (range: 4-408 months); all patients were male. Forty-three (96.0%) of the 45 patients with Hunter syndrome had CTS. Bilateral CTS was observed in all patients; 73 (82.0%) of the patients' hands had severe degree of CTS. Intriguingly, in contrast with other nerve velocities, decreases in forearm conduction velocities of the median nerve were observed in 28 (31.5%) of 89 hands with CTS. There was a significant difference in age (P &lt; 0.001) between hands with normal, mild, moderate, and severe grades of CTS. The compound muscle action potential and sensory nerve action potential amplitudes of the median nerves decreased with age (CMAP, r = -0.526, P &lt; 0.001; SNAP, r = -0.564, P &lt; 0.001). Early recognition and intervention to ameliorate the symptoms of CTS are important in improving the quality of life of Hunter syndrome patients.", "author" : [ { "dropping-particle" : "", "family" : "Kwon", "given" : "Jeong-Yi", "non-dropping-particle" : "", "parse-names" : false, "suffix" : "" }, { "dropping-particle" : "", "family" : "Ko", "given" : "Kiljun", "non-dropping-particle" : "", "parse-names" : false, "suffix" : "" }, { "dropping-particle" : "", "family" : "Sohn", "given" : "Young Bae", "non-dropping-particle" : "", "parse-names" : false, "suffix" : "" }, { "dropping-particle" : "", "family" : "Kim", "given" : "Su Jin", "non-dropping-particle" : "", "parse-names" : false, "suffix" : "" }, { "dropping-particle" : "", "family" : "Park", "given" : "Sung Won", "non-dropping-particle" : "", "parse-names" : false, "suffix" : "" }, { "dropping-particle" : "", "family" : "Kim", "given" : "Se-Hwa", "non-dropping-particle" : "", "parse-names" : false, "suffix" : "" }, { "dropping-particle" : "", "family" : "Cho", "given" : "Sung-Yoon", "non-dropping-particle" : "", "parse-names" : false, "suffix" : "" }, { "dropping-particle" : "", "family" : "Jin", "given" : "Dong-Kyu", "non-dropping-particle" : "", "parse-names" : false, "suffix" : "" } ], "container-title" : "American journal of medical genetics. Part A", "id" : "ITEM-1", "issued" : { "date-parts" : [ [ "2011" ] ] }, "page" : "1329-1335", "title" : "High prevalence of carpal tunnel syndrome in children with mucopolysaccharidosis type II (Hunter syndrome).", "type" : "article-journal", "volume" : "155A" }, "uris" : [ "http://www.mendeley.com/documents/?uuid=3b0b0d7b-9cb5-45a6-8027-ae368376e55d" ] } ], "mendeley" : { "formattedCitation" : "&lt;sup&gt;57&lt;/sup&gt;", "plainTextFormattedCitation" : "57", "previouslyFormattedCitation" : "&lt;sup&gt;57&lt;/sup&gt;"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57</w:t>
      </w:r>
      <w:r w:rsidRPr="003F585B">
        <w:rPr>
          <w:rFonts w:ascii="Arial" w:hAnsi="Arial" w:cs="Arial"/>
          <w:sz w:val="24"/>
          <w:szCs w:val="24"/>
        </w:rPr>
        <w:fldChar w:fldCharType="end"/>
      </w:r>
    </w:p>
    <w:p w:rsidR="00A62F69" w:rsidRDefault="00A62F69" w:rsidP="00491682">
      <w:pPr>
        <w:spacing w:after="0" w:line="360" w:lineRule="auto"/>
        <w:jc w:val="both"/>
        <w:rPr>
          <w:rFonts w:ascii="Arial" w:hAnsi="Arial" w:cs="Arial"/>
          <w:sz w:val="24"/>
          <w:szCs w:val="24"/>
        </w:rPr>
      </w:pPr>
    </w:p>
    <w:p w:rsidR="00195481" w:rsidRDefault="00EB34BF" w:rsidP="00491682">
      <w:pPr>
        <w:spacing w:after="0" w:line="360" w:lineRule="auto"/>
        <w:jc w:val="both"/>
        <w:rPr>
          <w:rFonts w:ascii="Arial" w:hAnsi="Arial" w:cs="Arial"/>
          <w:sz w:val="24"/>
          <w:szCs w:val="24"/>
        </w:rPr>
      </w:pPr>
      <w:r w:rsidRPr="003F585B">
        <w:rPr>
          <w:rFonts w:ascii="Arial" w:hAnsi="Arial" w:cs="Arial"/>
          <w:sz w:val="24"/>
          <w:szCs w:val="24"/>
        </w:rPr>
        <w:t>Com o intuito de comparar o gast</w:t>
      </w:r>
      <w:r w:rsidR="003A659D">
        <w:rPr>
          <w:rFonts w:ascii="Arial" w:hAnsi="Arial" w:cs="Arial"/>
          <w:sz w:val="24"/>
          <w:szCs w:val="24"/>
        </w:rPr>
        <w:t>o energético</w:t>
      </w:r>
      <w:r w:rsidR="008D4141">
        <w:rPr>
          <w:rFonts w:ascii="Arial" w:hAnsi="Arial" w:cs="Arial"/>
          <w:sz w:val="24"/>
          <w:szCs w:val="24"/>
        </w:rPr>
        <w:t>,</w:t>
      </w:r>
      <w:r w:rsidR="003A659D">
        <w:rPr>
          <w:rFonts w:ascii="Arial" w:hAnsi="Arial" w:cs="Arial"/>
          <w:sz w:val="24"/>
          <w:szCs w:val="24"/>
        </w:rPr>
        <w:t xml:space="preserve"> durante a marcha, de</w:t>
      </w:r>
      <w:r w:rsidRPr="003F585B">
        <w:rPr>
          <w:rFonts w:ascii="Arial" w:hAnsi="Arial" w:cs="Arial"/>
          <w:sz w:val="24"/>
          <w:szCs w:val="24"/>
        </w:rPr>
        <w:t xml:space="preserve"> pacientes com MPS e indivíduos saudáveis, Matos et al.</w:t>
      </w:r>
      <w:r w:rsidR="007004E0">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"10.1590/S1413-78522013000200009", "ISSN" : "1413-7852", "PMID" : "24453654", "abstract" : "Objective: The aim of this study is to evaluate energy expenditure in gait by mucopolysaccharidosis affected patients by means of a simple and adequate to the clinical environment methodology. Methods: A cross-sectional study was carried out comparing energy expenditure during gait in 19 patients suffering from mucopolysaccharidosis (MPS Group) with 19 asymptomatic control individuals (Control Group). Energy expenditure was measured in calories (cal) using a Polar telemetric watch (model FT7) during a 50 meter walk. Variables such as age, weight, height, body mass index (BMI), initial hart rate, final hart rate, and walking time, were recorded. Results: MPS Group showed a mean energy expenditure during gait of 2.84 cal (\u00b11,01), versus 1.42 cal (\u00b10,51), 100% higher than the Control Group; MPS also presented increased initial hart rate (22% higher), final hart rate (13% higher) and walking time (13% higher). Conclusions: Energy expenditure during gait in MPS patients was two times higher than control individuals; the methodology used showed to be a promising alternative, also adequate to the standard clinical environment.", "author" : [ { "dropping-particle" : "", "family" : "Matos", "given" : "Marcos Almeida", "non-dropping-particle" : "", "parse-names" : false, "suffix" : "" }, { "dropping-particle" : "", "family" : "Prado", "given" : "Andre", "non-dropping-particle" : "", "parse-names" : false, "suffix" : "" }, { "dropping-particle" : "", "family" : "Schenkel", "given" : "Gustavo", "non-dropping-particle" : "", "parse-names" : false, "suffix" : "" }, { "dropping-particle" : "", "family" : "Barreto", "given" : "Rosa", "non-dropping-particle" : "", "parse-names" : false, "suffix" : "" }, { "dropping-particle" : "", "family" : "Acosta", "given" : "Angelina Xavier", "non-dropping-particle" : "", "parse-names" : false, "suffix" : "" } ], "container-title" : "Acta Ortopedica Brasileira", "id" : "ITEM-1", "issue" : "2", "issued" : { "date-parts" : [ [ "2013" ] ] }, "page" : "116-119", "title" : "Energy expenditure during gait in patients with mucopolysaccharidosis", "type" : "article-journal", "volume" : "21" }, "uris" : [ "http://www.mendeley.com/documents/?uuid=3ad0096d-3832-47e5-a785-cf0597fdb2ca" ] } ], "mendeley" : { "formattedCitation" : "&lt;sup&gt;9&lt;/sup&gt;", "plainTextFormattedCitation" : "9", "previouslyFormattedCitation" : "&lt;sup&gt;9&lt;/sup&gt;" }, "properties" : { "noteIndex" : 0 }, "schema" : "https://github.com/citation-style-language/schema/raw/master/csl-citation.json" }</w:instrText>
      </w:r>
      <w:r w:rsidR="007004E0">
        <w:rPr>
          <w:rFonts w:ascii="Arial" w:hAnsi="Arial" w:cs="Arial"/>
          <w:sz w:val="24"/>
          <w:szCs w:val="24"/>
        </w:rPr>
        <w:fldChar w:fldCharType="separate"/>
      </w:r>
      <w:r w:rsidR="001F649C" w:rsidRPr="001F649C">
        <w:rPr>
          <w:rFonts w:ascii="Arial" w:hAnsi="Arial" w:cs="Arial"/>
          <w:noProof/>
          <w:sz w:val="24"/>
          <w:szCs w:val="24"/>
          <w:vertAlign w:val="superscript"/>
        </w:rPr>
        <w:t>9</w:t>
      </w:r>
      <w:r w:rsidR="007004E0">
        <w:rPr>
          <w:rFonts w:ascii="Arial" w:hAnsi="Arial" w:cs="Arial"/>
          <w:sz w:val="24"/>
          <w:szCs w:val="24"/>
        </w:rPr>
        <w:fldChar w:fldCharType="end"/>
      </w:r>
      <w:r w:rsidRPr="003F585B">
        <w:rPr>
          <w:rFonts w:ascii="Arial" w:hAnsi="Arial" w:cs="Arial"/>
          <w:sz w:val="24"/>
          <w:szCs w:val="24"/>
        </w:rPr>
        <w:t xml:space="preserve"> realizaram uma pesquisa na qual os participantes foram submetidos a um teste de caminhada de 50 metros. Os </w:t>
      </w:r>
      <w:r w:rsidR="003A659D">
        <w:rPr>
          <w:rFonts w:ascii="Arial" w:hAnsi="Arial" w:cs="Arial"/>
          <w:sz w:val="24"/>
          <w:szCs w:val="24"/>
        </w:rPr>
        <w:t>achado</w:t>
      </w:r>
      <w:r w:rsidRPr="003F585B">
        <w:rPr>
          <w:rFonts w:ascii="Arial" w:hAnsi="Arial" w:cs="Arial"/>
          <w:sz w:val="24"/>
          <w:szCs w:val="24"/>
        </w:rPr>
        <w:t>s evidenciaram maior gasto energético em pacientes com MPS</w:t>
      </w:r>
      <w:r w:rsidR="00302F7E">
        <w:rPr>
          <w:rFonts w:ascii="Arial" w:hAnsi="Arial" w:cs="Arial"/>
          <w:sz w:val="24"/>
          <w:szCs w:val="24"/>
        </w:rPr>
        <w:t>;</w:t>
      </w:r>
      <w:r w:rsidRPr="003F585B">
        <w:rPr>
          <w:rFonts w:ascii="Arial" w:hAnsi="Arial" w:cs="Arial"/>
          <w:sz w:val="24"/>
          <w:szCs w:val="24"/>
        </w:rPr>
        <w:t xml:space="preserve"> gasto duas vezes maior àquele apresentado pelos indivíduos </w:t>
      </w:r>
      <w:r w:rsidR="003A659D">
        <w:rPr>
          <w:rFonts w:ascii="Arial" w:hAnsi="Arial" w:cs="Arial"/>
          <w:sz w:val="24"/>
          <w:szCs w:val="24"/>
        </w:rPr>
        <w:t>saudáveis</w:t>
      </w:r>
      <w:r w:rsidRPr="003F585B">
        <w:rPr>
          <w:rFonts w:ascii="Arial" w:hAnsi="Arial" w:cs="Arial"/>
          <w:sz w:val="24"/>
          <w:szCs w:val="24"/>
        </w:rPr>
        <w:t>. Além disso, a frequência cardíaca</w:t>
      </w:r>
      <w:r w:rsidR="00302F7E">
        <w:rPr>
          <w:rFonts w:ascii="Arial" w:hAnsi="Arial" w:cs="Arial"/>
          <w:sz w:val="24"/>
          <w:szCs w:val="24"/>
        </w:rPr>
        <w:t>,</w:t>
      </w:r>
      <w:r w:rsidRPr="003F585B">
        <w:rPr>
          <w:rFonts w:ascii="Arial" w:hAnsi="Arial" w:cs="Arial"/>
          <w:sz w:val="24"/>
          <w:szCs w:val="24"/>
        </w:rPr>
        <w:t xml:space="preserve"> inicial e final</w:t>
      </w:r>
      <w:r w:rsidR="00302F7E">
        <w:rPr>
          <w:rFonts w:ascii="Arial" w:hAnsi="Arial" w:cs="Arial"/>
          <w:sz w:val="24"/>
          <w:szCs w:val="24"/>
        </w:rPr>
        <w:t>,</w:t>
      </w:r>
      <w:r w:rsidRPr="003F585B">
        <w:rPr>
          <w:rFonts w:ascii="Arial" w:hAnsi="Arial" w:cs="Arial"/>
          <w:sz w:val="24"/>
          <w:szCs w:val="24"/>
        </w:rPr>
        <w:t xml:space="preserve"> e o tempo </w:t>
      </w:r>
      <w:r w:rsidR="003A659D">
        <w:rPr>
          <w:rFonts w:ascii="Arial" w:hAnsi="Arial" w:cs="Arial"/>
          <w:sz w:val="24"/>
          <w:szCs w:val="24"/>
        </w:rPr>
        <w:t>para</w:t>
      </w:r>
      <w:r w:rsidRPr="003F585B">
        <w:rPr>
          <w:rFonts w:ascii="Arial" w:hAnsi="Arial" w:cs="Arial"/>
          <w:sz w:val="24"/>
          <w:szCs w:val="24"/>
        </w:rPr>
        <w:t xml:space="preserve"> realização da tarefa foram maiores no grupo com MPS</w:t>
      </w:r>
      <w:r w:rsidR="00FC159C">
        <w:rPr>
          <w:rFonts w:ascii="Arial" w:hAnsi="Arial" w:cs="Arial"/>
          <w:sz w:val="24"/>
          <w:szCs w:val="24"/>
        </w:rPr>
        <w:t>, em relação aos valores do grupo comparação</w:t>
      </w:r>
      <w:r w:rsidRPr="003F585B">
        <w:rPr>
          <w:rFonts w:ascii="Arial" w:hAnsi="Arial" w:cs="Arial"/>
          <w:sz w:val="24"/>
          <w:szCs w:val="24"/>
        </w:rPr>
        <w:t xml:space="preserve"> (22%, 13% e 25% maiores, respectivamente)</w:t>
      </w:r>
      <w:r w:rsidR="007004E0">
        <w:rPr>
          <w:rFonts w:ascii="Arial" w:hAnsi="Arial" w:cs="Arial"/>
          <w:sz w:val="24"/>
          <w:szCs w:val="24"/>
        </w:rPr>
        <w:t>.</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"10.1590/S1413-78522013000200009", "ISSN" : "1413-7852", "PMID" : "24453654", "abstract" : "Objective: The aim of this study is to evaluate energy expenditure in gait by mucopolysaccharidosis affected patients by means of a simple and adequate to the clinical environment methodology. Methods: A cross-sectional study was carried out comparing energy expenditure during gait in 19 patients suffering from mucopolysaccharidosis (MPS Group) with 19 asymptomatic control individuals (Control Group). Energy expenditure was measured in calories (cal) using a Polar telemetric watch (model FT7) during a 50 meter walk. Variables such as age, weight, height, body mass index (BMI), initial hart rate, final hart rate, and walking time, were recorded. Results: MPS Group showed a mean energy expenditure during gait of 2.84 cal (\u00b11,01), versus 1.42 cal (\u00b10,51), 100% higher than the Control Group; MPS also presented increased initial hart rate (22% higher), final hart rate (13% higher) and walking time (13% higher). Conclusions: Energy expenditure during gait in MPS patients was two times higher than control individuals; the methodology used showed to be a promising alternative, also adequate to the standard clinical environment.", "author" : [ { "dropping-particle" : "", "family" : "Matos", "given" : "Marcos Almeida", "non-dropping-particle" : "", "parse-names" : false, "suffix" : "" }, { "dropping-particle" : "", "family" : "Prado", "given" : "Andre", "non-dropping-particle" : "", "parse-names" : false, "suffix" : "" }, { "dropping-particle" : "", "family" : "Schenkel", "given" : "Gustavo", "non-dropping-particle" : "", "parse-names" : false, "suffix" : "" }, { "dropping-particle" : "", "family" : "Barreto", "given" : "Rosa", "non-dropping-particle" : "", "parse-names" : false, "suffix" : "" }, { "dropping-particle" : "", "family" : "Acosta", "given" : "Angelina Xavier", "non-dropping-particle" : "", "parse-names" : false, "suffix" : "" } ], "container-title" : "Acta Ortopedica Brasileira", "id" : "ITEM-1", "issue" : "2", "issued" : { "date-parts" : [ [ "2013" ] ] }, "page" : "116-119", "title" : "Energy expenditure during gait in patients with mucopolysaccharidosis", "type" : "article-journal", "volume" : "21" }, "uris" : [ "http://www.mendeley.com/documents/?uuid=3ad0096d-3832-47e5-a785-cf0597fdb2ca" ] } ], "mendeley" : { "formattedCitation" : "&lt;sup&gt;9&lt;/sup&gt;", "plainTextFormattedCitation" : "9", "previouslyFormattedCitation" : "&lt;sup&gt;9&lt;/sup&gt;"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9</w:t>
      </w:r>
      <w:r w:rsidRPr="003F585B">
        <w:rPr>
          <w:rFonts w:ascii="Arial" w:hAnsi="Arial" w:cs="Arial"/>
          <w:sz w:val="24"/>
          <w:szCs w:val="24"/>
        </w:rPr>
        <w:fldChar w:fldCharType="end"/>
      </w:r>
    </w:p>
    <w:p w:rsidR="00EB34BF" w:rsidRDefault="00AA6183" w:rsidP="00491682">
      <w:pPr>
        <w:spacing w:after="0" w:line="360" w:lineRule="auto"/>
        <w:jc w:val="both"/>
        <w:rPr>
          <w:rFonts w:ascii="Arial" w:hAnsi="Arial" w:cs="Arial"/>
          <w:sz w:val="24"/>
          <w:szCs w:val="24"/>
        </w:rPr>
      </w:pPr>
      <w:r>
        <w:rPr>
          <w:rFonts w:ascii="Arial" w:hAnsi="Arial" w:cs="Arial"/>
          <w:sz w:val="24"/>
          <w:szCs w:val="24"/>
        </w:rPr>
        <w:lastRenderedPageBreak/>
        <w:t>Ainda n</w:t>
      </w:r>
      <w:r w:rsidR="00EB34BF" w:rsidRPr="003F585B">
        <w:rPr>
          <w:rFonts w:ascii="Arial" w:hAnsi="Arial" w:cs="Arial"/>
          <w:sz w:val="24"/>
          <w:szCs w:val="24"/>
        </w:rPr>
        <w:t>o referido estudo</w:t>
      </w:r>
      <w:r w:rsidR="00195481">
        <w:rPr>
          <w:rFonts w:ascii="Arial" w:hAnsi="Arial" w:cs="Arial"/>
          <w:sz w:val="24"/>
          <w:szCs w:val="24"/>
        </w:rPr>
        <w:fldChar w:fldCharType="begin" w:fldLock="1"/>
      </w:r>
      <w:r w:rsidR="00890D5B">
        <w:rPr>
          <w:rFonts w:ascii="Arial" w:hAnsi="Arial" w:cs="Arial"/>
          <w:sz w:val="24"/>
          <w:szCs w:val="24"/>
        </w:rPr>
        <w:instrText>ADDIN CSL_CITATION { "citationItems" : [ { "id" : "ITEM-1", "itemData" : { "DOI" : "10.1590/S1413-78522013000200009", "ISSN" : "1413-7852", "PMID" : "24453654", "abstract" : "Objective: The aim of this study is to evaluate energy expenditure in gait by mucopolysaccharidosis affected patients by means of a simple and adequate to the clinical environment methodology. Methods: A cross-sectional study was carried out comparing energy expenditure during gait in 19 patients suffering from mucopolysaccharidosis (MPS Group) with 19 asymptomatic control individuals (Control Group). Energy expenditure was measured in calories (cal) using a Polar telemetric watch (model FT7) during a 50 meter walk. Variables such as age, weight, height, body mass index (BMI), initial hart rate, final hart rate, and walking time, were recorded. Results: MPS Group showed a mean energy expenditure during gait of 2.84 cal (\u00b11,01), versus 1.42 cal (\u00b10,51), 100% higher than the Control Group; MPS also presented increased initial hart rate (22% higher), final hart rate (13% higher) and walking time (13% higher). Conclusions: Energy expenditure during gait in MPS patients was two times higher than control individuals; the methodology used showed to be a promising alternative, also adequate to the standard clinical environment.", "author" : [ { "dropping-particle" : "", "family" : "Matos", "given" : "Marcos Almeida", "non-dropping-particle" : "", "parse-names" : false, "suffix" : "" }, { "dropping-particle" : "", "family" : "Prado", "given" : "Andre", "non-dropping-particle" : "", "parse-names" : false, "suffix" : "" }, { "dropping-particle" : "", "family" : "Schenkel", "given" : "Gustavo", "non-dropping-particle" : "", "parse-names" : false, "suffix" : "" }, { "dropping-particle" : "", "family" : "Barreto", "given" : "Rosa", "non-dropping-particle" : "", "parse-names" : false, "suffix" : "" }, { "dropping-particle" : "", "family" : "Acosta", "given" : "Angelina Xavier", "non-dropping-particle" : "", "parse-names" : false, "suffix" : "" } ], "container-title" : "Acta Ortopedica Brasileira", "id" : "ITEM-1", "issue" : "2", "issued" : { "date-parts" : [ [ "2013" ] ] }, "page" : "116-119", "title" : "Energy expenditure during gait in patients with mucopolysaccharidosis", "type" : "article-journal", "volume" : "21" }, "uris" : [ "http://www.mendeley.com/documents/?uuid=3ad0096d-3832-47e5-a785-cf0597fdb2ca" ] } ], "mendeley" : { "formattedCitation" : "&lt;sup&gt;9&lt;/sup&gt;", "plainTextFormattedCitation" : "9", "previouslyFormattedCitation" : "&lt;sup&gt;9&lt;/sup&gt;" }, "properties" : { "noteIndex" : 0 }, "schema" : "https://github.com/citation-style-language/schema/raw/master/csl-citation.json" }</w:instrText>
      </w:r>
      <w:r w:rsidR="00195481">
        <w:rPr>
          <w:rFonts w:ascii="Arial" w:hAnsi="Arial" w:cs="Arial"/>
          <w:sz w:val="24"/>
          <w:szCs w:val="24"/>
        </w:rPr>
        <w:fldChar w:fldCharType="separate"/>
      </w:r>
      <w:r w:rsidR="00195481" w:rsidRPr="00195481">
        <w:rPr>
          <w:rFonts w:ascii="Arial" w:hAnsi="Arial" w:cs="Arial"/>
          <w:noProof/>
          <w:sz w:val="24"/>
          <w:szCs w:val="24"/>
          <w:vertAlign w:val="superscript"/>
        </w:rPr>
        <w:t>9</w:t>
      </w:r>
      <w:r w:rsidR="00195481">
        <w:rPr>
          <w:rFonts w:ascii="Arial" w:hAnsi="Arial" w:cs="Arial"/>
          <w:sz w:val="24"/>
          <w:szCs w:val="24"/>
        </w:rPr>
        <w:fldChar w:fldCharType="end"/>
      </w:r>
      <w:r w:rsidR="00EB34BF" w:rsidRPr="003F585B">
        <w:rPr>
          <w:rFonts w:ascii="Arial" w:hAnsi="Arial" w:cs="Arial"/>
          <w:sz w:val="24"/>
          <w:szCs w:val="24"/>
        </w:rPr>
        <w:t>, os autores reportam que o aumento da frequência cardíaca, incluindo a basal, reflete a deterioração da função cardiopulmonar</w:t>
      </w:r>
      <w:r w:rsidR="008D4141">
        <w:rPr>
          <w:rFonts w:ascii="Arial" w:hAnsi="Arial" w:cs="Arial"/>
          <w:sz w:val="24"/>
          <w:szCs w:val="24"/>
        </w:rPr>
        <w:t xml:space="preserve"> desses sujeitos</w:t>
      </w:r>
      <w:r w:rsidR="00EB34BF" w:rsidRPr="003F585B">
        <w:rPr>
          <w:rFonts w:ascii="Arial" w:hAnsi="Arial" w:cs="Arial"/>
          <w:sz w:val="24"/>
          <w:szCs w:val="24"/>
        </w:rPr>
        <w:t>. E a necessidade de um tempo maior par</w:t>
      </w:r>
      <w:r w:rsidR="00202335">
        <w:rPr>
          <w:rFonts w:ascii="Arial" w:hAnsi="Arial" w:cs="Arial"/>
          <w:sz w:val="24"/>
          <w:szCs w:val="24"/>
        </w:rPr>
        <w:t xml:space="preserve">a percorrer a distância proposta </w:t>
      </w:r>
      <w:r w:rsidR="0057044B">
        <w:rPr>
          <w:rFonts w:ascii="Arial" w:hAnsi="Arial" w:cs="Arial"/>
          <w:sz w:val="24"/>
          <w:szCs w:val="24"/>
        </w:rPr>
        <w:t>relaciona-se à dificuldade para</w:t>
      </w:r>
      <w:r w:rsidR="00EB34BF" w:rsidRPr="003F585B">
        <w:rPr>
          <w:rFonts w:ascii="Arial" w:hAnsi="Arial" w:cs="Arial"/>
          <w:sz w:val="24"/>
          <w:szCs w:val="24"/>
        </w:rPr>
        <w:t xml:space="preserve"> locomoção</w:t>
      </w:r>
      <w:r w:rsidR="00EB34BF"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"10.1590/S1413-78522013000200009", "ISSN" : "1413-7852", "PMID" : "24453654", "abstract" : "Objective: The aim of this study is to evaluate energy expenditure in gait by mucopolysaccharidosis affected patients by means of a simple and adequate to the clinical environment methodology. Methods: A cross-sectional study was carried out comparing energy expenditure during gait in 19 patients suffering from mucopolysaccharidosis (MPS Group) with 19 asymptomatic control individuals (Control Group). Energy expenditure was measured in calories (cal) using a Polar telemetric watch (model FT7) during a 50 meter walk. Variables such as age, weight, height, body mass index (BMI), initial hart rate, final hart rate, and walking time, were recorded. Results: MPS Group showed a mean energy expenditure during gait of 2.84 cal (\u00b11,01), versus 1.42 cal (\u00b10,51), 100% higher than the Control Group; MPS also presented increased initial hart rate (22% higher), final hart rate (13% higher) and walking time (13% higher). Conclusions: Energy expenditure during gait in MPS patients was two times higher than control individuals; the methodology used showed to be a promising alternative, also adequate to the standard clinical environment.", "author" : [ { "dropping-particle" : "", "family" : "Matos", "given" : "Marcos Almeida", "non-dropping-particle" : "", "parse-names" : false, "suffix" : "" }, { "dropping-particle" : "", "family" : "Prado", "given" : "Andre", "non-dropping-particle" : "", "parse-names" : false, "suffix" : "" }, { "dropping-particle" : "", "family" : "Schenkel", "given" : "Gustavo", "non-dropping-particle" : "", "parse-names" : false, "suffix" : "" }, { "dropping-particle" : "", "family" : "Barreto", "given" : "Rosa", "non-dropping-particle" : "", "parse-names" : false, "suffix" : "" }, { "dropping-particle" : "", "family" : "Acosta", "given" : "Angelina Xavier", "non-dropping-particle" : "", "parse-names" : false, "suffix" : "" } ], "container-title" : "Acta Ortopedica Brasileira", "id" : "ITEM-1", "issue" : "2", "issued" : { "date-parts" : [ [ "2013" ] ] }, "page" : "116-119", "title" : "Energy expenditure during gait in patients with mucopolysaccharidosis", "type" : "article-journal", "volume" : "21" }, "uris" : [ "http://www.mendeley.com/documents/?uuid=3ad0096d-3832-47e5-a785-cf0597fdb2ca" ] } ], "mendeley" : { "formattedCitation" : "&lt;sup&gt;9&lt;/sup&gt;", "plainTextFormattedCitation" : "9", "previouslyFormattedCitation" : "&lt;sup&gt;9&lt;/sup&gt;" }, "properties" : { "noteIndex" : 0 }, "schema" : "https://github.com/citation-style-language/schema/raw/master/csl-citation.json" }</w:instrText>
      </w:r>
      <w:r w:rsidR="00EB34BF" w:rsidRPr="003F585B">
        <w:rPr>
          <w:rFonts w:ascii="Arial" w:hAnsi="Arial" w:cs="Arial"/>
          <w:sz w:val="24"/>
          <w:szCs w:val="24"/>
        </w:rPr>
        <w:fldChar w:fldCharType="separate"/>
      </w:r>
      <w:r w:rsidR="001F649C" w:rsidRPr="001F649C">
        <w:rPr>
          <w:rFonts w:ascii="Arial" w:hAnsi="Arial" w:cs="Arial"/>
          <w:noProof/>
          <w:sz w:val="24"/>
          <w:szCs w:val="24"/>
          <w:vertAlign w:val="superscript"/>
        </w:rPr>
        <w:t>9</w:t>
      </w:r>
      <w:r w:rsidR="00EB34BF" w:rsidRPr="003F585B">
        <w:rPr>
          <w:rFonts w:ascii="Arial" w:hAnsi="Arial" w:cs="Arial"/>
          <w:sz w:val="24"/>
          <w:szCs w:val="24"/>
        </w:rPr>
        <w:fldChar w:fldCharType="end"/>
      </w:r>
      <w:r w:rsidR="00202335">
        <w:rPr>
          <w:rFonts w:ascii="Arial" w:hAnsi="Arial" w:cs="Arial"/>
          <w:sz w:val="24"/>
          <w:szCs w:val="24"/>
        </w:rPr>
        <w:t xml:space="preserve"> – </w:t>
      </w:r>
      <w:r w:rsidR="00EB34BF" w:rsidRPr="003F585B">
        <w:rPr>
          <w:rFonts w:ascii="Arial" w:hAnsi="Arial" w:cs="Arial"/>
          <w:sz w:val="24"/>
          <w:szCs w:val="24"/>
        </w:rPr>
        <w:t>ou pela presença de limitação articular para extensão dos joelhos ou pela deformidade em pé equino</w:t>
      </w:r>
      <w:r w:rsidR="00EB34BF"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"10.1177/0883073812438100", "ISBN" : "0883-0738", "ISSN" : "0883-0738", "abstract" : "Mucopolysaccharidoses are lysosomal storage disorders that are caused by a deficiency in the enzymes that degrade glycosaminoglycans. The accumulation of glycosaminoglycans affects multiple systems, resulting in coarse facial features, short stature, organomegaly, and variable neurological changes from normal intelligence to severe mental retardation and spasticity. Effects on the musculoskeletal system include dysostosis multiplex, joint stiffness, and muscle shortening. This article reports 2 patients with mucopolysaccharidosis type II (Hunter syndrome) who showed progressive equinus deformity of the feet. Both patients were treated with intramuscular botulinum toxin type A injections in the gastrocnemius and the soleus muscles, followed by serial casting. In both patients, passive range of motion, muscle tone, and gait performance were significantly improved. Botulinum toxin type A injections followed by serial casting are a therapeutic option for contractures in patients with mucopolysaccharidosis. However, the long-term effects and the effect of application in other muscles remain unknown. \u00a9 The Author(s) 2012.", "author" : [ { "dropping-particle" : "", "family" : "Nava E, Weber P, Gautschi M, Nuoffer JM", "given" : "Grunt S.", "non-dropping-particle" : "", "parse-names" : false, "suffix" : "" } ], "container-title" : "Journal of Child Neurology", "id" : "ITEM-1", "issue" : "12", "issued" : { "date-parts" : [ [ "2012" ] ] }, "page" : "1611-1615", "title" : "Botulinum toxin type A for the treatment of equinus deformity in patients with mucopolysaccharidosis type II", "type" : "article-journal", "volume" : "27" }, "uris" : [ "http://www.mendeley.com/documents/?uuid=fe084139-217b-4f6c-825f-c2e9ff97fa43" ] } ], "mendeley" : { "formattedCitation" : "&lt;sup&gt;31&lt;/sup&gt;", "plainTextFormattedCitation" : "31", "previouslyFormattedCitation" : "&lt;sup&gt;31&lt;/sup&gt;" }, "properties" : { "noteIndex" : 0 }, "schema" : "https://github.com/citation-style-language/schema/raw/master/csl-citation.json" }</w:instrText>
      </w:r>
      <w:r w:rsidR="00EB34BF" w:rsidRPr="003F585B">
        <w:rPr>
          <w:rFonts w:ascii="Arial" w:hAnsi="Arial" w:cs="Arial"/>
          <w:sz w:val="24"/>
          <w:szCs w:val="24"/>
        </w:rPr>
        <w:fldChar w:fldCharType="separate"/>
      </w:r>
      <w:r w:rsidR="001F649C" w:rsidRPr="001F649C">
        <w:rPr>
          <w:rFonts w:ascii="Arial" w:hAnsi="Arial" w:cs="Arial"/>
          <w:noProof/>
          <w:sz w:val="24"/>
          <w:szCs w:val="24"/>
          <w:vertAlign w:val="superscript"/>
        </w:rPr>
        <w:t>31</w:t>
      </w:r>
      <w:r w:rsidR="00EB34BF" w:rsidRPr="003F585B">
        <w:rPr>
          <w:rFonts w:ascii="Arial" w:hAnsi="Arial" w:cs="Arial"/>
          <w:sz w:val="24"/>
          <w:szCs w:val="24"/>
        </w:rPr>
        <w:fldChar w:fldCharType="end"/>
      </w:r>
      <w:r w:rsidR="00EB34BF" w:rsidRPr="003F585B">
        <w:rPr>
          <w:rFonts w:ascii="Arial" w:hAnsi="Arial" w:cs="Arial"/>
          <w:sz w:val="24"/>
          <w:szCs w:val="24"/>
        </w:rPr>
        <w:t xml:space="preserve">, por exemplo. Neste sentido, os resultados podem ser explicados pelo fato de </w:t>
      </w:r>
      <w:r w:rsidR="008D4141">
        <w:rPr>
          <w:rFonts w:ascii="Arial" w:hAnsi="Arial" w:cs="Arial"/>
          <w:sz w:val="24"/>
          <w:szCs w:val="24"/>
        </w:rPr>
        <w:t xml:space="preserve">que </w:t>
      </w:r>
      <w:r w:rsidR="00EB34BF" w:rsidRPr="003F585B">
        <w:rPr>
          <w:rFonts w:ascii="Arial" w:hAnsi="Arial" w:cs="Arial"/>
          <w:sz w:val="24"/>
          <w:szCs w:val="24"/>
        </w:rPr>
        <w:t>quanto ma</w:t>
      </w:r>
      <w:r w:rsidR="000058E7">
        <w:rPr>
          <w:rFonts w:ascii="Arial" w:hAnsi="Arial" w:cs="Arial"/>
          <w:sz w:val="24"/>
          <w:szCs w:val="24"/>
        </w:rPr>
        <w:t>is grave a condição clínica dess</w:t>
      </w:r>
      <w:r w:rsidR="00EB34BF" w:rsidRPr="003F585B">
        <w:rPr>
          <w:rFonts w:ascii="Arial" w:hAnsi="Arial" w:cs="Arial"/>
          <w:sz w:val="24"/>
          <w:szCs w:val="24"/>
        </w:rPr>
        <w:t>es pacientes, maiores as repercussões sobre a funcionalidade dos mesmos</w:t>
      </w:r>
      <w:r w:rsidR="008D4141">
        <w:rPr>
          <w:rFonts w:ascii="Arial" w:hAnsi="Arial" w:cs="Arial"/>
          <w:sz w:val="24"/>
          <w:szCs w:val="24"/>
        </w:rPr>
        <w:t>.</w:t>
      </w:r>
      <w:r w:rsidR="00EB34BF" w:rsidRPr="003F585B">
        <w:rPr>
          <w:rFonts w:ascii="Arial" w:hAnsi="Arial" w:cs="Arial"/>
          <w:sz w:val="24"/>
          <w:szCs w:val="24"/>
          <w:vertAlign w:val="superscript"/>
        </w:rPr>
        <w:t>6</w:t>
      </w:r>
    </w:p>
    <w:p w:rsidR="00A62F69" w:rsidRDefault="00A62F69" w:rsidP="00491682">
      <w:pPr>
        <w:spacing w:after="0" w:line="360" w:lineRule="auto"/>
        <w:jc w:val="both"/>
        <w:rPr>
          <w:rFonts w:ascii="Arial" w:hAnsi="Arial" w:cs="Arial"/>
          <w:sz w:val="24"/>
          <w:szCs w:val="24"/>
        </w:rPr>
      </w:pPr>
    </w:p>
    <w:p w:rsidR="00EB34BF" w:rsidRDefault="00EB34BF" w:rsidP="00491682">
      <w:pPr>
        <w:spacing w:after="0" w:line="360" w:lineRule="auto"/>
        <w:jc w:val="both"/>
        <w:rPr>
          <w:rFonts w:ascii="Arial" w:hAnsi="Arial" w:cs="Arial"/>
          <w:sz w:val="24"/>
          <w:szCs w:val="24"/>
        </w:rPr>
      </w:pPr>
      <w:r>
        <w:rPr>
          <w:rFonts w:ascii="Arial" w:hAnsi="Arial" w:cs="Arial"/>
          <w:sz w:val="24"/>
          <w:szCs w:val="24"/>
        </w:rPr>
        <w:t xml:space="preserve">Diante </w:t>
      </w:r>
      <w:r w:rsidR="00771EC4">
        <w:rPr>
          <w:rFonts w:ascii="Arial" w:hAnsi="Arial" w:cs="Arial"/>
          <w:sz w:val="24"/>
          <w:szCs w:val="24"/>
        </w:rPr>
        <w:t>do exposto</w:t>
      </w:r>
      <w:r>
        <w:rPr>
          <w:rFonts w:ascii="Arial" w:hAnsi="Arial" w:cs="Arial"/>
          <w:sz w:val="24"/>
          <w:szCs w:val="24"/>
        </w:rPr>
        <w:t xml:space="preserve">, percebe-se que as alterações morfológicas </w:t>
      </w:r>
      <w:r w:rsidR="00777686">
        <w:rPr>
          <w:rFonts w:ascii="Arial" w:hAnsi="Arial" w:cs="Arial"/>
          <w:sz w:val="24"/>
          <w:szCs w:val="24"/>
        </w:rPr>
        <w:t>decorrentes</w:t>
      </w:r>
      <w:r w:rsidR="00260DE1">
        <w:rPr>
          <w:rFonts w:ascii="Arial" w:hAnsi="Arial" w:cs="Arial"/>
          <w:sz w:val="24"/>
          <w:szCs w:val="24"/>
        </w:rPr>
        <w:t xml:space="preserve"> da</w:t>
      </w:r>
      <w:r>
        <w:rPr>
          <w:rFonts w:ascii="Arial" w:hAnsi="Arial" w:cs="Arial"/>
          <w:sz w:val="24"/>
          <w:szCs w:val="24"/>
        </w:rPr>
        <w:t xml:space="preserve"> mucopolissacaridose podem repercutir sobre as funções motora e cognitiva dos indivíduos, interferindo na capacidade destes</w:t>
      </w:r>
      <w:r w:rsidR="00771EC4">
        <w:rPr>
          <w:rFonts w:ascii="Arial" w:hAnsi="Arial" w:cs="Arial"/>
          <w:sz w:val="24"/>
          <w:szCs w:val="24"/>
        </w:rPr>
        <w:t xml:space="preserve"> para realização de</w:t>
      </w:r>
      <w:r>
        <w:rPr>
          <w:rFonts w:ascii="Arial" w:hAnsi="Arial" w:cs="Arial"/>
          <w:sz w:val="24"/>
          <w:szCs w:val="24"/>
        </w:rPr>
        <w:t xml:space="preserve"> atividades como alimentação, higiene pessoal, vestuário, locomoção e participação social</w:t>
      </w:r>
      <w:r w:rsidR="00771EC4">
        <w:rPr>
          <w:rFonts w:ascii="Arial" w:hAnsi="Arial" w:cs="Arial"/>
          <w:sz w:val="24"/>
          <w:szCs w:val="24"/>
        </w:rPr>
        <w:t>.</w:t>
      </w:r>
      <w:r>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"10.1007/8904", "ISBN" : "978-3-642-32441-3", "ISSN" : "01487299", "PMID" : "23430905", "abstract" : "Objectives: We quantified medical signs and symptoms to construct the Physical Symptom Score (PSS) for use in research to assess somatic disease burden in mucopolysaccharidoses (MPS) to track disease and monitor treatments. We examined scoring reliability, its concurrent validity with other measures, and relationship to age in MPS type I. Methods: Fifty-four patients with MPS I (36 with Hurler syndrome treated with hematopoietic cell transplant and 18 with attenuated MPS I treated with enzyme replacement therapy), ages 5 to 18 years, were seen longitudinally over 5 years. The summation of frequency and severity of signs of specific organ involvement, surgeries, and hydrocephalus drawn from medical histories comprise the PSS. We examined relationship to age and to daily living skills (DLS) from the Vineland Adaptive Behavior Scale and physical quality of life from the Child Health Questionnaire (CHQ) for each group. Results: The PSS was associated with age in both groups, indicating increase in disease burden over time. The PSS was significantly negatively associated with DLS (r \u00bc ?0.48) and CHQ (r \u00bc?0.55) in the attenuated MPS I but not in the Hurler group.", "author" : [ { "dropping-particle" : "", "family" : "Ahmed A, Rudser K, Kunin-Batson A, Delaney K, Whitley C", "given" : "Shapiro E.", "non-dropping-particle" : "", "parse-names" : false, "suffix" : "" } ], "container-title" : "JIMD Reports", "id" : "ITEM-1", "issued" : { "date-parts" : [ [ "2016" ] ] }, "page" : "61-68", "title" : "Mucopolysaccharidosis (MPS) Physical Symptom Score: Development, Reliability, and Validity", "type" : "article-journal", "volume" : "26" }, "uris" : [ "http://www.mendeley.com/documents/?uuid=54e6f63d-f8aa-4954-ad37-166540ebf6f7" ] }, { "id" : "ITEM-2", "itemData" : { "DOI" : "10.3233/PRM-2012-0194", "ISSN" : "18745393", "PMID" : "22543891", "abstract" : "The mucopolysaccharidoses (MPS) are rare genetic disorders caused by a deficiency in lysosomal enzymes that affect the catabolism of glycosaminoglycans and cause their accumulation, resulting in a multisystemic clinical picture. Their clinical manifestations result in limited ability to perform daily life tasks.", "author" : [ { "dropping-particle" : "", "family" : "Guarany", "given" : "Nicole Ruas", "non-dropping-particle" : "", "parse-names" : false, "suffix" : "" }, { "dropping-particle" : "", "family" : "Schwartz", "given" : "Ida Vanessa D", "non-dropping-particle" : "", "parse-names" : false, "suffix" : "" }, { "dropping-particle" : "", "family" : "Guarany", "given" : "F\u00e1bio Coelho", "non-dropping-particle" : "", "parse-names" : false, "suffix" : "" }, { "dropping-particle" : "", "family" : "Giugliani", "given" : "Roberto", "non-dropping-particle" : "", "parse-names" : false, "suffix" : "" } ], "container-title" : "Journal of Pediatric Rehabilitation Medicine", "id" : "ITEM-2", "issue" : "1", "issued" : { "date-parts" : [ [ "2012" ] ] }, "page" : "37-46", "title" : "Functional capacity evaluation of patients with mucopolysaccharidosis", "type" : "article-journal", "volume" : "5" }, "uris" : [ "http://www.mendeley.com/documents/?uuid=4129becd-066a-4258-a413-78a5846e72a7" ] } ], "mendeley" : { "formattedCitation" : "&lt;sup&gt;32,60&lt;/sup&gt;", "plainTextFormattedCitation" : "32,60", "previouslyFormattedCitation" : "&lt;sup&gt;32,60&lt;/sup&gt;" }, "properties" : { "noteIndex" : 0 }, "schema" : "https://github.com/citation-style-language/schema/raw/master/csl-citation.json" }</w:instrText>
      </w:r>
      <w:r>
        <w:rPr>
          <w:rFonts w:ascii="Arial" w:hAnsi="Arial" w:cs="Arial"/>
          <w:sz w:val="24"/>
          <w:szCs w:val="24"/>
        </w:rPr>
        <w:fldChar w:fldCharType="separate"/>
      </w:r>
      <w:r w:rsidR="00412B48" w:rsidRPr="00412B48">
        <w:rPr>
          <w:rFonts w:ascii="Arial" w:hAnsi="Arial" w:cs="Arial"/>
          <w:noProof/>
          <w:sz w:val="24"/>
          <w:szCs w:val="24"/>
          <w:vertAlign w:val="superscript"/>
        </w:rPr>
        <w:t>32,60</w:t>
      </w:r>
      <w:r>
        <w:rPr>
          <w:rFonts w:ascii="Arial" w:hAnsi="Arial" w:cs="Arial"/>
          <w:sz w:val="24"/>
          <w:szCs w:val="24"/>
        </w:rPr>
        <w:fldChar w:fldCharType="end"/>
      </w:r>
      <w:r>
        <w:rPr>
          <w:rFonts w:ascii="Arial" w:hAnsi="Arial" w:cs="Arial"/>
          <w:sz w:val="24"/>
          <w:szCs w:val="24"/>
        </w:rPr>
        <w:t xml:space="preserve"> Desta forma, convém avaliar a independência funcional d</w:t>
      </w:r>
      <w:r w:rsidR="00771EC4">
        <w:rPr>
          <w:rFonts w:ascii="Arial" w:hAnsi="Arial" w:cs="Arial"/>
          <w:sz w:val="24"/>
          <w:szCs w:val="24"/>
        </w:rPr>
        <w:t>os</w:t>
      </w:r>
      <w:r>
        <w:rPr>
          <w:rFonts w:ascii="Arial" w:hAnsi="Arial" w:cs="Arial"/>
          <w:sz w:val="24"/>
          <w:szCs w:val="24"/>
        </w:rPr>
        <w:t xml:space="preserve"> pacientes </w:t>
      </w:r>
      <w:r w:rsidR="00771EC4">
        <w:rPr>
          <w:rFonts w:ascii="Arial" w:hAnsi="Arial" w:cs="Arial"/>
          <w:sz w:val="24"/>
          <w:szCs w:val="24"/>
        </w:rPr>
        <w:t>diagnosticados com</w:t>
      </w:r>
      <w:r>
        <w:rPr>
          <w:rFonts w:ascii="Arial" w:hAnsi="Arial" w:cs="Arial"/>
          <w:sz w:val="24"/>
          <w:szCs w:val="24"/>
        </w:rPr>
        <w:t xml:space="preserve"> MPS</w:t>
      </w:r>
      <w:r w:rsidR="00771EC4">
        <w:rPr>
          <w:rFonts w:ascii="Arial" w:hAnsi="Arial" w:cs="Arial"/>
          <w:sz w:val="24"/>
          <w:szCs w:val="24"/>
        </w:rPr>
        <w:t>. Assim, será possível aos profissionais de saúde</w:t>
      </w:r>
      <w:r>
        <w:rPr>
          <w:rFonts w:ascii="Arial" w:hAnsi="Arial" w:cs="Arial"/>
          <w:sz w:val="24"/>
          <w:szCs w:val="24"/>
        </w:rPr>
        <w:t xml:space="preserve"> conhecer o desempenho d</w:t>
      </w:r>
      <w:r w:rsidR="00771EC4">
        <w:rPr>
          <w:rFonts w:ascii="Arial" w:hAnsi="Arial" w:cs="Arial"/>
          <w:sz w:val="24"/>
          <w:szCs w:val="24"/>
        </w:rPr>
        <w:t>esses indivíduos</w:t>
      </w:r>
      <w:r>
        <w:rPr>
          <w:rFonts w:ascii="Arial" w:hAnsi="Arial" w:cs="Arial"/>
          <w:sz w:val="24"/>
          <w:szCs w:val="24"/>
        </w:rPr>
        <w:t xml:space="preserve"> em suas atividades de vida diária</w:t>
      </w:r>
      <w:r w:rsidR="00771EC4">
        <w:rPr>
          <w:rFonts w:ascii="Arial" w:hAnsi="Arial" w:cs="Arial"/>
          <w:sz w:val="24"/>
          <w:szCs w:val="24"/>
        </w:rPr>
        <w:t>; auxiliar na</w:t>
      </w:r>
      <w:r>
        <w:rPr>
          <w:rFonts w:ascii="Arial" w:hAnsi="Arial" w:cs="Arial"/>
          <w:sz w:val="24"/>
          <w:szCs w:val="24"/>
        </w:rPr>
        <w:t xml:space="preserve"> definição da </w:t>
      </w:r>
      <w:r w:rsidR="00771EC4">
        <w:rPr>
          <w:rFonts w:ascii="Arial" w:hAnsi="Arial" w:cs="Arial"/>
          <w:sz w:val="24"/>
          <w:szCs w:val="24"/>
        </w:rPr>
        <w:t>demanda assistencial necessária;</w:t>
      </w:r>
      <w:r>
        <w:rPr>
          <w:rFonts w:ascii="Arial" w:hAnsi="Arial" w:cs="Arial"/>
          <w:sz w:val="24"/>
          <w:szCs w:val="24"/>
        </w:rPr>
        <w:t xml:space="preserve"> monitorizar o estado funcional</w:t>
      </w:r>
      <w:r w:rsidR="00771EC4">
        <w:rPr>
          <w:rFonts w:ascii="Arial" w:hAnsi="Arial" w:cs="Arial"/>
          <w:sz w:val="24"/>
          <w:szCs w:val="24"/>
        </w:rPr>
        <w:t>;</w:t>
      </w:r>
      <w:r>
        <w:rPr>
          <w:rFonts w:ascii="Arial" w:hAnsi="Arial" w:cs="Arial"/>
          <w:sz w:val="24"/>
          <w:szCs w:val="24"/>
        </w:rPr>
        <w:t xml:space="preserve"> e</w:t>
      </w:r>
      <w:r w:rsidR="00771EC4">
        <w:rPr>
          <w:rFonts w:ascii="Arial" w:hAnsi="Arial" w:cs="Arial"/>
          <w:sz w:val="24"/>
          <w:szCs w:val="24"/>
        </w:rPr>
        <w:t>,</w:t>
      </w:r>
      <w:r>
        <w:rPr>
          <w:rFonts w:ascii="Arial" w:hAnsi="Arial" w:cs="Arial"/>
          <w:sz w:val="24"/>
          <w:szCs w:val="24"/>
        </w:rPr>
        <w:t xml:space="preserve"> aprimorar o desenvolvimento de estratégias de intervenção para esta população.</w:t>
      </w:r>
    </w:p>
    <w:p w:rsidR="00EB34BF" w:rsidRDefault="00EB34BF" w:rsidP="00EB34BF">
      <w:pPr>
        <w:spacing w:after="0" w:line="360" w:lineRule="auto"/>
        <w:jc w:val="both"/>
        <w:rPr>
          <w:rFonts w:ascii="Arial" w:hAnsi="Arial" w:cs="Arial"/>
          <w:sz w:val="24"/>
          <w:szCs w:val="24"/>
        </w:rPr>
      </w:pPr>
    </w:p>
    <w:p w:rsidR="00EB34BF" w:rsidRPr="00AD4514" w:rsidRDefault="006418D0" w:rsidP="004D4A6B">
      <w:pPr>
        <w:pStyle w:val="Ttulo1"/>
      </w:pPr>
      <w:bookmarkStart w:id="10" w:name="_Toc496749603"/>
      <w:r>
        <w:t>3.2</w:t>
      </w:r>
      <w:r w:rsidR="00EB34BF" w:rsidRPr="00AD4514">
        <w:t xml:space="preserve"> Independência funcional</w:t>
      </w:r>
      <w:bookmarkEnd w:id="10"/>
    </w:p>
    <w:p w:rsidR="00EB34BF" w:rsidRDefault="00EB34BF" w:rsidP="00EB34BF">
      <w:pPr>
        <w:spacing w:after="0" w:line="360" w:lineRule="auto"/>
        <w:jc w:val="both"/>
        <w:rPr>
          <w:rFonts w:ascii="Arial" w:hAnsi="Arial" w:cs="Arial"/>
          <w:sz w:val="24"/>
          <w:szCs w:val="24"/>
        </w:rPr>
      </w:pPr>
    </w:p>
    <w:p w:rsidR="00EB34BF" w:rsidRDefault="00EB34BF" w:rsidP="00491682">
      <w:pPr>
        <w:spacing w:after="0" w:line="360" w:lineRule="auto"/>
        <w:jc w:val="both"/>
        <w:rPr>
          <w:rFonts w:ascii="Arial" w:hAnsi="Arial" w:cs="Arial"/>
          <w:sz w:val="24"/>
          <w:szCs w:val="24"/>
        </w:rPr>
      </w:pPr>
      <w:r>
        <w:rPr>
          <w:rFonts w:ascii="Arial" w:hAnsi="Arial" w:cs="Arial"/>
          <w:sz w:val="24"/>
          <w:szCs w:val="24"/>
        </w:rPr>
        <w:t>A independência funcional encontra-se intimamen</w:t>
      </w:r>
      <w:r w:rsidR="00314AD4">
        <w:rPr>
          <w:rFonts w:ascii="Arial" w:hAnsi="Arial" w:cs="Arial"/>
          <w:sz w:val="24"/>
          <w:szCs w:val="24"/>
        </w:rPr>
        <w:t xml:space="preserve">te relacionada à habilidade do </w:t>
      </w:r>
      <w:r w:rsidR="003F5C40">
        <w:rPr>
          <w:rFonts w:ascii="Arial" w:hAnsi="Arial" w:cs="Arial"/>
          <w:sz w:val="24"/>
          <w:szCs w:val="24"/>
        </w:rPr>
        <w:t>indivíduo</w:t>
      </w:r>
      <w:r>
        <w:rPr>
          <w:rFonts w:ascii="Arial" w:hAnsi="Arial" w:cs="Arial"/>
          <w:sz w:val="24"/>
          <w:szCs w:val="24"/>
        </w:rPr>
        <w:t xml:space="preserve"> para </w:t>
      </w:r>
      <w:r w:rsidR="00AF7588">
        <w:rPr>
          <w:rFonts w:ascii="Arial" w:hAnsi="Arial" w:cs="Arial"/>
          <w:sz w:val="24"/>
          <w:szCs w:val="24"/>
        </w:rPr>
        <w:t xml:space="preserve">o </w:t>
      </w:r>
      <w:r>
        <w:rPr>
          <w:rFonts w:ascii="Arial" w:hAnsi="Arial" w:cs="Arial"/>
          <w:sz w:val="24"/>
          <w:szCs w:val="24"/>
        </w:rPr>
        <w:t>desempen</w:t>
      </w:r>
      <w:r w:rsidR="00AF7588">
        <w:rPr>
          <w:rFonts w:ascii="Arial" w:hAnsi="Arial" w:cs="Arial"/>
          <w:sz w:val="24"/>
          <w:szCs w:val="24"/>
        </w:rPr>
        <w:t>ho de</w:t>
      </w:r>
      <w:r>
        <w:rPr>
          <w:rFonts w:ascii="Arial" w:hAnsi="Arial" w:cs="Arial"/>
          <w:sz w:val="24"/>
          <w:szCs w:val="24"/>
        </w:rPr>
        <w:t xml:space="preserve"> </w:t>
      </w:r>
      <w:r w:rsidR="0044663A">
        <w:rPr>
          <w:rFonts w:ascii="Arial" w:hAnsi="Arial" w:cs="Arial"/>
          <w:sz w:val="24"/>
          <w:szCs w:val="24"/>
        </w:rPr>
        <w:t>AVD</w:t>
      </w:r>
      <w:r>
        <w:rPr>
          <w:rFonts w:ascii="Arial" w:hAnsi="Arial" w:cs="Arial"/>
          <w:sz w:val="24"/>
          <w:szCs w:val="24"/>
        </w:rPr>
        <w:t>, sem a necessidade de assistência de outra pessoa ou de algum recurso</w:t>
      </w:r>
      <w:r w:rsidR="00AF7588">
        <w:rPr>
          <w:rFonts w:ascii="Arial" w:hAnsi="Arial" w:cs="Arial"/>
          <w:sz w:val="24"/>
          <w:szCs w:val="24"/>
        </w:rPr>
        <w:t xml:space="preserve"> auxiliar</w:t>
      </w:r>
      <w:r w:rsidR="00971DC0">
        <w:rPr>
          <w:rFonts w:ascii="Arial" w:hAnsi="Arial" w:cs="Arial"/>
          <w:sz w:val="24"/>
          <w:szCs w:val="24"/>
        </w:rPr>
        <w:t>.</w:t>
      </w:r>
      <w:r>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"10.5935/0104-7795.20040003", "ISBN" : "1466-609X; 1364-8535", "ISSN" : "0104-7795", "PMID" : "20738852", "abstract" : "A vers\u00e3o brasileira de Medida de Independ\u00eancia Funcional (MIF) foi desenvolvida em 2000. Estudos de sua validade ainda s\u00e3o necess\u00e1rios como forma de corroborar seu uso na avalia\u00e7\u00e3o da reabilita\u00e7\u00e3o de brasileiros incapacitados, uma vez que peculiaridades socioculturais nacionais podem determinar um comportamento diverso dos dados fornecidos pelo instrumento. Objetivos: O objetivo deste estudo \u00e9 testar a validade de construto da MIF ao checar a validade convergente em grupos de pacientes com defici\u00eancias nas quais se esperam estar presentes graus espec\u00edficos de incapacidade. M\u00e9todo: Prontu\u00e1rios m\u00e9dicos de 150 pacientes com les\u00e3o medular (LM) e 103 pacientes com les\u00f5es encef\u00e1licas (LE) de dois centros de reabilita\u00e7\u00e3o da cidade de S\u00e3o Paulo forneceram dados a respeito de caracter\u00edsticas biodemogr\u00e1ficas, cl\u00ednicas e funcionais. O grau de incapacidade foi avaliado pela MIF. Os pacientes com LM foram classificados de acordo com o n\u00edvel de acometimento medular, como cervicais, tor\u00e1cicos ou lombares e abaixo. Pacientes com LE foram classificados conforme o dim\u00eddio mais comprometido como direito, esquerdo ou bilaterais. A sensibilidade da MIF foi testada em 93 pacientes com LE e 59 com LM por meio da compara\u00e7\u00e3o dos valores da MIF total, cognitiva e motora de admiss\u00e3o e alta. Resultados: entre os pacientes com LM pudemos demonstrar uma clara associa\u00e7\u00e3o entre o n\u00edvel de incapacidade e a MIF motora (cervical = 34.4 \u00b1 25.2, tor\u00e1cica = 51.6 \u00b1 19.5, lombar = 67.5 \u00b1 18.6; p &lt; 0.001). A MIF cognitiva apresentou um efeito teto entre os pacientes com les\u00e3o medular (85% dos pacientes tinham MIFc no valor mais alto poss\u00edvel), por outro lado, entre os pacientes com LE, isso n\u00e3o pode ser observado e houve uma associa\u00e7\u00e3o entre o valor obtido na MIFc e o lado envolvido, sendo os pacientes com envolvimento do hemicorpo esquerdo aqueles menos dependente em termos cognitivos. Houve mudan\u00e7a estatisticamente significante durante o tratamento, como pode ser observado pela varia\u00e7\u00e3o da MIFm em pacientes com LM e LE (44.5 \u00b1 24.1x 61.0 \u00b1 23.8; p &lt; 0.001 e 54.1 \u00b1 23.0 x 64.7 \u00b1 21.3; p &lt;0.001). O mesmo pode ser observado em pacientes com LE com comprometimento a esquerda e \u00e0 direita, mas n\u00e3o quando o comprometimento era bilateral. Conclus\u00e3o: a validade convergente da vers\u00e3o brasileira da MIF pode ser observada para as tarefas motoras tanto em pacientes com LM como LE. A MIFc mostrou-se de pouca utilidade entre os pacientes com LM cr\u00f4nico sob reabilita\u00e7\u00e3o ambulatorial, apesar de a associa\u00e7\u00e3o \u2026", "author" : [ { "dropping-particle" : "", "family" : "Riberto", "given" : "Marcelo", "non-dropping-particle" : "", "parse-names" : false, "suffix" : "" }, { "dropping-particle" : "", "family" : "Miyazaki", "given" : "Margarida H", "non-dropping-particle" : "", "parse-names" : false, "suffix" : "" }, { "dropping-particle" : "", "family" : "Juc\u00e1", "given" : "Sueli S H", "non-dropping-particle" : "", "parse-names" : false, "suffix" : "" }, { "dropping-particle" : "", "family" : "Sakamoto", "given" : "Hatsue", "non-dropping-particle" : "", "parse-names" : false, "suffix" : "" }, { "dropping-particle" : "", "family" : "Potiguara", "given" : "Paulo", "non-dropping-particle" : "", "parse-names" : false, "suffix" : "" }, { "dropping-particle" : "", "family" : "Pinto", "given" : "Novazzi", "non-dropping-particle" : "", "parse-names" : false, "suffix" : "" }, { "dropping-particle" : "", "family" : "Battistella", "given" : "Linamara R", "non-dropping-particle" : "", "parse-names" : false, "suffix" : "" } ], "container-title" : "Acta Fisiatrica", "id" : "ITEM-1", "issue" : "2", "issued" : { "date-parts" : [ [ "2004" ] ] }, "page" : "72-76", "title" : "Valida\u00e7\u00e3o da Vers\u00e3o Brasileira da Medida de Independ\u00eancia Funcional Validation of the Brazilian version of Functional Independence Measure", "type" : "article-journal", "volume" : "11" }, "uris" : [ "http://www.mendeley.com/documents/?uuid=645f3fd7-d546-43cf-8d35-39d344460b05" ] }, { "id" : "ITEM-2", "itemData" : { "DOI" : "10.5935/0104-7795.20040003", "ISBN" : "1466-609X; 1364-8535", "ISSN" : "0104-7795", "PMID" : "20738852", "abstract" : "RESUMO A vers\u00e3o brasileira da Medida de Independ\u00eancia Funcional (MIF) foi desenvolvida por meio de um processo de tradu\u00e7\u00e3o para o portugu\u00eas do Brasil por equipe m\u00e9dica bil\u00edng\u00fce familiarizada com o instrumento e tradutor profissional, seguido de tradu\u00e7\u00e3o reversa para o ingl\u00eas por tradutor independente. N\u00e3o foram identificados problemas de equival\u00eancia cultural quando a vers\u00e3o obtida foi apresentada a um conjunto de 25 profissionais de sa\u00fade treinados no seu uso. Oito centros de reabilita\u00e7\u00e3o participaram da capta\u00e7\u00e3o de dados para a obten\u00e7\u00e3o de medidas de reprodutibilidade. Todos os pacientes adultos com hist\u00f3ria de pelo menos 4 meses de acidente vascular cerebral, consultados no per\u00edodo entre dezembro de 1999 e janeiro de 2000, foram avaliados por dois avaliadores treinados na aplica\u00e7\u00e3o da MIF, de forma independente, e reavaliados por apenas um desses examinadores ap\u00f3s uma semana (teste/reteste). Uma amostra de 164 pacientes foi examinada e os valores de kappa para concord\u00e2ncia em cada um dos itens da MIF variaram entre dois observadores de 0,50 (alimenta\u00e7\u00e3o) a 0,64 (controle da urina) e no teste/ reteste entre 0,61 (vestir abaixo da cintura) a 0,77 (transfer\u00eancia para o vaso sanit\u00e1rio). As subescalas da MIF apresentaram no teste/reteste boa correla\u00e7\u00e3o (Pearson: 0,91 \u2013 0,98; ICC: 0,91 \u2013 0,98); a reprodutibilidade interobservadores tamb\u00e9m foi boa (Pearson: 0,87 \u2013 0,98; ICC: 0,87 \u2013 0,98). An\u00e1lise de vari\u00e2ncia mostra boa concord\u00e2ncia entre as m\u00e9dias dos resultados de dois avaliadores na primeira avalia\u00e7\u00e3o e na medida ap\u00f3s uma semana. Conclu\u00edmos que a vers\u00e3o brasileira da MIF tem boa equival\u00eancia cultural e boa reprodutibilidade. UNITERMOS Medida de independ\u00eancia funcional; reprodutibilidade; equival\u00eancia cultural; avalia\u00e7\u00e3o funcional; tradu\u00e7\u00e3o. SUMMARY A Brazilian version of Functional Independence Measure (FIM) was developed in a translation process to Brazilian Portuguese by a bilingual medical team and a professional translator, followed by a reverse translation to English by an independent traslator. No problems of cultural equivalence were identified in the resultant version when it was presented to a group of 25 clinicians trained in its use. Eight rehabilitation centers participated in the gathering of data for the study of reproductibility. Two independent observers evaluated, between December 1999 and January 2000, all adult stroke patients with more than 4 months of impairment onset at the same day and only one of these clinicians repeated the obse\u2026", "author" : [ { "dropping-particle" : "", "family" : "Riberto", "given" : "Marcelo", "non-dropping-particle" : "", "parse-names" : false, "suffix" : "" }, { "dropping-particle" : "", "family" : "Miyazaki", "given" : "MH", "non-dropping-particle" : "", "parse-names" : false, "suffix" : "" }, { "dropping-particle" : "", "family" : "Jorge Filho", "given" : "Donaldo", "non-dropping-particle" : "", "parse-names" : false, "suffix" : "" }, { "dropping-particle" : "", "family" : "Sakamoto", "given" : "Hatsue", "non-dropping-particle" : "", "parse-names" : false, "suffix" : "" }, { "dropping-particle" : "", "family" : "Battistella", "given" : "Linamara Rizzo", "non-dropping-particle" : "", "parse-names" : false, "suffix" : "" } ], "container-title" : "Acta Fisi\u00e1trica", "id" : "ITEM-2", "issue" : "1", "issued" : { "date-parts" : [ [ "2001" ] ] }, "page" : "45-52", "title" : "Reprodutibilidade da vers\u00e4o brasileira da Medida de Independ\u00eancia Funcional", "type" : "article-journal", "volume" : "8" }, "uris" : [ "http://www.mendeley.com/documents/?uuid=894281fc-eb9a-4c2e-ab36-2df779479288" ] } ], "mendeley" : { "formattedCitation" : "&lt;sup&gt;61,62&lt;/sup&gt;", "plainTextFormattedCitation" : "61,62", "previouslyFormattedCitation" : "&lt;sup&gt;61,62&lt;/sup&gt;" }, "properties" : { "noteIndex" : 0 }, "schema" : "https://github.com/citation-style-language/schema/raw/master/csl-citation.json" }</w:instrText>
      </w:r>
      <w:r>
        <w:rPr>
          <w:rFonts w:ascii="Arial" w:hAnsi="Arial" w:cs="Arial"/>
          <w:sz w:val="24"/>
          <w:szCs w:val="24"/>
        </w:rPr>
        <w:fldChar w:fldCharType="separate"/>
      </w:r>
      <w:r w:rsidR="00412B48" w:rsidRPr="00412B48">
        <w:rPr>
          <w:rFonts w:ascii="Arial" w:hAnsi="Arial" w:cs="Arial"/>
          <w:noProof/>
          <w:sz w:val="24"/>
          <w:szCs w:val="24"/>
          <w:vertAlign w:val="superscript"/>
        </w:rPr>
        <w:t>61,62</w:t>
      </w:r>
      <w:r>
        <w:rPr>
          <w:rFonts w:ascii="Arial" w:hAnsi="Arial" w:cs="Arial"/>
          <w:sz w:val="24"/>
          <w:szCs w:val="24"/>
        </w:rPr>
        <w:fldChar w:fldCharType="end"/>
      </w:r>
      <w:r>
        <w:rPr>
          <w:rFonts w:ascii="Arial" w:hAnsi="Arial" w:cs="Arial"/>
          <w:sz w:val="24"/>
          <w:szCs w:val="24"/>
        </w:rPr>
        <w:t xml:space="preserve"> A avaliação deste componente em pacientes com doenças crônicas tem sido importante, </w:t>
      </w:r>
      <w:r w:rsidR="00971DC0">
        <w:rPr>
          <w:rFonts w:ascii="Arial" w:hAnsi="Arial" w:cs="Arial"/>
          <w:sz w:val="24"/>
          <w:szCs w:val="24"/>
        </w:rPr>
        <w:t>e deve</w:t>
      </w:r>
      <w:r>
        <w:rPr>
          <w:rFonts w:ascii="Arial" w:hAnsi="Arial" w:cs="Arial"/>
          <w:sz w:val="24"/>
          <w:szCs w:val="24"/>
        </w:rPr>
        <w:t xml:space="preserve"> ser </w:t>
      </w:r>
      <w:r w:rsidR="00971DC0">
        <w:rPr>
          <w:rFonts w:ascii="Arial" w:hAnsi="Arial" w:cs="Arial"/>
          <w:sz w:val="24"/>
          <w:szCs w:val="24"/>
        </w:rPr>
        <w:t>ampla</w:t>
      </w:r>
      <w:r>
        <w:rPr>
          <w:rFonts w:ascii="Arial" w:hAnsi="Arial" w:cs="Arial"/>
          <w:sz w:val="24"/>
          <w:szCs w:val="24"/>
        </w:rPr>
        <w:t>mente difundida entre os profissionais da área de saúde</w:t>
      </w:r>
      <w:r w:rsidR="00012AC7">
        <w:rPr>
          <w:rFonts w:ascii="Arial" w:hAnsi="Arial" w:cs="Arial"/>
          <w:sz w:val="24"/>
          <w:szCs w:val="24"/>
        </w:rPr>
        <w:t>, a fim de viabilizar</w:t>
      </w:r>
      <w:r w:rsidR="0044663A">
        <w:rPr>
          <w:rFonts w:ascii="Arial" w:hAnsi="Arial" w:cs="Arial"/>
          <w:sz w:val="24"/>
          <w:szCs w:val="24"/>
        </w:rPr>
        <w:t xml:space="preserve"> a análise d</w:t>
      </w:r>
      <w:r w:rsidR="00971DC0">
        <w:rPr>
          <w:rFonts w:ascii="Arial" w:hAnsi="Arial" w:cs="Arial"/>
          <w:sz w:val="24"/>
          <w:szCs w:val="24"/>
        </w:rPr>
        <w:t xml:space="preserve">as condições de saúde e </w:t>
      </w:r>
      <w:r w:rsidR="0044663A">
        <w:rPr>
          <w:rFonts w:ascii="Arial" w:hAnsi="Arial" w:cs="Arial"/>
          <w:sz w:val="24"/>
          <w:szCs w:val="24"/>
        </w:rPr>
        <w:t>d</w:t>
      </w:r>
      <w:r>
        <w:rPr>
          <w:rFonts w:ascii="Arial" w:hAnsi="Arial" w:cs="Arial"/>
          <w:sz w:val="24"/>
          <w:szCs w:val="24"/>
        </w:rPr>
        <w:t xml:space="preserve">os impactos gerados pela </w:t>
      </w:r>
      <w:r w:rsidR="003F5C40">
        <w:rPr>
          <w:rFonts w:ascii="Arial" w:hAnsi="Arial" w:cs="Arial"/>
          <w:sz w:val="24"/>
          <w:szCs w:val="24"/>
        </w:rPr>
        <w:t>doença sobre a funcionalidade desse</w:t>
      </w:r>
      <w:r>
        <w:rPr>
          <w:rFonts w:ascii="Arial" w:hAnsi="Arial" w:cs="Arial"/>
          <w:sz w:val="24"/>
          <w:szCs w:val="24"/>
        </w:rPr>
        <w:t xml:space="preserve">s sujeitos, incluindo aqueles </w:t>
      </w:r>
      <w:r w:rsidR="009E032A">
        <w:rPr>
          <w:rFonts w:ascii="Arial" w:hAnsi="Arial" w:cs="Arial"/>
          <w:sz w:val="24"/>
          <w:szCs w:val="24"/>
        </w:rPr>
        <w:t>diagnosticados com</w:t>
      </w:r>
      <w:r>
        <w:rPr>
          <w:rFonts w:ascii="Arial" w:hAnsi="Arial" w:cs="Arial"/>
          <w:sz w:val="24"/>
          <w:szCs w:val="24"/>
        </w:rPr>
        <w:t xml:space="preserve"> MPS</w:t>
      </w:r>
      <w:r w:rsidR="00971DC0">
        <w:rPr>
          <w:rFonts w:ascii="Arial" w:hAnsi="Arial" w:cs="Arial"/>
          <w:sz w:val="24"/>
          <w:szCs w:val="24"/>
        </w:rPr>
        <w:t>.</w:t>
      </w:r>
      <w:r>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"10.5935/0103-507X.20130019", "ISSN" : "0103507X", "PMID" : "23917973", "abstract" : "OBJECTIVE: 1) To evaluate the functional independence measures immediately after discharge from an intensive care unit and to compare these values with the FIMs 30 days after that period. 2) To evaluate the possible associated risk factors.\\n\\nMETHODS: The present investigation was a prospective cohort study that included individuals who were discharged from the intensive care unit and underwent physiotherapy in the unit. Functional independence was evaluated using the functional independence measure immediately upon discharge from the intensive care unit and 30 days thereafter via a phone call. The patients were admitted to the Hospital Santa Clara intensive care unit during the period from May 2011 to August 2011.\\n\\nRESULTS: During the predetermined period of data collection, 44 patients met the criteria for inclusion in the study. The mean age of the patients was 55.4\u00b110.5 years. Twenty-seven of the subjects were female, and 15 patients were admitted due to pulmonary disease. The patients exhibited an functional independence measure of 84.1\u00b124.2. When this measure was compared to the measure at 30 days after discharge, there was improvement across the functional independence variables except for that concerned with sphincter control. There were no significant differences when comparing the gender, age, clinical diagnosis, length of stay in the intensive care unit, duration of mechanical ventilation, and the presence of sepsis during this period.\\n\\nCONCLUSION: Functional independence, as evaluated by the functional independence measure scale, was improved at 30 days after discharge from the intensive care unit, but it was not possible to define the potentially related factors.", "author" : [ { "dropping-particle" : "", "family" : "Curzel", "given" : "Juliane", "non-dropping-particle" : "", "parse-names" : false, "suffix" : "" }, { "dropping-particle" : "", "family" : "Forgiarini Junior", "given" : "Luiz Alberto", "non-dropping-particle" : "", "parse-names" : false, "suffix" : "" }, { "dropping-particle" : "", "family" : "Rieder", "given" : "Marcelo de Mello", "non-dropping-particle" : "", "parse-names" : false, "suffix" : "" } ], "container-title" : "Revista Brasileira de Terapia Intensiva", "id" : "ITEM-1", "issue" : "2", "issued" : { "date-parts" : [ [ "2013" ] ] }, "page" : "93-98", "title" : "Evaluation of functional independence after discharge from the intensive care unit", "type" : "article-journal", "volume" : "25" }, "uris" : [ "http://www.mendeley.com/documents/?uuid=6de1ac0f-2c80-4882-a5cd-8d07b5ad6b73" ] }, { "id" : "ITEM-2", "itemData" : { "DOI" : "10.1590/S0102-311X2007001100018", "ISSN" : "0102-311X", "author" : [ { "dropping-particle" : "", "family" : "Scattolin", "given" : "F\u00e1tima Ayres De Ara\u00fajo", "non-dropping-particle" : "", "parse-names" : false, "suffix" : "" }, { "dropping-particle" : "", "family" : "Diogo", "given" : "Maria Jos\u00e9 D'Elboux", "non-dropping-particle" : "", "parse-names" : false, "suffix" : "" }, { "dropping-particle" : "", "family" : "Colombo", "given" : "Roberta Cunha Rodrigues", "non-dropping-particle" : "", "parse-names" : false, "suffix" : "" } ], "container-title" : "Cadernos de Sa\u00fade P\u00fablica", "id" : "ITEM-2", "issue" : "11", "issued" : { "date-parts" : [ [ "2007" ] ] }, "page" : "2705-2715", "title" : "Correla\u00e7\u00e3o entre instrumentos de qualidade de vida relacionada \u00e0 sa\u00fade e independ\u00eancia funcional em idosos com insufici\u00eancia card\u00edaca", "type" : "article-journal", "volume" : "23" }, "uris" : [ "http://www.mendeley.com/documents/?uuid=4c707b47-cfe3-432b-b37f-7abf9635a983" ] }, { "id" : "ITEM-3", "itemData" : { "DOI" : "10.1590/S0104-11692012000600004", "ISSN" : "0104-1169", "author" : [ { "dropping-particle" : "", "family" : "Oller", "given" : "Graziella Allana Serra Alves de Oliveira", "non-dropping-particle" : "", "parse-names" : false, "suffix" : "" }, { "dropping-particle" : "", "family" : "Ribeiro", "given" : "Rita de C\u00e1ssia Hel\u00fa Mendon\u00e7a", "non-dropping-particle" : "", "parse-names" : false, "suffix" : "" }, { "dropping-particle" : "", "family" : "Travagim", "given" : "Darlene Suellen Antero", "non-dropping-particle" : "", "parse-names" : false, "suffix" : "" }, { "dropping-particle" : "", "family" : "Batista", "given" : "Marcelo Aparecido", "non-dropping-particle" : "", "parse-names" : false, "suffix" : "" }, { "dropping-particle" : "", "family" : "Marques", "given" : "Sueli", "non-dropping-particle" : "", "parse-names" : false, "suffix" : "" }, { "dropping-particle" : "", "family" : "Kusumota", "given" : "Luciana", "non-dropping-particle" : "", "parse-names" : false, "suffix" : "" } ], "container-title" : "Revi. Latino-Am. Enfermagem", "id" : "ITEM-3", "issue" : "6", "issued" : { "date-parts" : [ [ "2012" ] ] }, "page" : "1033-1040", "title" : "Functional independence in patients with chronic kidney disease being treated with haemodialysis\u00b9", "type" : "article-journal", "volume" : "20" }, "uris" : [ "http://www.mendeley.com/documents/?uuid=e0b7c8e1-393f-41b2-a8c4-b97ff9d3b233" ] } ], "mendeley" : { "formattedCitation" : "&lt;sup&gt;63\u201365&lt;/sup&gt;", "plainTextFormattedCitation" : "63\u201365", "previouslyFormattedCitation" : "&lt;sup&gt;63\u201365&lt;/sup&gt;" }, "properties" : { "noteIndex" : 0 }, "schema" : "https://github.com/citation-style-language/schema/raw/master/csl-citation.json" }</w:instrText>
      </w:r>
      <w:r>
        <w:rPr>
          <w:rFonts w:ascii="Arial" w:hAnsi="Arial" w:cs="Arial"/>
          <w:sz w:val="24"/>
          <w:szCs w:val="24"/>
        </w:rPr>
        <w:fldChar w:fldCharType="separate"/>
      </w:r>
      <w:r w:rsidR="00412B48" w:rsidRPr="00412B48">
        <w:rPr>
          <w:rFonts w:ascii="Arial" w:hAnsi="Arial" w:cs="Arial"/>
          <w:noProof/>
          <w:sz w:val="24"/>
          <w:szCs w:val="24"/>
          <w:vertAlign w:val="superscript"/>
        </w:rPr>
        <w:t>63–65</w:t>
      </w:r>
      <w:r>
        <w:rPr>
          <w:rFonts w:ascii="Arial" w:hAnsi="Arial" w:cs="Arial"/>
          <w:sz w:val="24"/>
          <w:szCs w:val="24"/>
        </w:rPr>
        <w:fldChar w:fldCharType="end"/>
      </w:r>
    </w:p>
    <w:p w:rsidR="00AA1D1F" w:rsidRDefault="00AA1D1F" w:rsidP="00EB34BF">
      <w:pPr>
        <w:spacing w:after="0" w:line="360" w:lineRule="auto"/>
        <w:jc w:val="both"/>
        <w:rPr>
          <w:rFonts w:ascii="Arial" w:hAnsi="Arial" w:cs="Arial"/>
          <w:sz w:val="24"/>
          <w:szCs w:val="24"/>
        </w:rPr>
      </w:pPr>
    </w:p>
    <w:p w:rsidR="00EB34BF" w:rsidRPr="004D4A6B" w:rsidRDefault="006418D0" w:rsidP="004D4A6B">
      <w:pPr>
        <w:pStyle w:val="Ttulo2"/>
      </w:pPr>
      <w:bookmarkStart w:id="11" w:name="_Toc496749604"/>
      <w:r w:rsidRPr="004D4A6B">
        <w:t>3.2</w:t>
      </w:r>
      <w:r w:rsidR="00EB34BF" w:rsidRPr="004D4A6B">
        <w:t>.1 Independência funcional na MPS</w:t>
      </w:r>
      <w:bookmarkEnd w:id="11"/>
    </w:p>
    <w:p w:rsidR="00EB34BF" w:rsidRPr="003F585B" w:rsidRDefault="00EB34BF" w:rsidP="00EB34BF">
      <w:pPr>
        <w:spacing w:after="0" w:line="360" w:lineRule="auto"/>
        <w:jc w:val="both"/>
        <w:rPr>
          <w:rFonts w:ascii="Arial" w:hAnsi="Arial" w:cs="Arial"/>
          <w:sz w:val="24"/>
          <w:szCs w:val="24"/>
        </w:rPr>
      </w:pPr>
    </w:p>
    <w:p w:rsidR="00EB34BF" w:rsidRPr="003F585B" w:rsidRDefault="00EB34BF" w:rsidP="00491682">
      <w:pPr>
        <w:spacing w:after="0" w:line="360" w:lineRule="auto"/>
        <w:jc w:val="both"/>
        <w:rPr>
          <w:rFonts w:ascii="Arial" w:hAnsi="Arial" w:cs="Arial"/>
          <w:sz w:val="24"/>
          <w:szCs w:val="24"/>
        </w:rPr>
      </w:pPr>
      <w:r w:rsidRPr="003F585B">
        <w:rPr>
          <w:rFonts w:ascii="Arial" w:hAnsi="Arial" w:cs="Arial"/>
          <w:sz w:val="24"/>
          <w:szCs w:val="24"/>
        </w:rPr>
        <w:t>O impacto das manifestações somáticas da MPS repercute marcadamente sobre os diversos sistemas orgânicos, sendo o musculoesquelético o mais agredido</w:t>
      </w:r>
      <w:r w:rsidR="00CD70C9">
        <w:rPr>
          <w:rFonts w:ascii="Arial" w:hAnsi="Arial" w:cs="Arial"/>
          <w:sz w:val="24"/>
          <w:szCs w:val="24"/>
        </w:rPr>
        <w:t>.</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"10.1186/1546-0096-12-32", "ISSN" : "1546-0096", "PMID" : "25110468", "abstract" : "BACKGROUND: Children with mucopolysaccharidoses (MPS) often have musculoskeletal (MSK) abnormalities. Paediatric Gait, Arms, Legs, and Spine (pGALS), is a simple MSK assessment validated in school-age children to detect abnormal joints. We aimed to identify MSK abnormalities in children with MPS performing pGALS.\\n\\nMETHODS: Videos of children with a spectrum of MPS performing pGALS were analysed. A piloted proforma to record abnormalities for each pGALS manoeuvre observed in the videos (scored as normal/abnormal/not assessable) was used by three observers blinded to MPS subtype. Videos were scored independently and rescored for intra- and inter-observer consistency. Data were pooled and analysed.\\n\\nRESULTS: Eighteen videos of children [12 boys, 6 girls, median age 11 years (4-19)] with MPS (13 type I [5 Hurler, 8 attenuated type I]; 4 type II; 1 mannosidosis) were assessed. The most common abnormalities detected using pGALS were restrictions of the shoulder, elbow, wrist, jaw (&gt;75% cases), and fingers (2/3 cases). Mean intra-observer \u039a 0.74 (range 0.65-0.88) and inter-observer \u039a 0.62 (range 0.51-0.77). Hip manoeuvres were not clearly demonstrated in the videos.\\n\\nCONCLUSIONS: In this observational study, pGALS identifies MSK abnormalities in children with MPS. Restricted joint movement (especially upper limb) was a consistent finding. Future work includes pGALS assessment of the hip and testing pGALS in further children with attenuated MPS type I. The use of pGALS and awareness of patterns of joint involvement may be a useful adjunct to facilitate earlier recognition of these rare conditions and ultimately access to specialist care.", "author" : [ { "dropping-particle" : "", "family" : "Chan", "given" : "Mercedes O", "non-dropping-particle" : "", "parse-names" : false, "suffix" : "" }, { "dropping-particle" : "", "family" : "Sen", "given" : "Ethan S", "non-dropping-particle" : "", "parse-names" : false, "suffix" : "" }, { "dropping-particle" : "", "family" : "Hardy", "given" : "Elizabeth", "non-dropping-particle" : "", "parse-names" : false, "suffix" : "" }, { "dropping-particle" : "", "family" : "Hensman", "given" : "Pauline", "non-dropping-particle" : "", "parse-names" : false, "suffix" : "" }, { "dropping-particle" : "", "family" : "Wraith", "given" : "Edmond", "non-dropping-particle" : "", "parse-names" : false, "suffix" : "" }, { "dropping-particle" : "", "family" : "Jones", "given" : "Simon", "non-dropping-particle" : "", "parse-names" : false, "suffix" : "" }, { "dropping-particle" : "", "family" : "Rapley", "given" : "Tim", "non-dropping-particle" : "", "parse-names" : false, "suffix" : "" }, { "dropping-particle" : "", "family" : "Foster", "given" : "Helen E", "non-dropping-particle" : "", "parse-names" : false, "suffix" : "" } ], "container-title" : "Pediatric rheumatology online journal", "id" : "ITEM-1", "issue" : "32", "issued" : { "date-parts" : [ [ "2014" ] ] }, "page" : "1-9", "title" : "Assessment of musculoskeletal abnormalities in children with mucopolysaccharidoses using pGALS.", "type" : "article-journal", "volume" : "12" }, "uris" : [ "http://www.mendeley.com/documents/?uuid=bdf88c63-89a0-4de5-baa7-b0b8491d126a" ] } ], "mendeley" : { "formattedCitation" : "&lt;sup&gt;7&lt;/sup&gt;", "plainTextFormattedCitation" : "7", "previouslyFormattedCitation" : "&lt;sup&gt;7&lt;/sup&gt;"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7</w:t>
      </w:r>
      <w:r w:rsidRPr="003F585B">
        <w:rPr>
          <w:rFonts w:ascii="Arial" w:hAnsi="Arial" w:cs="Arial"/>
          <w:sz w:val="24"/>
          <w:szCs w:val="24"/>
        </w:rPr>
        <w:fldChar w:fldCharType="end"/>
      </w:r>
      <w:r w:rsidRPr="003F585B">
        <w:rPr>
          <w:rFonts w:ascii="Arial" w:hAnsi="Arial" w:cs="Arial"/>
          <w:sz w:val="24"/>
          <w:szCs w:val="24"/>
        </w:rPr>
        <w:t xml:space="preserve"> A maioria dos pacientes, ainda na adolescência, torna-se dependente de cadeira de </w:t>
      </w:r>
      <w:r w:rsidRPr="003F585B">
        <w:rPr>
          <w:rFonts w:ascii="Arial" w:hAnsi="Arial" w:cs="Arial"/>
          <w:sz w:val="24"/>
          <w:szCs w:val="24"/>
        </w:rPr>
        <w:lastRenderedPageBreak/>
        <w:t>rodas ou acamada, com</w:t>
      </w:r>
      <w:r w:rsidR="004327BD">
        <w:rPr>
          <w:rFonts w:ascii="Arial" w:hAnsi="Arial" w:cs="Arial"/>
          <w:sz w:val="24"/>
          <w:szCs w:val="24"/>
        </w:rPr>
        <w:t xml:space="preserve"> significativa</w:t>
      </w:r>
      <w:r w:rsidRPr="003F585B">
        <w:rPr>
          <w:rFonts w:ascii="Arial" w:hAnsi="Arial" w:cs="Arial"/>
          <w:sz w:val="24"/>
          <w:szCs w:val="24"/>
        </w:rPr>
        <w:t xml:space="preserve"> restrição de mobilidade e/ou locomoção</w:t>
      </w:r>
      <w:r w:rsidR="004327BD">
        <w:rPr>
          <w:rFonts w:ascii="Arial" w:hAnsi="Arial" w:cs="Arial"/>
          <w:sz w:val="24"/>
          <w:szCs w:val="24"/>
        </w:rPr>
        <w:t>, e sem condições para</w:t>
      </w:r>
      <w:r w:rsidRPr="003F585B">
        <w:rPr>
          <w:rFonts w:ascii="Arial" w:hAnsi="Arial" w:cs="Arial"/>
          <w:sz w:val="24"/>
          <w:szCs w:val="24"/>
        </w:rPr>
        <w:t xml:space="preserve"> executar</w:t>
      </w:r>
      <w:r w:rsidR="004327BD">
        <w:rPr>
          <w:rFonts w:ascii="Arial" w:hAnsi="Arial" w:cs="Arial"/>
          <w:sz w:val="24"/>
          <w:szCs w:val="24"/>
        </w:rPr>
        <w:t>, de forma independente,</w:t>
      </w:r>
      <w:r w:rsidRPr="003F585B">
        <w:rPr>
          <w:rFonts w:ascii="Arial" w:hAnsi="Arial" w:cs="Arial"/>
          <w:sz w:val="24"/>
          <w:szCs w:val="24"/>
        </w:rPr>
        <w:t xml:space="preserve"> tare</w:t>
      </w:r>
      <w:r w:rsidR="004327BD">
        <w:rPr>
          <w:rFonts w:ascii="Arial" w:hAnsi="Arial" w:cs="Arial"/>
          <w:sz w:val="24"/>
          <w:szCs w:val="24"/>
        </w:rPr>
        <w:t>fas como tomar banho, vestir</w:t>
      </w:r>
      <w:r w:rsidR="00804FE0">
        <w:rPr>
          <w:rFonts w:ascii="Arial" w:hAnsi="Arial" w:cs="Arial"/>
          <w:sz w:val="24"/>
          <w:szCs w:val="24"/>
        </w:rPr>
        <w:t xml:space="preserve"> e</w:t>
      </w:r>
      <w:r w:rsidRPr="003F585B">
        <w:rPr>
          <w:rFonts w:ascii="Arial" w:hAnsi="Arial" w:cs="Arial"/>
          <w:sz w:val="24"/>
          <w:szCs w:val="24"/>
        </w:rPr>
        <w:t xml:space="preserve"> alimentar-se</w:t>
      </w:r>
      <w:r w:rsidR="006509D0">
        <w:rPr>
          <w:rFonts w:ascii="Arial" w:hAnsi="Arial" w:cs="Arial"/>
          <w:sz w:val="24"/>
          <w:szCs w:val="24"/>
        </w:rPr>
        <w:t>,</w:t>
      </w:r>
      <w:r w:rsidR="004327BD">
        <w:rPr>
          <w:rFonts w:ascii="Arial" w:hAnsi="Arial" w:cs="Arial"/>
          <w:sz w:val="24"/>
          <w:szCs w:val="24"/>
        </w:rPr>
        <w:t xml:space="preserve"> nem d</w:t>
      </w:r>
      <w:r w:rsidRPr="003F585B">
        <w:rPr>
          <w:rFonts w:ascii="Arial" w:hAnsi="Arial" w:cs="Arial"/>
          <w:sz w:val="24"/>
          <w:szCs w:val="24"/>
        </w:rPr>
        <w:t xml:space="preserve">e </w:t>
      </w:r>
      <w:r>
        <w:rPr>
          <w:rFonts w:ascii="Arial" w:hAnsi="Arial" w:cs="Arial"/>
          <w:sz w:val="24"/>
          <w:szCs w:val="24"/>
        </w:rPr>
        <w:t xml:space="preserve">praticar atividades </w:t>
      </w:r>
      <w:r w:rsidRPr="003F585B">
        <w:rPr>
          <w:rFonts w:ascii="Arial" w:hAnsi="Arial" w:cs="Arial"/>
          <w:sz w:val="24"/>
          <w:szCs w:val="24"/>
        </w:rPr>
        <w:t xml:space="preserve">esportivas ou </w:t>
      </w:r>
      <w:r w:rsidR="004327BD">
        <w:rPr>
          <w:rFonts w:ascii="Arial" w:hAnsi="Arial" w:cs="Arial"/>
          <w:sz w:val="24"/>
          <w:szCs w:val="24"/>
        </w:rPr>
        <w:t xml:space="preserve"> de recreação</w:t>
      </w:r>
      <w:r w:rsidR="00CD70C9">
        <w:rPr>
          <w:rFonts w:ascii="Arial" w:hAnsi="Arial" w:cs="Arial"/>
          <w:sz w:val="24"/>
          <w:szCs w:val="24"/>
        </w:rPr>
        <w:t>.</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"10.1007/s10545-007-0529-7", "ISBN" : "1573-2665 (Electronic)\\n0141-8955 (Linking)", "ISSN" : "01418955", "PMID" : "17347914", "abstract" : "Mucopolysaccharidosis IVA (MPS IVA; Morquio A disease) is a lysosomal storage disorder caused by deficiency of N-acetylgalactosamine-6-sulfate sulfa-tase. The natural history of this disease is incompletely understood. To study which variables influence the clinical outcome, we conducted a study in which MPS IVA pa-tients were asked to fill out a questionnaire with inquiries regarding family history, diagnosis, signs and symptoms, height, weight, surgical history, physical activity, and general complaints. A total of 326 patients (172 male, 154 female) from 42 countries enrolled in the Morquio A Registry programme. The mean age of patients enrolled was 14.9 years for males and 19.1 years for females, with a wide range of 1\u201373 years. Sixty-four per cent of the patients were under 18 years. Initial symptoms were recognized between 1 and 3 years of age (mean age 2.1 years) and mean age at diagnosis for the patients was 4.7 years. A progressive skeletal dysplasia was commonly observed among the MPS IVA patients. Fifty per cent of patients underwent surgical operations to improve their quality of life. The most frequent surgical sites include neck (51%), ear (33%), leg (26%) and", "author" : [ { "dropping-particle" : "", "family" : "Monta\u00f1o", "given" : "A. M.", "non-dropping-particle" : "", "parse-names" : false, "suffix" : "" }, { "dropping-particle" : "", "family" : "Tomatsu", "given" : "S.", "non-dropping-particle" : "", "parse-names" : false, "suffix" : "" }, { "dropping-particle" : "", "family" : "Gottesman", "given" : "G. S.", "non-dropping-particle" : "", "parse-names" : false, "suffix" : "" }, { "dropping-particle" : "", "family" : "Smith", "given" : "M.", "non-dropping-particle" : "", "parse-names" : false, "suffix" : "" }, { "dropping-particle" : "", "family" : "Orii", "given" : "T.", "non-dropping-particle" : "", "parse-names" : false, "suffix" : "" } ], "container-title" : "Journal of Inherited Metabolic Disease", "id" : "ITEM-1", "issue" : "2", "issued" : { "date-parts" : [ [ "2007" ] ] }, "page" : "165-174", "title" : "International Morquio A Registry: Clinical manifestation and natural course of Morquio A disease", "type" : "article-journal", "volume" : "30" }, "uris" : [ "http://www.mendeley.com/documents/?uuid=2ff146e2-f061-4ec1-b8a0-37fac9fb6f05" ] } ], "mendeley" : { "formattedCitation" : "&lt;sup&gt;45&lt;/sup&gt;", "plainTextFormattedCitation" : "45", "previouslyFormattedCitation" : "&lt;sup&gt;45&lt;/sup&gt;"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45</w:t>
      </w:r>
      <w:r w:rsidRPr="003F585B">
        <w:rPr>
          <w:rFonts w:ascii="Arial" w:hAnsi="Arial" w:cs="Arial"/>
          <w:sz w:val="24"/>
          <w:szCs w:val="24"/>
        </w:rPr>
        <w:fldChar w:fldCharType="end"/>
      </w:r>
      <w:r w:rsidRPr="003F585B">
        <w:rPr>
          <w:rFonts w:ascii="Arial" w:hAnsi="Arial" w:cs="Arial"/>
          <w:sz w:val="24"/>
          <w:szCs w:val="24"/>
        </w:rPr>
        <w:t xml:space="preserve"> </w:t>
      </w:r>
    </w:p>
    <w:p w:rsidR="00491682" w:rsidRDefault="00491682" w:rsidP="00491682">
      <w:pPr>
        <w:spacing w:after="0" w:line="360" w:lineRule="auto"/>
        <w:jc w:val="both"/>
        <w:rPr>
          <w:rFonts w:ascii="Arial" w:hAnsi="Arial" w:cs="Arial"/>
          <w:sz w:val="24"/>
          <w:szCs w:val="24"/>
        </w:rPr>
      </w:pPr>
    </w:p>
    <w:p w:rsidR="00EB34BF" w:rsidRPr="003F585B" w:rsidRDefault="00EB34BF" w:rsidP="00491682">
      <w:pPr>
        <w:spacing w:after="0" w:line="360" w:lineRule="auto"/>
        <w:jc w:val="both"/>
        <w:rPr>
          <w:rFonts w:ascii="Arial" w:hAnsi="Arial" w:cs="Arial"/>
          <w:sz w:val="24"/>
          <w:szCs w:val="24"/>
        </w:rPr>
      </w:pPr>
      <w:r w:rsidRPr="003F585B">
        <w:rPr>
          <w:rFonts w:ascii="Arial" w:hAnsi="Arial" w:cs="Arial"/>
          <w:sz w:val="24"/>
          <w:szCs w:val="24"/>
        </w:rPr>
        <w:t>A necessidade</w:t>
      </w:r>
      <w:r>
        <w:rPr>
          <w:rFonts w:ascii="Arial" w:hAnsi="Arial" w:cs="Arial"/>
          <w:sz w:val="24"/>
          <w:szCs w:val="24"/>
        </w:rPr>
        <w:t xml:space="preserve"> </w:t>
      </w:r>
      <w:r w:rsidRPr="003F585B">
        <w:rPr>
          <w:rFonts w:ascii="Arial" w:hAnsi="Arial" w:cs="Arial"/>
          <w:sz w:val="24"/>
          <w:szCs w:val="24"/>
        </w:rPr>
        <w:t>de intervenções cirúrgicas, de caráter ortopédico (</w:t>
      </w:r>
      <w:r w:rsidR="004327BD">
        <w:rPr>
          <w:rFonts w:ascii="Arial" w:hAnsi="Arial" w:cs="Arial"/>
          <w:sz w:val="24"/>
          <w:szCs w:val="24"/>
        </w:rPr>
        <w:t xml:space="preserve">como </w:t>
      </w:r>
      <w:r w:rsidRPr="003F585B">
        <w:rPr>
          <w:rFonts w:ascii="Arial" w:hAnsi="Arial" w:cs="Arial"/>
          <w:sz w:val="24"/>
          <w:szCs w:val="24"/>
        </w:rPr>
        <w:t>fusão</w:t>
      </w:r>
      <w:r w:rsidR="00813610">
        <w:rPr>
          <w:rFonts w:ascii="Arial" w:hAnsi="Arial" w:cs="Arial"/>
          <w:sz w:val="24"/>
          <w:szCs w:val="24"/>
        </w:rPr>
        <w:t xml:space="preserve"> </w:t>
      </w:r>
      <w:r w:rsidRPr="003F585B">
        <w:rPr>
          <w:rFonts w:ascii="Arial" w:hAnsi="Arial" w:cs="Arial"/>
          <w:sz w:val="24"/>
          <w:szCs w:val="24"/>
        </w:rPr>
        <w:t>/</w:t>
      </w:r>
      <w:r w:rsidR="00813610">
        <w:rPr>
          <w:rFonts w:ascii="Arial" w:hAnsi="Arial" w:cs="Arial"/>
          <w:sz w:val="24"/>
          <w:szCs w:val="24"/>
        </w:rPr>
        <w:t xml:space="preserve"> </w:t>
      </w:r>
      <w:r w:rsidRPr="003F585B">
        <w:rPr>
          <w:rFonts w:ascii="Arial" w:hAnsi="Arial" w:cs="Arial"/>
          <w:sz w:val="24"/>
          <w:szCs w:val="24"/>
        </w:rPr>
        <w:t xml:space="preserve">descompressão cervical, correções da mão, quadril, joelho e tornozelo) ou de natureza otorrinolaringológica (amigdalectomia e adenoidectomia), é outra condição presente em pacientes com MPS. </w:t>
      </w:r>
      <w:r w:rsidR="004327BD">
        <w:rPr>
          <w:rFonts w:ascii="Arial" w:hAnsi="Arial" w:cs="Arial"/>
          <w:sz w:val="24"/>
          <w:szCs w:val="24"/>
        </w:rPr>
        <w:t>Esses tipos de cirurgias são realizado</w:t>
      </w:r>
      <w:r w:rsidRPr="003F585B">
        <w:rPr>
          <w:rFonts w:ascii="Arial" w:hAnsi="Arial" w:cs="Arial"/>
          <w:sz w:val="24"/>
          <w:szCs w:val="24"/>
        </w:rPr>
        <w:t xml:space="preserve">s com o propósito de corrigir ou atenuar deformidades e </w:t>
      </w:r>
      <w:r w:rsidR="004327BD">
        <w:rPr>
          <w:rFonts w:ascii="Arial" w:hAnsi="Arial" w:cs="Arial"/>
          <w:sz w:val="24"/>
          <w:szCs w:val="24"/>
        </w:rPr>
        <w:t>para</w:t>
      </w:r>
      <w:r w:rsidRPr="003F585B">
        <w:rPr>
          <w:rFonts w:ascii="Arial" w:hAnsi="Arial" w:cs="Arial"/>
          <w:sz w:val="24"/>
          <w:szCs w:val="24"/>
        </w:rPr>
        <w:t xml:space="preserve"> melhorar a função, uma vez que anormalidades esqueléticas e d</w:t>
      </w:r>
      <w:r w:rsidR="006F0862">
        <w:rPr>
          <w:rFonts w:ascii="Arial" w:hAnsi="Arial" w:cs="Arial"/>
          <w:sz w:val="24"/>
          <w:szCs w:val="24"/>
        </w:rPr>
        <w:t>as</w:t>
      </w:r>
      <w:r w:rsidRPr="003F585B">
        <w:rPr>
          <w:rFonts w:ascii="Arial" w:hAnsi="Arial" w:cs="Arial"/>
          <w:sz w:val="24"/>
          <w:szCs w:val="24"/>
        </w:rPr>
        <w:t xml:space="preserve"> vias aéreas, com consequente comprometimento funcional, ocorrem com frequência nesta população</w:t>
      </w:r>
      <w:r w:rsidR="00CD70C9">
        <w:rPr>
          <w:rFonts w:ascii="Arial" w:hAnsi="Arial" w:cs="Arial"/>
          <w:sz w:val="24"/>
          <w:szCs w:val="24"/>
        </w:rPr>
        <w:t>.</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"10.1007/s10545-007-0529-7", "ISBN" : "1573-2665 (Electronic)\\n0141-8955 (Linking)", "ISSN" : "01418955", "PMID" : "17347914", "abstract" : "Mucopolysaccharidosis IVA (MPS IVA; Morquio A disease) is a lysosomal storage disorder caused by deficiency of N-acetylgalactosamine-6-sulfate sulfa-tase. The natural history of this disease is incompletely understood. To study which variables influence the clinical outcome, we conducted a study in which MPS IVA pa-tients were asked to fill out a questionnaire with inquiries regarding family history, diagnosis, signs and symptoms, height, weight, surgical history, physical activity, and general complaints. A total of 326 patients (172 male, 154 female) from 42 countries enrolled in the Morquio A Registry programme. The mean age of patients enrolled was 14.9 years for males and 19.1 years for females, with a wide range of 1\u201373 years. Sixty-four per cent of the patients were under 18 years. Initial symptoms were recognized between 1 and 3 years of age (mean age 2.1 years) and mean age at diagnosis for the patients was 4.7 years. A progressive skeletal dysplasia was commonly observed among the MPS IVA patients. Fifty per cent of patients underwent surgical operations to improve their quality of life. The most frequent surgical sites include neck (51%), ear (33%), leg (26%) and", "author" : [ { "dropping-particle" : "", "family" : "Monta\u00f1o", "given" : "A. M.", "non-dropping-particle" : "", "parse-names" : false, "suffix" : "" }, { "dropping-particle" : "", "family" : "Tomatsu", "given" : "S.", "non-dropping-particle" : "", "parse-names" : false, "suffix" : "" }, { "dropping-particle" : "", "family" : "Gottesman", "given" : "G. S.", "non-dropping-particle" : "", "parse-names" : false, "suffix" : "" }, { "dropping-particle" : "", "family" : "Smith", "given" : "M.", "non-dropping-particle" : "", "parse-names" : false, "suffix" : "" }, { "dropping-particle" : "", "family" : "Orii", "given" : "T.", "non-dropping-particle" : "", "parse-names" : false, "suffix" : "" } ], "container-title" : "Journal of Inherited Metabolic Disease", "id" : "ITEM-1", "issue" : "2", "issued" : { "date-parts" : [ [ "2007" ] ] }, "page" : "165-174", "title" : "International Morquio A Registry: Clinical manifestation and natural course of Morquio A disease", "type" : "article-journal", "volume" : "30" }, "uris" : [ "http://www.mendeley.com/documents/?uuid=2ff146e2-f061-4ec1-b8a0-37fac9fb6f05" ] }, { "id" : "ITEM-2", "itemData" : { "DOI" : "10.1007/s00167-012-2289-7", "ISBN" : "1433-7347 (Electronic)\\r0942-2056 (Linking)", "ISSN" : "14337347", "PMID" : "24839594", "abstract" : "Patients with mucopolysaccharidosis type IVA (MPS IVA; Morquio A syndrome) have accumulation of the glycosaminoglycans, keratan sulfate, and chondroitin-6-sulfate, in bone and cartilage, causing systemic spondyloepiphyseal dysplasia. Features include lumbar gibbus, pectus carinatum, faring of the rib cage, marked short stature, cervical instability and stenosis, kyphoscoliosis, genu valgum, and laxity of joints. Generally, MPS IVA patients are wheelchair-bound as teenagers and do not survive beyond the second or third decade of life as a result of severe bone dysplasia, causing restrictive lung disease and airway narrowing, increasing potential for pneumonia and apnea; stenosis and instability of the upper cervical region; high risk during anesthesia administration due to narrowed airway as well as thoracoabdominal dysfunction; and surgical complications. Patients often need multiple surgical procedures, including cervical decompression and fusion, hip reconstruction and replacement, and femoral or tibial osteotomy, throughout their lifetime. Current measures to intervene in disease progression are largely palliative, and improved therapies are urgently needed. A clinical trial for enzyme replacement therapy (ERT) and an investigational trial for hematopoietic stem cell transplantation (HSCT) are underway. Whether sufficient enzyme will be delivered effectively to bone, especially cartilage (avascular region) to prevent the devastating skeletal dysplasias remains unclear. This review provides an overview of historical aspects of studies on MPS IVA, including clinical manifestations and pathogenesis of MPS IVA, orthopedic surgical interventions, and anesthetic care. It also describes perspectives on potential ERT, HSCT, and gene therapy.", "author" : [ { "dropping-particle" : "", "family" : "Tomatsu S, Mackenzie WG, Theroux MC, Mason RW, Thacker MM, Shaffer TH, Monta\u00f1o AM, Rowan D, Sly W, Alm\u00e9ciga-D\u00edaz CJ, Barrera LA, Chinen Y, Yasuda E, Ruhnke K, Suzuki Y", "given" : "Orii T.", "non-dropping-particle" : "", "parse-names" : false, "suffix" : "" } ], "container-title" : "Res Rep Endocr Disord.", "id" : "ITEM-2", "issue" : "1", "issued" : { "date-parts" : [ [ "2012" ] ] }, "page" : "65-77", "title" : "Current and emerging treatments and surgical interventions for Morquio A syndrome: a review", "type" : "article-journal", "volume" : "2" }, "uris" : [ "http://www.mendeley.com/documents/?uuid=fcf63449-eb68-435e-9882-fc5b9864657a" ] } ], "mendeley" : { "formattedCitation" : "&lt;sup&gt;45,46&lt;/sup&gt;", "plainTextFormattedCitation" : "45,46", "previouslyFormattedCitation" : "&lt;sup&gt;45,46&lt;/sup&gt;"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45,46</w:t>
      </w:r>
      <w:r w:rsidRPr="003F585B">
        <w:rPr>
          <w:rFonts w:ascii="Arial" w:hAnsi="Arial" w:cs="Arial"/>
          <w:sz w:val="24"/>
          <w:szCs w:val="24"/>
        </w:rPr>
        <w:fldChar w:fldCharType="end"/>
      </w:r>
    </w:p>
    <w:p w:rsidR="00A62F69" w:rsidRDefault="00A62F69" w:rsidP="00491682">
      <w:pPr>
        <w:spacing w:after="0" w:line="360" w:lineRule="auto"/>
        <w:jc w:val="both"/>
        <w:rPr>
          <w:rFonts w:ascii="Arial" w:hAnsi="Arial" w:cs="Arial"/>
          <w:sz w:val="24"/>
          <w:szCs w:val="24"/>
        </w:rPr>
      </w:pPr>
    </w:p>
    <w:p w:rsidR="008F7F2B" w:rsidRDefault="008F7F2B" w:rsidP="00491682">
      <w:pPr>
        <w:spacing w:after="0" w:line="360" w:lineRule="auto"/>
        <w:jc w:val="both"/>
        <w:rPr>
          <w:rFonts w:ascii="Arial" w:hAnsi="Arial" w:cs="Arial"/>
          <w:sz w:val="24"/>
          <w:szCs w:val="24"/>
        </w:rPr>
      </w:pPr>
      <w:r w:rsidRPr="003F585B">
        <w:rPr>
          <w:rFonts w:ascii="Arial" w:hAnsi="Arial" w:cs="Arial"/>
          <w:sz w:val="24"/>
          <w:szCs w:val="24"/>
        </w:rPr>
        <w:t xml:space="preserve">Complicações </w:t>
      </w:r>
      <w:r w:rsidR="004B256B">
        <w:rPr>
          <w:rFonts w:ascii="Arial" w:hAnsi="Arial" w:cs="Arial"/>
          <w:sz w:val="24"/>
          <w:szCs w:val="24"/>
        </w:rPr>
        <w:t xml:space="preserve">relacionadas </w:t>
      </w:r>
      <w:r w:rsidR="0067060A">
        <w:rPr>
          <w:rFonts w:ascii="Arial" w:hAnsi="Arial" w:cs="Arial"/>
          <w:sz w:val="24"/>
          <w:szCs w:val="24"/>
        </w:rPr>
        <w:t>a</w:t>
      </w:r>
      <w:r w:rsidR="00932C9F">
        <w:rPr>
          <w:rFonts w:ascii="Arial" w:hAnsi="Arial" w:cs="Arial"/>
          <w:sz w:val="24"/>
          <w:szCs w:val="24"/>
        </w:rPr>
        <w:t xml:space="preserve"> cirurgias podem</w:t>
      </w:r>
      <w:r w:rsidRPr="003F585B">
        <w:rPr>
          <w:rFonts w:ascii="Arial" w:hAnsi="Arial" w:cs="Arial"/>
          <w:sz w:val="24"/>
          <w:szCs w:val="24"/>
        </w:rPr>
        <w:t>, no entanto, acometer pacientes com MPS</w:t>
      </w:r>
      <w:r>
        <w:rPr>
          <w:rFonts w:ascii="Arial" w:hAnsi="Arial" w:cs="Arial"/>
          <w:sz w:val="24"/>
          <w:szCs w:val="24"/>
        </w:rPr>
        <w:t xml:space="preserve">, devido o </w:t>
      </w:r>
      <w:r w:rsidRPr="003F585B">
        <w:rPr>
          <w:rFonts w:ascii="Arial" w:hAnsi="Arial" w:cs="Arial"/>
          <w:sz w:val="24"/>
          <w:szCs w:val="24"/>
        </w:rPr>
        <w:t>risco elevado para intercorrências clínicas</w:t>
      </w:r>
      <w:r>
        <w:rPr>
          <w:rFonts w:ascii="Arial" w:hAnsi="Arial" w:cs="Arial"/>
          <w:sz w:val="24"/>
          <w:szCs w:val="24"/>
        </w:rPr>
        <w:t xml:space="preserve">. Procedimento de intubação orotraqueal e o uso de anestésicos são exemplos de situações que predispõem esses indivíduos </w:t>
      </w:r>
      <w:r w:rsidR="00F979C5">
        <w:rPr>
          <w:rFonts w:ascii="Arial" w:hAnsi="Arial" w:cs="Arial"/>
          <w:sz w:val="24"/>
          <w:szCs w:val="24"/>
        </w:rPr>
        <w:t>a condições desfavoráveis. A</w:t>
      </w:r>
      <w:r w:rsidRPr="003F585B">
        <w:rPr>
          <w:rFonts w:ascii="Arial" w:hAnsi="Arial" w:cs="Arial"/>
          <w:sz w:val="24"/>
          <w:szCs w:val="24"/>
        </w:rPr>
        <w:t xml:space="preserve"> instabilidade e </w:t>
      </w:r>
      <w:r w:rsidR="00F979C5">
        <w:rPr>
          <w:rFonts w:ascii="Arial" w:hAnsi="Arial" w:cs="Arial"/>
          <w:sz w:val="24"/>
          <w:szCs w:val="24"/>
        </w:rPr>
        <w:t xml:space="preserve">a </w:t>
      </w:r>
      <w:r w:rsidRPr="003F585B">
        <w:rPr>
          <w:rFonts w:ascii="Arial" w:hAnsi="Arial" w:cs="Arial"/>
          <w:sz w:val="24"/>
          <w:szCs w:val="24"/>
        </w:rPr>
        <w:t>estenose da coluna cervical</w:t>
      </w:r>
      <w:r w:rsidR="0067060A">
        <w:rPr>
          <w:rFonts w:ascii="Arial" w:hAnsi="Arial" w:cs="Arial"/>
          <w:sz w:val="24"/>
          <w:szCs w:val="24"/>
        </w:rPr>
        <w:t>,</w:t>
      </w:r>
      <w:r w:rsidR="004B256B">
        <w:rPr>
          <w:rFonts w:ascii="Arial" w:hAnsi="Arial" w:cs="Arial"/>
          <w:sz w:val="24"/>
          <w:szCs w:val="24"/>
        </w:rPr>
        <w:t xml:space="preserve"> associadas</w:t>
      </w:r>
      <w:r w:rsidR="00F979C5">
        <w:rPr>
          <w:rFonts w:ascii="Arial" w:hAnsi="Arial" w:cs="Arial"/>
          <w:sz w:val="24"/>
          <w:szCs w:val="24"/>
        </w:rPr>
        <w:t xml:space="preserve"> ao </w:t>
      </w:r>
      <w:r w:rsidRPr="003F585B">
        <w:rPr>
          <w:rFonts w:ascii="Arial" w:hAnsi="Arial" w:cs="Arial"/>
          <w:sz w:val="24"/>
          <w:szCs w:val="24"/>
        </w:rPr>
        <w:t>estreitamento das vias aéreas</w:t>
      </w:r>
      <w:r w:rsidR="004B256B">
        <w:rPr>
          <w:rFonts w:ascii="Arial" w:hAnsi="Arial" w:cs="Arial"/>
          <w:sz w:val="24"/>
          <w:szCs w:val="24"/>
        </w:rPr>
        <w:t xml:space="preserve"> e ao</w:t>
      </w:r>
      <w:r w:rsidR="00F979C5">
        <w:rPr>
          <w:rFonts w:ascii="Arial" w:hAnsi="Arial" w:cs="Arial"/>
          <w:sz w:val="24"/>
          <w:szCs w:val="24"/>
        </w:rPr>
        <w:t xml:space="preserve"> </w:t>
      </w:r>
      <w:r w:rsidRPr="003F585B">
        <w:rPr>
          <w:rFonts w:ascii="Arial" w:hAnsi="Arial" w:cs="Arial"/>
          <w:sz w:val="24"/>
          <w:szCs w:val="24"/>
        </w:rPr>
        <w:t>aumento da resistência à passagem do fluxo de ar</w:t>
      </w:r>
      <w:r w:rsidR="00F979C5">
        <w:rPr>
          <w:rFonts w:ascii="Arial" w:hAnsi="Arial" w:cs="Arial"/>
          <w:sz w:val="24"/>
          <w:szCs w:val="24"/>
        </w:rPr>
        <w:t>, explicam esses riscos</w:t>
      </w:r>
      <w:r>
        <w:rPr>
          <w:rFonts w:ascii="Arial" w:hAnsi="Arial" w:cs="Arial"/>
          <w:sz w:val="24"/>
          <w:szCs w:val="24"/>
        </w:rPr>
        <w:t>.</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"10.1007/s00167-012-2289-7", "ISBN" : "1433-7347 (Electronic)\\r0942-2056 (Linking)", "ISSN" : "14337347", "PMID" : "24839594", "abstract" : "Patients with mucopolysaccharidosis type IVA (MPS IVA; Morquio A syndrome) have accumulation of the glycosaminoglycans, keratan sulfate, and chondroitin-6-sulfate, in bone and cartilage, causing systemic spondyloepiphyseal dysplasia. Features include lumbar gibbus, pectus carinatum, faring of the rib cage, marked short stature, cervical instability and stenosis, kyphoscoliosis, genu valgum, and laxity of joints. Generally, MPS IVA patients are wheelchair-bound as teenagers and do not survive beyond the second or third decade of life as a result of severe bone dysplasia, causing restrictive lung disease and airway narrowing, increasing potential for pneumonia and apnea; stenosis and instability of the upper cervical region; high risk during anesthesia administration due to narrowed airway as well as thoracoabdominal dysfunction; and surgical complications. Patients often need multiple surgical procedures, including cervical decompression and fusion, hip reconstruction and replacement, and femoral or tibial osteotomy, throughout their lifetime. Current measures to intervene in disease progression are largely palliative, and improved therapies are urgently needed. A clinical trial for enzyme replacement therapy (ERT) and an investigational trial for hematopoietic stem cell transplantation (HSCT) are underway. Whether sufficient enzyme will be delivered effectively to bone, especially cartilage (avascular region) to prevent the devastating skeletal dysplasias remains unclear. This review provides an overview of historical aspects of studies on MPS IVA, including clinical manifestations and pathogenesis of MPS IVA, orthopedic surgical interventions, and anesthetic care. It also describes perspectives on potential ERT, HSCT, and gene therapy.", "author" : [ { "dropping-particle" : "", "family" : "Tomatsu S, Mackenzie WG, Theroux MC, Mason RW, Thacker MM, Shaffer TH, Monta\u00f1o AM, Rowan D, Sly W, Alm\u00e9ciga-D\u00edaz CJ, Barrera LA, Chinen Y, Yasuda E, Ruhnke K, Suzuki Y", "given" : "Orii T.", "non-dropping-particle" : "", "parse-names" : false, "suffix" : "" } ], "container-title" : "Res Rep Endocr Disord.", "id" : "ITEM-1", "issue" : "1", "issued" : { "date-parts" : [ [ "2012" ] ] }, "page" : "65-77", "title" : "Current and emerging treatments and surgical interventions for Morquio A syndrome: a review", "type" : "article-journal", "volume" : "2" }, "uris" : [ "http://www.mendeley.com/documents/?uuid=fcf63449-eb68-435e-9882-fc5b9864657a" ] }, { "id" : "ITEM-2", "itemData" : { "DOI" : "10.1007/BF03020496", "ISBN" : "0832-610X", "ISSN" : "0832-610X", "PMID" : "11823401", "abstract" : "Purpose: There are a number of syndromes with proven or suspected instability of the cervical spine especially in pediatric patients. It is a challenge for the anesthesiologist to intubate these patients with as little movement of the cervical spine as possible. A new device to facilitate this task is the angulated video-intubation laryngoscope (AVIL). Clinical features: The AVIL is a curved endoscopic intubation laryngoscope with angulated distal tip. The video-view from the distal blade tip improves glottic visualization during difficult direct laryngoscopy. We report three sisters with Morquio syndrome scheduled for otorhinolaryngology surgery the same day. Two of them had radiologically suspected cervical spine instability. Tracheal intubation was planned with careful direct laryngoscopy under manual in-line stabilization of the neck and head by an assistant. Direct visualization of the larynx using a Miller blade No. 2 was impaired in two of the three children in whom the cervical spine was immobilized. They were both successfully intubated under endoscopic control using the AVIL. Conclusion: The AVIL may become a helpful device to aid endotracheal intubation in patients when cervical spine immobilization impairs direct laryngoscopy", "author" : [ { "dropping-particle" : "", "family" : "Dullenkopf", "given" : "A", "non-dropping-particle" : "", "parse-names" : false, "suffix" : "" }, { "dropping-particle" : "", "family" : "Holzmann", "given" : "D", "non-dropping-particle" : "", "parse-names" : false, "suffix" : "" }, { "dropping-particle" : "", "family" : "Feurer", "given" : "R", "non-dropping-particle" : "", "parse-names" : false, "suffix" : "" }, { "dropping-particle" : "", "family" : "Gerber", "given" : "A", "non-dropping-particle" : "", "parse-names" : false, "suffix" : "" }, { "dropping-particle" : "", "family" : "Weiss", "given" : "M", "non-dropping-particle" : "", "parse-names" : false, "suffix" : "" } ], "container-title" : "Canadian Journal of Anesthesia.", "id" : "ITEM-2", "issue" : "2", "issued" : { "date-parts" : [ [ "2002" ] ] }, "page" : "198-202", "title" : "Tracheal intubation in children with Morquio syndrome using the angulated video-intubation laryngoscope", "type" : "article-journal", "volume" : "49" }, "uris" : [ "http://www.mendeley.com/documents/?uuid=a0e46881-5704-4132-b8e8-c007b79ccd60" ] } ], "mendeley" : { "formattedCitation" : "&lt;sup&gt;46,66&lt;/sup&gt;", "plainTextFormattedCitation" : "46,66", "previouslyFormattedCitation" : "&lt;sup&gt;46,66&lt;/sup&gt;"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46,66</w:t>
      </w:r>
      <w:r w:rsidRPr="003F585B">
        <w:rPr>
          <w:rFonts w:ascii="Arial" w:hAnsi="Arial" w:cs="Arial"/>
          <w:sz w:val="24"/>
          <w:szCs w:val="24"/>
        </w:rPr>
        <w:fldChar w:fldCharType="end"/>
      </w:r>
      <w:r w:rsidRPr="003F585B">
        <w:rPr>
          <w:rFonts w:ascii="Arial" w:hAnsi="Arial" w:cs="Arial"/>
          <w:sz w:val="24"/>
          <w:szCs w:val="24"/>
        </w:rPr>
        <w:t xml:space="preserve"> Tais circunstâncias dificultam não apenas o processo de intubação</w:t>
      </w:r>
      <w:r w:rsidR="004B256B">
        <w:rPr>
          <w:rFonts w:ascii="Arial" w:hAnsi="Arial" w:cs="Arial"/>
          <w:sz w:val="24"/>
          <w:szCs w:val="24"/>
        </w:rPr>
        <w:t xml:space="preserve"> – </w:t>
      </w:r>
      <w:r w:rsidRPr="003F585B">
        <w:rPr>
          <w:rFonts w:ascii="Arial" w:hAnsi="Arial" w:cs="Arial"/>
          <w:sz w:val="24"/>
          <w:szCs w:val="24"/>
        </w:rPr>
        <w:t>necessário em alguns procedimentos cirúrgicos</w:t>
      </w:r>
      <w:r w:rsidR="003C52EE">
        <w:rPr>
          <w:rFonts w:ascii="Arial" w:hAnsi="Arial" w:cs="Arial"/>
          <w:sz w:val="24"/>
          <w:szCs w:val="24"/>
        </w:rPr>
        <w:t xml:space="preserve"> –</w:t>
      </w:r>
      <w:r w:rsidRPr="003F585B">
        <w:rPr>
          <w:rFonts w:ascii="Arial" w:hAnsi="Arial" w:cs="Arial"/>
          <w:sz w:val="24"/>
          <w:szCs w:val="24"/>
        </w:rPr>
        <w:t>, como também</w:t>
      </w:r>
      <w:r w:rsidR="004B256B">
        <w:rPr>
          <w:rFonts w:ascii="Arial" w:hAnsi="Arial" w:cs="Arial"/>
          <w:sz w:val="24"/>
          <w:szCs w:val="24"/>
        </w:rPr>
        <w:t>,</w:t>
      </w:r>
      <w:r w:rsidRPr="003F585B">
        <w:rPr>
          <w:rFonts w:ascii="Arial" w:hAnsi="Arial" w:cs="Arial"/>
          <w:sz w:val="24"/>
          <w:szCs w:val="24"/>
        </w:rPr>
        <w:t xml:space="preserve"> a</w:t>
      </w:r>
      <w:r w:rsidR="004B256B">
        <w:rPr>
          <w:rFonts w:ascii="Arial" w:hAnsi="Arial" w:cs="Arial"/>
          <w:sz w:val="24"/>
          <w:szCs w:val="24"/>
        </w:rPr>
        <w:t xml:space="preserve"> instituição da</w:t>
      </w:r>
      <w:r w:rsidRPr="003F585B">
        <w:rPr>
          <w:rFonts w:ascii="Arial" w:hAnsi="Arial" w:cs="Arial"/>
          <w:sz w:val="24"/>
          <w:szCs w:val="24"/>
        </w:rPr>
        <w:t xml:space="preserve"> ventilação mecânica e a desconexão desses pacientes do suporte </w:t>
      </w:r>
      <w:r w:rsidR="004B256B">
        <w:rPr>
          <w:rFonts w:ascii="Arial" w:hAnsi="Arial" w:cs="Arial"/>
          <w:sz w:val="24"/>
          <w:szCs w:val="24"/>
        </w:rPr>
        <w:t xml:space="preserve">ventilatório </w:t>
      </w:r>
      <w:r>
        <w:rPr>
          <w:rFonts w:ascii="Arial" w:hAnsi="Arial" w:cs="Arial"/>
          <w:sz w:val="24"/>
          <w:szCs w:val="24"/>
        </w:rPr>
        <w:t>invasivo</w:t>
      </w:r>
      <w:r w:rsidRPr="003F585B">
        <w:rPr>
          <w:rFonts w:ascii="Arial" w:hAnsi="Arial" w:cs="Arial"/>
          <w:sz w:val="24"/>
          <w:szCs w:val="24"/>
        </w:rPr>
        <w:t xml:space="preserve">, </w:t>
      </w:r>
      <w:r w:rsidR="004B256B">
        <w:rPr>
          <w:rFonts w:ascii="Arial" w:hAnsi="Arial" w:cs="Arial"/>
          <w:sz w:val="24"/>
          <w:szCs w:val="24"/>
        </w:rPr>
        <w:t>resultando em</w:t>
      </w:r>
      <w:r w:rsidRPr="003F585B">
        <w:rPr>
          <w:rFonts w:ascii="Arial" w:hAnsi="Arial" w:cs="Arial"/>
          <w:sz w:val="24"/>
          <w:szCs w:val="24"/>
        </w:rPr>
        <w:t xml:space="preserve"> condição de maior morbidade e dependência funcional</w:t>
      </w:r>
      <w:r w:rsidR="0067060A">
        <w:rPr>
          <w:rFonts w:ascii="Arial" w:hAnsi="Arial" w:cs="Arial"/>
          <w:sz w:val="24"/>
          <w:szCs w:val="24"/>
        </w:rPr>
        <w:t xml:space="preserve"> entre os mesmos</w:t>
      </w:r>
      <w:r>
        <w:rPr>
          <w:rFonts w:ascii="Arial" w:hAnsi="Arial" w:cs="Arial"/>
          <w:sz w:val="24"/>
          <w:szCs w:val="24"/>
        </w:rPr>
        <w:t>.</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"10.1007/s00167-012-2289-7", "ISBN" : "1433-7347 (Electronic)\\r0942-2056 (Linking)", "ISSN" : "14337347", "PMID" : "24839594", "abstract" : "Patients with mucopolysaccharidosis type IVA (MPS IVA; Morquio A syndrome) have accumulation of the glycosaminoglycans, keratan sulfate, and chondroitin-6-sulfate, in bone and cartilage, causing systemic spondyloepiphyseal dysplasia. Features include lumbar gibbus, pectus carinatum, faring of the rib cage, marked short stature, cervical instability and stenosis, kyphoscoliosis, genu valgum, and laxity of joints. Generally, MPS IVA patients are wheelchair-bound as teenagers and do not survive beyond the second or third decade of life as a result of severe bone dysplasia, causing restrictive lung disease and airway narrowing, increasing potential for pneumonia and apnea; stenosis and instability of the upper cervical region; high risk during anesthesia administration due to narrowed airway as well as thoracoabdominal dysfunction; and surgical complications. Patients often need multiple surgical procedures, including cervical decompression and fusion, hip reconstruction and replacement, and femoral or tibial osteotomy, throughout their lifetime. Current measures to intervene in disease progression are largely palliative, and improved therapies are urgently needed. A clinical trial for enzyme replacement therapy (ERT) and an investigational trial for hematopoietic stem cell transplantation (HSCT) are underway. Whether sufficient enzyme will be delivered effectively to bone, especially cartilage (avascular region) to prevent the devastating skeletal dysplasias remains unclear. This review provides an overview of historical aspects of studies on MPS IVA, including clinical manifestations and pathogenesis of MPS IVA, orthopedic surgical interventions, and anesthetic care. It also describes perspectives on potential ERT, HSCT, and gene therapy.", "author" : [ { "dropping-particle" : "", "family" : "Tomatsu S, Mackenzie WG, Theroux MC, Mason RW, Thacker MM, Shaffer TH, Monta\u00f1o AM, Rowan D, Sly W, Alm\u00e9ciga-D\u00edaz CJ, Barrera LA, Chinen Y, Yasuda E, Ruhnke K, Suzuki Y", "given" : "Orii T.", "non-dropping-particle" : "", "parse-names" : false, "suffix" : "" } ], "container-title" : "Res Rep Endocr Disord.", "id" : "ITEM-1", "issue" : "1", "issued" : { "date-parts" : [ [ "2012" ] ] }, "page" : "65-77", "title" : "Current and emerging treatments and surgical interventions for Morquio A syndrome: a review", "type" : "article-journal", "volume" : "2" }, "uris" : [ "http://www.mendeley.com/documents/?uuid=fcf63449-eb68-435e-9882-fc5b9864657a" ] } ], "mendeley" : { "formattedCitation" : "&lt;sup&gt;46&lt;/sup&gt;", "plainTextFormattedCitation" : "46", "previouslyFormattedCitation" : "&lt;sup&gt;46&lt;/sup&gt;"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46</w:t>
      </w:r>
      <w:r w:rsidRPr="003F585B">
        <w:rPr>
          <w:rFonts w:ascii="Arial" w:hAnsi="Arial" w:cs="Arial"/>
          <w:sz w:val="24"/>
          <w:szCs w:val="24"/>
        </w:rPr>
        <w:fldChar w:fldCharType="end"/>
      </w:r>
    </w:p>
    <w:p w:rsidR="008F7F2B" w:rsidRDefault="008F7F2B" w:rsidP="00491682">
      <w:pPr>
        <w:spacing w:after="0" w:line="360" w:lineRule="auto"/>
        <w:jc w:val="both"/>
        <w:rPr>
          <w:rFonts w:ascii="Arial" w:hAnsi="Arial" w:cs="Arial"/>
          <w:sz w:val="24"/>
          <w:szCs w:val="24"/>
        </w:rPr>
      </w:pPr>
    </w:p>
    <w:p w:rsidR="00EB34BF" w:rsidRDefault="00EB34BF" w:rsidP="00491682">
      <w:pPr>
        <w:spacing w:after="0" w:line="360" w:lineRule="auto"/>
        <w:jc w:val="both"/>
        <w:rPr>
          <w:rFonts w:ascii="Arial" w:hAnsi="Arial" w:cs="Arial"/>
          <w:sz w:val="24"/>
          <w:szCs w:val="24"/>
        </w:rPr>
      </w:pPr>
      <w:r w:rsidRPr="003F585B">
        <w:rPr>
          <w:rFonts w:ascii="Arial" w:hAnsi="Arial" w:cs="Arial"/>
          <w:sz w:val="24"/>
          <w:szCs w:val="24"/>
        </w:rPr>
        <w:t xml:space="preserve">As </w:t>
      </w:r>
      <w:r w:rsidR="002106B0">
        <w:rPr>
          <w:rFonts w:ascii="Arial" w:hAnsi="Arial" w:cs="Arial"/>
          <w:sz w:val="24"/>
          <w:szCs w:val="24"/>
        </w:rPr>
        <w:t>disfun</w:t>
      </w:r>
      <w:r w:rsidRPr="003F585B">
        <w:rPr>
          <w:rFonts w:ascii="Arial" w:hAnsi="Arial" w:cs="Arial"/>
          <w:sz w:val="24"/>
          <w:szCs w:val="24"/>
        </w:rPr>
        <w:t xml:space="preserve">ções motoras, </w:t>
      </w:r>
      <w:r>
        <w:rPr>
          <w:rFonts w:ascii="Arial" w:hAnsi="Arial" w:cs="Arial"/>
          <w:sz w:val="24"/>
          <w:szCs w:val="24"/>
        </w:rPr>
        <w:t xml:space="preserve">neurológicas e </w:t>
      </w:r>
      <w:r w:rsidRPr="003F585B">
        <w:rPr>
          <w:rFonts w:ascii="Arial" w:hAnsi="Arial" w:cs="Arial"/>
          <w:sz w:val="24"/>
          <w:szCs w:val="24"/>
        </w:rPr>
        <w:t xml:space="preserve">respiratórias </w:t>
      </w:r>
      <w:r w:rsidR="00B26880">
        <w:rPr>
          <w:rFonts w:ascii="Arial" w:hAnsi="Arial" w:cs="Arial"/>
          <w:sz w:val="24"/>
          <w:szCs w:val="24"/>
        </w:rPr>
        <w:t>identificadas</w:t>
      </w:r>
      <w:r w:rsidRPr="003F585B">
        <w:rPr>
          <w:rFonts w:ascii="Arial" w:hAnsi="Arial" w:cs="Arial"/>
          <w:sz w:val="24"/>
          <w:szCs w:val="24"/>
        </w:rPr>
        <w:t xml:space="preserve"> em pacientes com MPS, somadas à rotina de tratamento ambulatorial, internações frequentes e lim</w:t>
      </w:r>
      <w:r w:rsidR="00807CF8">
        <w:rPr>
          <w:rFonts w:ascii="Arial" w:hAnsi="Arial" w:cs="Arial"/>
          <w:sz w:val="24"/>
          <w:szCs w:val="24"/>
        </w:rPr>
        <w:t>itações</w:t>
      </w:r>
      <w:r w:rsidRPr="003F585B">
        <w:rPr>
          <w:rFonts w:ascii="Arial" w:hAnsi="Arial" w:cs="Arial"/>
          <w:sz w:val="24"/>
          <w:szCs w:val="24"/>
        </w:rPr>
        <w:t xml:space="preserve"> de socialização por restriç</w:t>
      </w:r>
      <w:r w:rsidR="00807CF8">
        <w:rPr>
          <w:rFonts w:ascii="Arial" w:hAnsi="Arial" w:cs="Arial"/>
          <w:sz w:val="24"/>
          <w:szCs w:val="24"/>
        </w:rPr>
        <w:t>ão</w:t>
      </w:r>
      <w:r w:rsidR="00716240">
        <w:rPr>
          <w:rFonts w:ascii="Arial" w:hAnsi="Arial" w:cs="Arial"/>
          <w:sz w:val="24"/>
          <w:szCs w:val="24"/>
        </w:rPr>
        <w:t xml:space="preserve"> de</w:t>
      </w:r>
      <w:r w:rsidRPr="003F585B">
        <w:rPr>
          <w:rFonts w:ascii="Arial" w:hAnsi="Arial" w:cs="Arial"/>
          <w:sz w:val="24"/>
          <w:szCs w:val="24"/>
        </w:rPr>
        <w:t xml:space="preserve"> participaçã</w:t>
      </w:r>
      <w:r w:rsidR="00716240">
        <w:rPr>
          <w:rFonts w:ascii="Arial" w:hAnsi="Arial" w:cs="Arial"/>
          <w:sz w:val="24"/>
          <w:szCs w:val="24"/>
        </w:rPr>
        <w:t>o social, ocasionam prejuízos à</w:t>
      </w:r>
      <w:r w:rsidRPr="003F585B">
        <w:rPr>
          <w:rFonts w:ascii="Arial" w:hAnsi="Arial" w:cs="Arial"/>
          <w:sz w:val="24"/>
          <w:szCs w:val="24"/>
        </w:rPr>
        <w:t xml:space="preserve"> capacidade</w:t>
      </w:r>
      <w:r w:rsidR="00716240">
        <w:rPr>
          <w:rFonts w:ascii="Arial" w:hAnsi="Arial" w:cs="Arial"/>
          <w:sz w:val="24"/>
          <w:szCs w:val="24"/>
        </w:rPr>
        <w:t xml:space="preserve"> funcional</w:t>
      </w:r>
      <w:r w:rsidRPr="003F585B">
        <w:rPr>
          <w:rFonts w:ascii="Arial" w:hAnsi="Arial" w:cs="Arial"/>
          <w:sz w:val="24"/>
          <w:szCs w:val="24"/>
        </w:rPr>
        <w:t xml:space="preserve"> desses sujeitos</w:t>
      </w:r>
      <w:r w:rsidR="00807CF8">
        <w:rPr>
          <w:rFonts w:ascii="Arial" w:hAnsi="Arial" w:cs="Arial"/>
          <w:sz w:val="24"/>
          <w:szCs w:val="24"/>
        </w:rPr>
        <w:t xml:space="preserve">. Desta forma, os indivíduos com MPS tornam-se condicionados </w:t>
      </w:r>
      <w:r w:rsidRPr="003F585B">
        <w:rPr>
          <w:rFonts w:ascii="Arial" w:hAnsi="Arial" w:cs="Arial"/>
          <w:sz w:val="24"/>
          <w:szCs w:val="24"/>
        </w:rPr>
        <w:t>à assistênc</w:t>
      </w:r>
      <w:r w:rsidR="00807CF8">
        <w:rPr>
          <w:rFonts w:ascii="Arial" w:hAnsi="Arial" w:cs="Arial"/>
          <w:sz w:val="24"/>
          <w:szCs w:val="24"/>
        </w:rPr>
        <w:t>ia parcial ou total para execu</w:t>
      </w:r>
      <w:r w:rsidR="00E71D4B">
        <w:rPr>
          <w:rFonts w:ascii="Arial" w:hAnsi="Arial" w:cs="Arial"/>
          <w:sz w:val="24"/>
          <w:szCs w:val="24"/>
        </w:rPr>
        <w:t>tar</w:t>
      </w:r>
      <w:r w:rsidR="00B26880">
        <w:rPr>
          <w:rFonts w:ascii="Arial" w:hAnsi="Arial" w:cs="Arial"/>
          <w:sz w:val="24"/>
          <w:szCs w:val="24"/>
        </w:rPr>
        <w:t xml:space="preserve"> suas</w:t>
      </w:r>
      <w:r w:rsidR="00807CF8">
        <w:rPr>
          <w:rFonts w:ascii="Arial" w:hAnsi="Arial" w:cs="Arial"/>
          <w:sz w:val="24"/>
          <w:szCs w:val="24"/>
        </w:rPr>
        <w:t xml:space="preserve"> AVD</w:t>
      </w:r>
      <w:r w:rsidR="00CD70C9">
        <w:rPr>
          <w:rFonts w:ascii="Arial" w:hAnsi="Arial" w:cs="Arial"/>
          <w:sz w:val="24"/>
          <w:szCs w:val="24"/>
        </w:rPr>
        <w:t>.</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"10.1007/s10897-014-9791-7", "ISBN" : "1059-7700", "ISSN" : "15733599", "PMID" : "25395377", "abstract" : "Mucopolysaccharidosis type II (MPS II), also known as Hunter syndrome, is a chronic and progressive X-linked lysosomal disease that mainly affects males. The National MPS Society (2013) reports that MPS II affects 1 in 100,000 to 1 in 150,000 males worldwide. Two distinct forms of the disease are based on age of onset and clinical course: attenuated and severe. MPS II affects many organ systems including the nervous, cardiovascular, gastrointestinal and respiratory systems. Clinical manifestations can include progressive hearing loss, mental impairment, and enlarged liver and spleen. This study focuses on the health-related quality of life of individuals (HRQOL) with MPS II as measured by the parent and self-report versions of the Pediatric Quality of Life Inventory (PedsQL\u2122). Both parents of patients with MPS II as well as patients themselves reported lower scores on all domains of the PedsQL\u2122 (physical, emotional, social and school functioning) indicating that children with MPS II have an overall lower HRQOL when compared to a healthy sample. When compared with patients with other chronic illnesses (cancer, MSUD, galactosemia,), the MPS II sample had significantly lower scores on a number of PedsQL\u2122 scales, suggesting an overall lower HRQOL. No significant relationships were found using scores from parent or self report PedsQL\u2122 measures and length of time on ERT.", "author" : [ { "dropping-particle" : "", "family" : "Needham", "given" : "Mary", "non-dropping-particle" : "", "parse-names" : false, "suffix" : "" }, { "dropping-particle" : "", "family" : "Packman", "given" : "Wendy", "non-dropping-particle" : "", "parse-names" : false, "suffix" : "" }, { "dropping-particle" : "", "family" : "Quinn", "given" : "Natasha", "non-dropping-particle" : "", "parse-names" : false, "suffix" : "" }, { "dropping-particle" : "", "family" : "Rappoport", "given" : "Maxwell", "non-dropping-particle" : "", "parse-names" : false, "suffix" : "" }, { "dropping-particle" : "", "family" : "Aoki", "given" : "Christa", "non-dropping-particle" : "", "parse-names" : false, "suffix" : "" }, { "dropping-particle" : "", "family" : "Bostrom", "given" : "Alan", "non-dropping-particle" : "", "parse-names" : false, "suffix" : "" }, { "dropping-particle" : "", "family" : "Cordova", "given" : "Matthew", "non-dropping-particle" : "", "parse-names" : false, "suffix" : "" }, { "dropping-particle" : "", "family" : "Macias", "given" : "Sandra", "non-dropping-particle" : "", "parse-names" : false, "suffix" : "" }, { "dropping-particle" : "", "family" : "Morgan", "given" : "Cynthia", "non-dropping-particle" : "", "parse-names" : false, "suffix" : "" }, { "dropping-particle" : "", "family" : "Packman", "given" : "Seymour", "non-dropping-particle" : "", "parse-names" : false, "suffix" : "" } ], "container-title" : "Journal of Genetic Counseling", "id" : "ITEM-1", "issue" : "4", "issued" : { "date-parts" : [ [ "2015" ] ] }, "page" : "635-644", "title" : "Health-Related Quality of Life in Patients with MPS II", "type" : "article-journal", "volume" : "24" }, "uris" : [ "http://www.mendeley.com/documents/?uuid=c0f32ae7-7e62-41cc-a7ba-47d4f03fda28" ] }, { "id" : "ITEM-2", "itemData" : { "DOI" : "10.1186/s13023-015-0259-0", "ISBN" : "10.1186/s13023-015-0259-0", "ISSN" : "1750-1172", "PMID" : "25887606", "abstract" : "BACKGROUND Mucopolysaccharidosis II (MPS II) is associated with a broad spectrum of chronic and progressive, life-limiting symptoms. Idursulfase is approved for MPS II enzyme replacement therapy (ERT) in over 50 countries. This retrospective study evaluated the MPS II burden, organization of clinical care, and effects of idursulfase treatment on the disease in France. METHODS MPS II patients who had received idursulfase ERT in the French healthcare system were enrolled. In addition to clinician and patient questionnaires, the Clinical Global Impression-Improvement (CGI-I); Patient Global Impression-Improvement (PGI-I); KIDSCREEN-27, and EuroQoL-5D for adult patients scales were used to assess quality of life (QoL) and efficacy. RESULTS Fifty-two patients were enrolled from 5 sites in France. The majority of patients (69.2%) presented a severe MPS II phenotype with progressive neurocognitive impairment. Major impacts on QoL were apparent, with at least 1 member of the family having to reorganize working hours (45.5%) or to stop working (22.7%). KIDSCREEN-27 and EuroQoL-5D scale scores were well below those for referent (control) populations. Most families (70.0%) experienced a diagnostic delay of at least 3 years after the initial observation of symptoms. The MPS II diagnosis was often delivered without adequate sensitivity, psychological support, or comprehensive information about the disease. The study population had received a mean of 3.8 \u00b1 1.3 years ERT. Forty-four percent of patients with the attenuated phenotype (without progressive neurocognitive impairment) showed symptom improvement during both the first year (Period 1) and from the end of the first year of treatment to \"the present\" (Period 2), as measured by CGI-I/PGI-I. 30.3% and 9.1% of severe patients experienced symptom improvement during Periods 1 and 2, respectively, while 63.6% and 51.5% displayed no change. The most common adverse reactions reported were skin rash and other infusion-associated reactions. CONCLUSIONS MPS II adversely affects multiple domains of QoL for patients and families, requiring multiple healthcare services and social aid programs. The majority of patients with either phenotype experienced either improvement or stability in their symptoms during the first year of ERT, but this was clearly less so for patients with the severe phenotype after the first year of treatment.", "author" : [ { "dropping-particle" : "", "family" : "Guffon", "given" : "Nathalie", "non-dropping-particle" : "", "parse-names" : false, "suffix" : "" }, { "dropping-particle" : "", "family" : "Heron", "given" : "B\u00e9n\u00e9dicte", "non-dropping-particle" : "", "parse-names" : false, "suffix" : "" }, { "dropping-particle" : "", "family" : "Chabrol", "given" : "Brigitte", "non-dropping-particle" : "", "parse-names" : false, "suffix" : "" }, { "dropping-particle" : "", "family" : "Feillet", "given" : "Fran\u00e7ois", "non-dropping-particle" : "", "parse-names" : false, "suffix" : "" }, { "dropping-particle" : "", "family" : "Montauban", "given" : "Vincent", "non-dropping-particle" : "", "parse-names" : false, "suffix" : "" }, { "dropping-particle" : "", "family" : "Valayannopoulos", "given" : "Vassili", "non-dropping-particle" : "", "parse-names" : false, "suffix" : "" } ], "container-title" : "Orphanet journal of rare diseases", "id" : "ITEM-2", "issue" : "43", "issued" : { "date-parts" : [ [ "2015" ] ] }, "publisher" : "???", "title" : "Diagnosis, quality of life, and treatment of patients with Hunter syndrome in the French healthcare system: a retrospective observational study.", "type" : "article-journal", "volume" : "10" }, "uris" : [ "http://www.mendeley.com/documents/?uuid=7d43bfd9-e953-42f1-b69f-17eb703a5d3e" ] }, { "id" : "ITEM-3", "itemData" : { "DOI" : "10.1016/j.ymgmr.2016.03.005", "ISSN" : "22144269", "PMID" : "27114914", "abstract" : "Objectives The behavioral, adaptive and quality of life characteristics of attenuated mucopolysaccharidosis type II (MPS II) have not been well studied. Understanding changes over time in the attenuated phenotype may assist in helping achieve better outcomes in long-term function. This longitudinal study investigates these outcomes in relation to age, somatic disease burden, and IQ. Specifically, somatic disease burden is a major challenge for these patients, even with treatment with enzyme replacement therapy. Methods 15 patients, 10 between ages 6 and &lt; 12 and 5 between ages ??? 12 and 18, were selected who had at least 2 yearly visits. The occurrence of physical signs, the Physical Symptom Score, and IQ in these two groups was studied as well as the longitudinal association of age with standardized measures of quality of life, adaptive function, and behavioral symptoms as rated by parents and the child's self-report. Slopes by age across and within patients were calculated for these measures. Results All but one child had hearing loss, most had joint contractures and short stature. Somatic disease burden increased with age. IQ, although normal for most, also improved with age in those under 12 years of age. Physical quality of life decreased while psychosocial quality of life increased with age. Although other adaptive skills were in the broad average range, daily living skills were low at baseline relative to normative data and decreased over time. Behavior ratings indicated improvement in attention and hyperactivity over time. No patient had severe psychopathology, but older children reported an increasing sense of inadequacy and low self-esteem on self-report, presumably due to increasing awareness of differences from peers over time. Conclusions Attenuated MPS II patients have increasing somatic disease burden and poor physical quality of life as they develop as well as decreasing self-esteem and sense of adequacy. Psychosocial quality of life, adaptive skills, and attention improve. Recognition of and intervention around these issues will be beneficial to MPS II attenuated patients who have the resources to use such assistance to improve their long-term outcomes.", "author" : [ { "dropping-particle" : "", "family" : "Shapiro", "given" : "Elsa G.", "non-dropping-particle" : "", "parse-names" : false, "suffix" : "" }, { "dropping-particle" : "", "family" : "Rudser", "given" : "Kyle", "non-dropping-particle" : "", "parse-names" : false, "suffix" : "" }, { "dropping-particle" : "", "family" : "Ahmed", "given" : "Alia", "non-dropping-particle" : "", "parse-names" : false, "suffix" : "" }, { "dropping-particle" : "", "family" : "Steiner", "given" : "Robert D.", "non-dropping-particle" : "", "parse-names" : false, "suffix" : "" }, { "dropping-particle" : "", "family" : "Delaney", "given" : "Kathleen A.", "non-dropping-particle" : "", "parse-names" : false, "suffix" : "" }, { "dropping-particle" : "", "family" : "Yund", "given" : "Brianna", "non-dropping-particle" : "", "parse-names" : false, "suffix" : "" }, { "dropping-particle" : "", "family" : "King", "given" : "Kelly", "non-dropping-particle" : "", "parse-names" : false, "suffix" : "" }, { "dropping-particle" : "", "family" : "Kunin-Batson", "given" : "Alicia", "non-dropping-particle" : "", "parse-names" : false, "suffix" : "" }, { "dropping-particle" : "", "family" : "Eisengart", "given" : "Julie", "non-dropping-particle" : "", "parse-names" : false, "suffix" : "" }, { "dropping-particle" : "", "family" : "Whitley", "given" : "Chester B.", "non-dropping-particle" : "", "parse-names" : false, "suffix" : "" } ], "container-title" : "Mol Genet and Metab Rep", "id" : "ITEM-3", "issued" : { "date-parts" : [ [ "2016" ] ] }, "page" : "32-39", "publisher" : "The Authors", "title" : "A longitudinal study of emotional adjustment, quality of life and adaptive function in attenuated MPS II", "type" : "article-journal", "volume" : "7" }, "uris" : [ "http://www.mendeley.com/documents/?uuid=d9dc75ed-36d1-482c-907e-4f291c5b0c45" ] } ], "mendeley" : { "formattedCitation" : "&lt;sup&gt;11\u201313&lt;/sup&gt;", "plainTextFormattedCitation" : "11\u201313", "previouslyFormattedCitation" : "&lt;sup&gt;11\u201313&lt;/sup&gt;"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11–13</w:t>
      </w:r>
      <w:r w:rsidRPr="003F585B">
        <w:rPr>
          <w:rFonts w:ascii="Arial" w:hAnsi="Arial" w:cs="Arial"/>
          <w:sz w:val="24"/>
          <w:szCs w:val="24"/>
        </w:rPr>
        <w:fldChar w:fldCharType="end"/>
      </w:r>
      <w:r>
        <w:rPr>
          <w:rFonts w:ascii="Arial" w:hAnsi="Arial" w:cs="Arial"/>
          <w:sz w:val="24"/>
          <w:szCs w:val="24"/>
        </w:rPr>
        <w:t xml:space="preserve"> Inúmeros </w:t>
      </w:r>
      <w:r w:rsidRPr="003F585B">
        <w:rPr>
          <w:rFonts w:ascii="Arial" w:hAnsi="Arial" w:cs="Arial"/>
          <w:sz w:val="24"/>
          <w:szCs w:val="24"/>
        </w:rPr>
        <w:t xml:space="preserve">fatores interferem </w:t>
      </w:r>
      <w:r w:rsidR="00B26880">
        <w:rPr>
          <w:rFonts w:ascii="Arial" w:hAnsi="Arial" w:cs="Arial"/>
          <w:sz w:val="24"/>
          <w:szCs w:val="24"/>
        </w:rPr>
        <w:t>na realização</w:t>
      </w:r>
      <w:r w:rsidRPr="003F585B">
        <w:rPr>
          <w:rFonts w:ascii="Arial" w:hAnsi="Arial" w:cs="Arial"/>
          <w:sz w:val="24"/>
          <w:szCs w:val="24"/>
        </w:rPr>
        <w:t xml:space="preserve"> d</w:t>
      </w:r>
      <w:r>
        <w:rPr>
          <w:rFonts w:ascii="Arial" w:hAnsi="Arial" w:cs="Arial"/>
          <w:sz w:val="24"/>
          <w:szCs w:val="24"/>
        </w:rPr>
        <w:t>ess</w:t>
      </w:r>
      <w:r w:rsidR="00807CF8">
        <w:rPr>
          <w:rFonts w:ascii="Arial" w:hAnsi="Arial" w:cs="Arial"/>
          <w:sz w:val="24"/>
          <w:szCs w:val="24"/>
        </w:rPr>
        <w:t>as atividade</w:t>
      </w:r>
      <w:r w:rsidR="00B26880">
        <w:rPr>
          <w:rFonts w:ascii="Arial" w:hAnsi="Arial" w:cs="Arial"/>
          <w:sz w:val="24"/>
          <w:szCs w:val="24"/>
        </w:rPr>
        <w:t>s</w:t>
      </w:r>
      <w:r w:rsidR="00807CF8">
        <w:rPr>
          <w:rFonts w:ascii="Arial" w:hAnsi="Arial" w:cs="Arial"/>
          <w:sz w:val="24"/>
          <w:szCs w:val="24"/>
        </w:rPr>
        <w:t>. D</w:t>
      </w:r>
      <w:r w:rsidRPr="003F585B">
        <w:rPr>
          <w:rFonts w:ascii="Arial" w:hAnsi="Arial" w:cs="Arial"/>
          <w:sz w:val="24"/>
          <w:szCs w:val="24"/>
        </w:rPr>
        <w:t xml:space="preserve">esde </w:t>
      </w:r>
      <w:r w:rsidR="007A2606">
        <w:rPr>
          <w:rFonts w:ascii="Arial" w:hAnsi="Arial" w:cs="Arial"/>
          <w:sz w:val="24"/>
          <w:szCs w:val="24"/>
        </w:rPr>
        <w:t>aspecto</w:t>
      </w:r>
      <w:r w:rsidRPr="003F585B">
        <w:rPr>
          <w:rFonts w:ascii="Arial" w:hAnsi="Arial" w:cs="Arial"/>
          <w:sz w:val="24"/>
          <w:szCs w:val="24"/>
        </w:rPr>
        <w:t>s p</w:t>
      </w:r>
      <w:r w:rsidR="00B350EF">
        <w:rPr>
          <w:rFonts w:ascii="Arial" w:hAnsi="Arial" w:cs="Arial"/>
          <w:sz w:val="24"/>
          <w:szCs w:val="24"/>
        </w:rPr>
        <w:t>essoais</w:t>
      </w:r>
      <w:r w:rsidR="00E71D4B">
        <w:rPr>
          <w:rFonts w:ascii="Arial" w:hAnsi="Arial" w:cs="Arial"/>
          <w:sz w:val="24"/>
          <w:szCs w:val="24"/>
        </w:rPr>
        <w:t>,</w:t>
      </w:r>
      <w:r w:rsidR="00B350EF">
        <w:rPr>
          <w:rFonts w:ascii="Arial" w:hAnsi="Arial" w:cs="Arial"/>
          <w:sz w:val="24"/>
          <w:szCs w:val="24"/>
        </w:rPr>
        <w:t xml:space="preserve"> como condição de saúde</w:t>
      </w:r>
      <w:r w:rsidR="002F0478">
        <w:rPr>
          <w:rFonts w:ascii="Arial" w:hAnsi="Arial" w:cs="Arial"/>
          <w:sz w:val="24"/>
          <w:szCs w:val="24"/>
        </w:rPr>
        <w:t xml:space="preserve"> e</w:t>
      </w:r>
      <w:r w:rsidR="00E71D4B">
        <w:rPr>
          <w:rFonts w:ascii="Arial" w:hAnsi="Arial" w:cs="Arial"/>
          <w:sz w:val="24"/>
          <w:szCs w:val="24"/>
        </w:rPr>
        <w:t xml:space="preserve"> integridade estrutural</w:t>
      </w:r>
      <w:r w:rsidR="00807CF8">
        <w:rPr>
          <w:rFonts w:ascii="Arial" w:hAnsi="Arial" w:cs="Arial"/>
          <w:sz w:val="24"/>
          <w:szCs w:val="24"/>
        </w:rPr>
        <w:t>,</w:t>
      </w:r>
      <w:r w:rsidRPr="003F585B">
        <w:rPr>
          <w:rFonts w:ascii="Arial" w:hAnsi="Arial" w:cs="Arial"/>
          <w:sz w:val="24"/>
          <w:szCs w:val="24"/>
        </w:rPr>
        <w:t xml:space="preserve"> a aspectos sociais</w:t>
      </w:r>
      <w:r>
        <w:rPr>
          <w:rFonts w:ascii="Arial" w:hAnsi="Arial" w:cs="Arial"/>
          <w:sz w:val="24"/>
          <w:szCs w:val="24"/>
        </w:rPr>
        <w:t>, emocionais</w:t>
      </w:r>
      <w:r w:rsidRPr="003F585B">
        <w:rPr>
          <w:rFonts w:ascii="Arial" w:hAnsi="Arial" w:cs="Arial"/>
          <w:sz w:val="24"/>
          <w:szCs w:val="24"/>
        </w:rPr>
        <w:t xml:space="preserve"> e a</w:t>
      </w:r>
      <w:r>
        <w:rPr>
          <w:rFonts w:ascii="Arial" w:hAnsi="Arial" w:cs="Arial"/>
          <w:sz w:val="24"/>
          <w:szCs w:val="24"/>
        </w:rPr>
        <w:t xml:space="preserve">mbientais, que </w:t>
      </w:r>
      <w:r w:rsidR="00807CF8">
        <w:rPr>
          <w:rFonts w:ascii="Arial" w:hAnsi="Arial" w:cs="Arial"/>
          <w:sz w:val="24"/>
          <w:szCs w:val="24"/>
        </w:rPr>
        <w:t>atua</w:t>
      </w:r>
      <w:r>
        <w:rPr>
          <w:rFonts w:ascii="Arial" w:hAnsi="Arial" w:cs="Arial"/>
          <w:sz w:val="24"/>
          <w:szCs w:val="24"/>
        </w:rPr>
        <w:t>m</w:t>
      </w:r>
      <w:r w:rsidR="00807CF8">
        <w:rPr>
          <w:rFonts w:ascii="Arial" w:hAnsi="Arial" w:cs="Arial"/>
          <w:sz w:val="24"/>
          <w:szCs w:val="24"/>
        </w:rPr>
        <w:t xml:space="preserve"> como fator</w:t>
      </w:r>
      <w:r w:rsidR="00DB6CE2">
        <w:rPr>
          <w:rFonts w:ascii="Arial" w:hAnsi="Arial" w:cs="Arial"/>
          <w:sz w:val="24"/>
          <w:szCs w:val="24"/>
        </w:rPr>
        <w:t xml:space="preserve"> </w:t>
      </w:r>
      <w:r w:rsidRPr="003F585B">
        <w:rPr>
          <w:rFonts w:ascii="Arial" w:hAnsi="Arial" w:cs="Arial"/>
          <w:sz w:val="24"/>
          <w:szCs w:val="24"/>
        </w:rPr>
        <w:t>barreira</w:t>
      </w:r>
      <w:r w:rsidR="00DB6CE2">
        <w:rPr>
          <w:rFonts w:ascii="Arial" w:hAnsi="Arial" w:cs="Arial"/>
          <w:sz w:val="24"/>
          <w:szCs w:val="24"/>
        </w:rPr>
        <w:t xml:space="preserve"> ou facilitador para o desempenho</w:t>
      </w:r>
      <w:r w:rsidR="002106B0">
        <w:rPr>
          <w:rFonts w:ascii="Arial" w:hAnsi="Arial" w:cs="Arial"/>
          <w:sz w:val="24"/>
          <w:szCs w:val="24"/>
        </w:rPr>
        <w:t xml:space="preserve"> funcional</w:t>
      </w:r>
      <w:r w:rsidRPr="003F585B">
        <w:rPr>
          <w:rFonts w:ascii="Arial" w:hAnsi="Arial" w:cs="Arial"/>
          <w:sz w:val="24"/>
          <w:szCs w:val="24"/>
        </w:rPr>
        <w:t xml:space="preserve">, conforme modelo da Classificação Internacional de </w:t>
      </w:r>
      <w:r w:rsidRPr="003F585B">
        <w:rPr>
          <w:rFonts w:ascii="Arial" w:hAnsi="Arial" w:cs="Arial"/>
          <w:sz w:val="24"/>
          <w:szCs w:val="24"/>
        </w:rPr>
        <w:lastRenderedPageBreak/>
        <w:t>Funcionalidade, Incapacidade e Saúde (CIF), proposto pela Organização Mundial de Saúde (OMS)</w:t>
      </w:r>
      <w:r w:rsidR="00CD70C9">
        <w:rPr>
          <w:rFonts w:ascii="Arial" w:hAnsi="Arial" w:cs="Arial"/>
          <w:sz w:val="24"/>
          <w:szCs w:val="24"/>
        </w:rPr>
        <w:t>.</w:t>
      </w:r>
      <w:r w:rsidRPr="003F585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"10.1590/S1415-790X2005000200011", "ISBN" : "85-314-0784-2", "ISSN" : "1415-790X", "abstract" : "Classifica\u00e7\u00e3o Internacional de Funcionalidade, Incapacidade e Sa\u00fade", "author" : [ { "dropping-particle" : "", "family" : "[OMS] Organiza\u00e7\u00e3o Mundial da Sa\u00fade", "given" : "", "non-dropping-particle" : "", "parse-names" : false, "suffix" : "" } ], "container-title" : "Dire\u00e7\u00e3o-Geral da Sa\u00fade", "id" : "ITEM-1", "issued" : { "date-parts" : [ [ "2004" ] ] }, "page" : "238", "publisher-place" : "Lisboa", "title" : "CIF: Classifica\u00e7\u00e3o Internacional de Funcionalidade", "type" : "legislation" }, "uris" : [ "http://www.mendeley.com/documents/?uuid=8b5fa8d4-66af-4674-b7bb-bf0b7d493022" ] } ], "mendeley" : { "formattedCitation" : "&lt;sup&gt;67&lt;/sup&gt;", "plainTextFormattedCitation" : "67", "previouslyFormattedCitation" : "&lt;sup&gt;67&lt;/sup&gt;" }, "properties" : { "noteIndex" : 0 }, "schema" : "https://github.com/citation-style-language/schema/raw/master/csl-citation.json" }</w:instrText>
      </w:r>
      <w:r w:rsidRPr="003F585B">
        <w:rPr>
          <w:rFonts w:ascii="Arial" w:hAnsi="Arial" w:cs="Arial"/>
          <w:sz w:val="24"/>
          <w:szCs w:val="24"/>
        </w:rPr>
        <w:fldChar w:fldCharType="separate"/>
      </w:r>
      <w:r w:rsidR="00412B48" w:rsidRPr="00412B48">
        <w:rPr>
          <w:rFonts w:ascii="Arial" w:hAnsi="Arial" w:cs="Arial"/>
          <w:noProof/>
          <w:sz w:val="24"/>
          <w:szCs w:val="24"/>
          <w:vertAlign w:val="superscript"/>
        </w:rPr>
        <w:t>67</w:t>
      </w:r>
      <w:r w:rsidRPr="003F585B">
        <w:rPr>
          <w:rFonts w:ascii="Arial" w:hAnsi="Arial" w:cs="Arial"/>
          <w:sz w:val="24"/>
          <w:szCs w:val="24"/>
        </w:rPr>
        <w:fldChar w:fldCharType="end"/>
      </w:r>
    </w:p>
    <w:p w:rsidR="00AA6183" w:rsidRDefault="00AA6183" w:rsidP="00491682">
      <w:pPr>
        <w:spacing w:after="0" w:line="360" w:lineRule="auto"/>
        <w:jc w:val="both"/>
        <w:rPr>
          <w:rFonts w:ascii="Arial" w:hAnsi="Arial" w:cs="Arial"/>
          <w:sz w:val="24"/>
          <w:szCs w:val="24"/>
        </w:rPr>
      </w:pPr>
    </w:p>
    <w:p w:rsidR="00EB34BF" w:rsidRDefault="00BA182A" w:rsidP="00491682">
      <w:pPr>
        <w:spacing w:after="0" w:line="360" w:lineRule="auto"/>
        <w:jc w:val="both"/>
        <w:rPr>
          <w:rFonts w:ascii="Arial" w:hAnsi="Arial" w:cs="Arial"/>
          <w:sz w:val="24"/>
          <w:szCs w:val="24"/>
        </w:rPr>
      </w:pPr>
      <w:r>
        <w:rPr>
          <w:rFonts w:ascii="Arial" w:hAnsi="Arial" w:cs="Arial"/>
          <w:sz w:val="24"/>
          <w:szCs w:val="24"/>
        </w:rPr>
        <w:t>A</w:t>
      </w:r>
      <w:r w:rsidR="00EB34BF">
        <w:rPr>
          <w:rFonts w:ascii="Arial" w:hAnsi="Arial" w:cs="Arial"/>
          <w:sz w:val="24"/>
          <w:szCs w:val="24"/>
        </w:rPr>
        <w:t xml:space="preserve"> necessidade de avaliar a independência funcional de pessoas com alterações motora</w:t>
      </w:r>
      <w:r w:rsidR="00E71D4B">
        <w:rPr>
          <w:rFonts w:ascii="Arial" w:hAnsi="Arial" w:cs="Arial"/>
          <w:sz w:val="24"/>
          <w:szCs w:val="24"/>
        </w:rPr>
        <w:t>s</w:t>
      </w:r>
      <w:r w:rsidR="00EB34BF">
        <w:rPr>
          <w:rFonts w:ascii="Arial" w:hAnsi="Arial" w:cs="Arial"/>
          <w:sz w:val="24"/>
          <w:szCs w:val="24"/>
        </w:rPr>
        <w:t xml:space="preserve"> e cognitiva</w:t>
      </w:r>
      <w:r w:rsidR="00E71D4B">
        <w:rPr>
          <w:rFonts w:ascii="Arial" w:hAnsi="Arial" w:cs="Arial"/>
          <w:sz w:val="24"/>
          <w:szCs w:val="24"/>
        </w:rPr>
        <w:t>s</w:t>
      </w:r>
      <w:r w:rsidR="00E427A4">
        <w:rPr>
          <w:rFonts w:ascii="Arial" w:hAnsi="Arial" w:cs="Arial"/>
          <w:sz w:val="24"/>
          <w:szCs w:val="24"/>
        </w:rPr>
        <w:t>,</w:t>
      </w:r>
      <w:r w:rsidR="00EB34BF">
        <w:rPr>
          <w:rFonts w:ascii="Arial" w:hAnsi="Arial" w:cs="Arial"/>
          <w:sz w:val="24"/>
          <w:szCs w:val="24"/>
        </w:rPr>
        <w:t xml:space="preserve"> durante a realização do autocuidado e de atividades básicas diárias</w:t>
      </w:r>
      <w:r w:rsidR="00E427A4">
        <w:rPr>
          <w:rFonts w:ascii="Arial" w:hAnsi="Arial" w:cs="Arial"/>
          <w:sz w:val="24"/>
          <w:szCs w:val="24"/>
        </w:rPr>
        <w:t>,</w:t>
      </w:r>
      <w:r w:rsidR="00EB34BF">
        <w:rPr>
          <w:rFonts w:ascii="Arial" w:hAnsi="Arial" w:cs="Arial"/>
          <w:sz w:val="24"/>
          <w:szCs w:val="24"/>
        </w:rPr>
        <w:t xml:space="preserve"> contribuiu para a elaboração de </w:t>
      </w:r>
      <w:r w:rsidR="00E427A4">
        <w:rPr>
          <w:rFonts w:ascii="Arial" w:hAnsi="Arial" w:cs="Arial"/>
          <w:sz w:val="24"/>
          <w:szCs w:val="24"/>
        </w:rPr>
        <w:t>ferramenta</w:t>
      </w:r>
      <w:r w:rsidR="00EB34BF">
        <w:rPr>
          <w:rFonts w:ascii="Arial" w:hAnsi="Arial" w:cs="Arial"/>
          <w:sz w:val="24"/>
          <w:szCs w:val="24"/>
        </w:rPr>
        <w:t>s</w:t>
      </w:r>
      <w:r w:rsidR="00E427A4">
        <w:rPr>
          <w:rFonts w:ascii="Arial" w:hAnsi="Arial" w:cs="Arial"/>
          <w:sz w:val="24"/>
          <w:szCs w:val="24"/>
        </w:rPr>
        <w:t xml:space="preserve"> de avaliação; algumas, </w:t>
      </w:r>
      <w:r w:rsidR="00005459">
        <w:rPr>
          <w:rFonts w:ascii="Arial" w:hAnsi="Arial" w:cs="Arial"/>
          <w:sz w:val="24"/>
          <w:szCs w:val="24"/>
        </w:rPr>
        <w:t>d</w:t>
      </w:r>
      <w:r w:rsidR="00EB34BF">
        <w:rPr>
          <w:rFonts w:ascii="Arial" w:hAnsi="Arial" w:cs="Arial"/>
          <w:sz w:val="24"/>
          <w:szCs w:val="24"/>
        </w:rPr>
        <w:t>isponíveis na literatura nacional e internacional</w:t>
      </w:r>
      <w:r w:rsidR="00CD70C9">
        <w:rPr>
          <w:rFonts w:ascii="Arial" w:hAnsi="Arial" w:cs="Arial"/>
          <w:sz w:val="24"/>
          <w:szCs w:val="24"/>
        </w:rPr>
        <w:t>.</w:t>
      </w:r>
      <w:r w:rsidR="00EB34BF">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"10.11606/issn.2238-6149.v24i3p267-72", "author" : [ { "dropping-particle" : "", "family" : "Vasconcelos", "given" : "T.B.", "non-dropping-particle" : "", "parse-names" : false, "suffix" : "" }, { "dropping-particle" : "", "family" : "Cavalcante", "given" : "L.I.C.", "non-dropping-particle" : "", "parse-names" : false, "suffix" : "" } ], "container-title" : "Revista de Terapia Ocupacional da Universidade de S\u00e3o Paulo", "id" : "ITEM-1", "issue" : "3", "issued" : { "date-parts" : [ [ "2013" ] ] }, "page" : "267-272", "title" : "Avalia\u00e7\u00e3o das atividades de vida di\u00e1ria em crian\u00e7as: uma revis\u00e3o da literatura", "type" : "article-journal", "volume" : "24" }, "uris" : [ "http://www.mendeley.com/documents/?uuid=f761e96b-1dda-47e4-9c74-fedd8a907392" ] }, { "id" : "ITEM-2", "itemData" : { "DOI" : "10.1590/1809-2950/15260723032016", "ISBN" : "1526072303201", "ISSN" : "2316-9117", "author" : [ { "dropping-particle" : "", "family" : "Santos", "given" : "P.D.", "non-dropping-particle" : "", "parse-names" : false, "suffix" : "" }, { "dropping-particle" : "", "family" : "Silva", "given" : "F.C.", "non-dropping-particle" : "", "parse-names" : false, "suffix" : "" }, { "dropping-particle" : "", "family" : "Ferreira", "given" : "E.G.", "non-dropping-particle" : "", "parse-names" : false, "suffix" : "" }, { "dropping-particle" : "", "family" : "Iop", "given" : "R.R.", "non-dropping-particle" : "", "parse-names" : false, "suffix" : "" }, { "dropping-particle" : "", "family" : "Bento", "given" : "G.G.", "non-dropping-particle" : "", "parse-names" : false, "suffix" : "" }, { "dropping-particle" : "", "family" : "Silva", "given" : "R.", "non-dropping-particle" : "", "parse-names" : false, "suffix" : "" } ], "container-title" : "Fisioter. Pesqui.", "id" : "ITEM-2", "issue" : "3", "issued" : { "date-parts" : [ [ "2016" ] ] }, "page" : "318-328", "title" : "Instrumentos que avaliam a independ\u00eancia funcional em crian\u00e7as com paralisia cerebral: uma revis\u00e3o sistem\u00e1tica de estudos observacionais", "type" : "article-journal", "volume" : "23" }, "uris" : [ "http://www.mendeley.com/documents/?uuid=1596aaa9-153b-453f-8a46-a42212467690" ] } ], "mendeley" : { "formattedCitation" : "&lt;sup&gt;68,69&lt;/sup&gt;", "plainTextFormattedCitation" : "68,69", "previouslyFormattedCitation" : "&lt;sup&gt;68,69&lt;/sup&gt;" }, "properties" : { "noteIndex" : 0 }, "schema" : "https://github.com/citation-style-language/schema/raw/master/csl-citation.json" }</w:instrText>
      </w:r>
      <w:r w:rsidR="00EB34BF">
        <w:rPr>
          <w:rFonts w:ascii="Arial" w:hAnsi="Arial" w:cs="Arial"/>
          <w:sz w:val="24"/>
          <w:szCs w:val="24"/>
        </w:rPr>
        <w:fldChar w:fldCharType="separate"/>
      </w:r>
      <w:r w:rsidR="00412B48" w:rsidRPr="00412B48">
        <w:rPr>
          <w:rFonts w:ascii="Arial" w:hAnsi="Arial" w:cs="Arial"/>
          <w:noProof/>
          <w:sz w:val="24"/>
          <w:szCs w:val="24"/>
          <w:vertAlign w:val="superscript"/>
        </w:rPr>
        <w:t>68,69</w:t>
      </w:r>
      <w:r w:rsidR="00EB34BF">
        <w:rPr>
          <w:rFonts w:ascii="Arial" w:hAnsi="Arial" w:cs="Arial"/>
          <w:sz w:val="24"/>
          <w:szCs w:val="24"/>
        </w:rPr>
        <w:fldChar w:fldCharType="end"/>
      </w:r>
      <w:r w:rsidR="00EB34BF">
        <w:rPr>
          <w:rFonts w:ascii="Arial" w:hAnsi="Arial" w:cs="Arial"/>
          <w:sz w:val="24"/>
          <w:szCs w:val="24"/>
        </w:rPr>
        <w:t xml:space="preserve"> Para o estudo em questão, a busca por instrumentos validados para o português e adequado</w:t>
      </w:r>
      <w:r w:rsidR="00925DE7">
        <w:rPr>
          <w:rFonts w:ascii="Arial" w:hAnsi="Arial" w:cs="Arial"/>
          <w:sz w:val="24"/>
          <w:szCs w:val="24"/>
        </w:rPr>
        <w:t>s</w:t>
      </w:r>
      <w:r w:rsidR="00EB34BF">
        <w:rPr>
          <w:rFonts w:ascii="Arial" w:hAnsi="Arial" w:cs="Arial"/>
          <w:sz w:val="24"/>
          <w:szCs w:val="24"/>
        </w:rPr>
        <w:t xml:space="preserve"> às características socioculturais brasileiras, p</w:t>
      </w:r>
      <w:r w:rsidR="00925DE7">
        <w:rPr>
          <w:rFonts w:ascii="Arial" w:hAnsi="Arial" w:cs="Arial"/>
          <w:sz w:val="24"/>
          <w:szCs w:val="24"/>
        </w:rPr>
        <w:t>ermitiu a identificação de escalas</w:t>
      </w:r>
      <w:r w:rsidR="00EB34BF">
        <w:rPr>
          <w:rFonts w:ascii="Arial" w:hAnsi="Arial" w:cs="Arial"/>
          <w:sz w:val="24"/>
          <w:szCs w:val="24"/>
        </w:rPr>
        <w:t>, como o Inventário de Avaliação Pediátrica de Incapacidade e a Escala de Medida de Independência Funcional (MIF).</w:t>
      </w:r>
    </w:p>
    <w:p w:rsidR="00A62F69" w:rsidRDefault="00A62F69" w:rsidP="00491682">
      <w:pPr>
        <w:spacing w:after="0" w:line="360" w:lineRule="auto"/>
        <w:jc w:val="both"/>
        <w:rPr>
          <w:rFonts w:ascii="Arial" w:hAnsi="Arial" w:cs="Arial"/>
          <w:sz w:val="24"/>
          <w:szCs w:val="24"/>
        </w:rPr>
      </w:pPr>
    </w:p>
    <w:p w:rsidR="00EB34BF" w:rsidRDefault="00EB34BF" w:rsidP="00491682">
      <w:pPr>
        <w:spacing w:after="0" w:line="360" w:lineRule="auto"/>
        <w:jc w:val="both"/>
        <w:rPr>
          <w:rFonts w:ascii="Arial" w:hAnsi="Arial" w:cs="Arial"/>
          <w:sz w:val="24"/>
          <w:szCs w:val="24"/>
        </w:rPr>
      </w:pPr>
      <w:r>
        <w:rPr>
          <w:rFonts w:ascii="Arial" w:hAnsi="Arial" w:cs="Arial"/>
          <w:sz w:val="24"/>
          <w:szCs w:val="24"/>
        </w:rPr>
        <w:t xml:space="preserve">O Inventário de Avaliação Pediátrica de Incapacidade corresponde a um instrumento traduzido (do original </w:t>
      </w:r>
      <w:r w:rsidRPr="00C21B83">
        <w:rPr>
          <w:rFonts w:ascii="Arial" w:hAnsi="Arial" w:cs="Arial"/>
          <w:i/>
          <w:sz w:val="24"/>
          <w:szCs w:val="24"/>
        </w:rPr>
        <w:t xml:space="preserve">Pediatric Evaluation of </w:t>
      </w:r>
      <w:proofErr w:type="spellStart"/>
      <w:r w:rsidRPr="00C21B83">
        <w:rPr>
          <w:rFonts w:ascii="Arial" w:hAnsi="Arial" w:cs="Arial"/>
          <w:i/>
          <w:sz w:val="24"/>
          <w:szCs w:val="24"/>
        </w:rPr>
        <w:t>Disability</w:t>
      </w:r>
      <w:proofErr w:type="spellEnd"/>
      <w:r w:rsidRPr="00C21B83">
        <w:rPr>
          <w:rFonts w:ascii="Arial" w:hAnsi="Arial" w:cs="Arial"/>
          <w:i/>
          <w:sz w:val="24"/>
          <w:szCs w:val="24"/>
        </w:rPr>
        <w:t xml:space="preserve"> Inventory</w:t>
      </w:r>
      <w:r>
        <w:rPr>
          <w:rFonts w:ascii="Arial" w:hAnsi="Arial" w:cs="Arial"/>
          <w:sz w:val="24"/>
          <w:szCs w:val="24"/>
        </w:rPr>
        <w:t xml:space="preserve"> – PEDI), adaptado e validado para o português do Brasil, aplicado sob a forma de entrevista estruturada aos cuidadores de crianças entre 6 me</w:t>
      </w:r>
      <w:r w:rsidR="001568D6">
        <w:rPr>
          <w:rFonts w:ascii="Arial" w:hAnsi="Arial" w:cs="Arial"/>
          <w:sz w:val="24"/>
          <w:szCs w:val="24"/>
        </w:rPr>
        <w:t xml:space="preserve">ses e sete anos e meio de idade. Esse instrumento </w:t>
      </w:r>
      <w:r w:rsidR="00FE532F">
        <w:rPr>
          <w:rFonts w:ascii="Arial" w:hAnsi="Arial" w:cs="Arial"/>
          <w:sz w:val="24"/>
          <w:szCs w:val="24"/>
        </w:rPr>
        <w:t>permite</w:t>
      </w:r>
      <w:r w:rsidR="001568D6">
        <w:rPr>
          <w:rFonts w:ascii="Arial" w:hAnsi="Arial" w:cs="Arial"/>
          <w:sz w:val="24"/>
          <w:szCs w:val="24"/>
        </w:rPr>
        <w:t xml:space="preserve"> </w:t>
      </w:r>
      <w:r>
        <w:rPr>
          <w:rFonts w:ascii="Arial" w:hAnsi="Arial" w:cs="Arial"/>
          <w:sz w:val="24"/>
          <w:szCs w:val="24"/>
        </w:rPr>
        <w:t>avaliar o desenvolvimento, o processo de aquisição de habilidades e o desempenho funcional d</w:t>
      </w:r>
      <w:r w:rsidR="001568D6">
        <w:rPr>
          <w:rFonts w:ascii="Arial" w:hAnsi="Arial" w:cs="Arial"/>
          <w:sz w:val="24"/>
          <w:szCs w:val="24"/>
        </w:rPr>
        <w:t>essas crianças</w:t>
      </w:r>
      <w:r>
        <w:rPr>
          <w:rFonts w:ascii="Arial" w:hAnsi="Arial" w:cs="Arial"/>
          <w:sz w:val="24"/>
          <w:szCs w:val="24"/>
        </w:rPr>
        <w:t xml:space="preserve"> durante a realização de atividades de vida diária. </w:t>
      </w:r>
      <w:r w:rsidR="00FE532F">
        <w:rPr>
          <w:rFonts w:ascii="Arial" w:hAnsi="Arial" w:cs="Arial"/>
          <w:sz w:val="24"/>
          <w:szCs w:val="24"/>
        </w:rPr>
        <w:t xml:space="preserve">Trata-se de uma escala </w:t>
      </w:r>
      <w:r>
        <w:rPr>
          <w:rFonts w:ascii="Arial" w:hAnsi="Arial" w:cs="Arial"/>
          <w:sz w:val="24"/>
          <w:szCs w:val="24"/>
        </w:rPr>
        <w:t>composta por 197 itens, agrupados em três domínios: mobilidade (59 itens), autocuidado (73 itens) e função social (65 itens)</w:t>
      </w:r>
      <w:r w:rsidR="00EA6A85">
        <w:rPr>
          <w:rFonts w:ascii="Arial" w:hAnsi="Arial" w:cs="Arial"/>
          <w:sz w:val="24"/>
          <w:szCs w:val="24"/>
        </w:rPr>
        <w:t>.</w:t>
      </w:r>
      <w:r>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"10.1590/1809-2950/15260723032016", "ISBN" : "1526072303201", "ISSN" : "2316-9117", "author" : [ { "dropping-particle" : "", "family" : "Santos", "given" : "P.D.", "non-dropping-particle" : "", "parse-names" : false, "suffix" : "" }, { "dropping-particle" : "", "family" : "Silva", "given" : "F.C.", "non-dropping-particle" : "", "parse-names" : false, "suffix" : "" }, { "dropping-particle" : "", "family" : "Ferreira", "given" : "E.G.", "non-dropping-particle" : "", "parse-names" : false, "suffix" : "" }, { "dropping-particle" : "", "family" : "Iop", "given" : "R.R.", "non-dropping-particle" : "", "parse-names" : false, "suffix" : "" }, { "dropping-particle" : "", "family" : "Bento", "given" : "G.G.", "non-dropping-particle" : "", "parse-names" : false, "suffix" : "" }, { "dropping-particle" : "", "family" : "Silva", "given" : "R.", "non-dropping-particle" : "", "parse-names" : false, "suffix" : "" } ], "container-title" : "Fisioter. Pesqui.", "id" : "ITEM-1", "issue" : "3", "issued" : { "date-parts" : [ [ "2016" ] ] }, "page" : "318-328", "title" : "Instrumentos que avaliam a independ\u00eancia funcional em crian\u00e7as com paralisia cerebral: uma revis\u00e3o sistem\u00e1tica de estudos observacionais", "type" : "article-journal", "volume" : "23" }, "uris" : [ "http://www.mendeley.com/documents/?uuid=1596aaa9-153b-453f-8a46-a42212467690" ] }, { "id" : "ITEM-2", "itemData" : { "DOI" : "10.1590/s0103-51502012000100009", "ISBN" : "0103-5150", "ISSN" : "0103-5150", "abstract" : "INTRODUCTION: Cerebral palsy (CP) can limit the performance of functional activities and quality of life of these individuals. OBJECTIVES: Evaluate the relationship between functional independence and quality of life of children with CP. MATERIALS AND METHODS: The sample was composed of 30 children with diagnosis of CP. The Child Health Questionnaire (CHQ-PF50) was used to measure the quality of life and the Part I (functional skills) of the Pediatric Evaluation of Disability Inventory (Pedi) was used to evaluate the functionality. The test of correlation Spearman was used to assess the relationship between these variables. RESULTS:Significant correlations were found between the domains of physical function and limitation of daily activities due to emotional and behavioral aspects of all areas of the Pedi (p &lt; 0,05). The domain of limitation of daily activities due to physical and perceived health were associated with areas of self care and social function (p &lt; 0,05). The global function only showed a significant relationship with self-care and mental health presented an inverse relationship with the mobility (p &lt; 0,05). CONCLUSIONS:No domain of CHQ-PF50 presented a strong correlation with areas of Pedi, which shows that these questionnaires assess different constructs. These results may help in planning strategies for assessment and intervention for children with CP. atividades funcionais e a qualidade de vida desses indiv\u00c3\u00adduos. OBJETIVOS:Avaliar a rela\u00c3\u00a7\u00c3\u00a3o entre independ\u00c3\u00aancia funcional e qualidade de vida de crian\u00c3\u00a7as com paralisia cerebral. MATERIAIS E M\u00c3\u2030TODOS: A amostra foi composta por 30 crian\u00c3\u00a7as com diagn\u00c3\u00b3stico de PC. Para mensurar a qualidade de vida foi utilizado o Question\u00c3\u00a1rio de Sa\u00c3\u00bade da Crian\u00c3\u00a7a (CHQ-PF50) e, para avaliar a funcionalidade, a parte I (habilidades funcionais) do Invent\u00c3\u00a1rio de Avalia\u00c3\u00a7\u00c3\u00a3o Pedi\u00c3\u00a1trica de Incapacidade (Pedi). O teste de correla\u00c3\u00a7\u00c3\u00a3o de Spearman foi utilizado para avaliar a rela\u00c3\u00a7\u00c3\u00a3o entre essas vari\u00c3\u00a1veis. RESULTADOS: Foi encontrada correla\u00c3\u00a7\u00c3\u00a3o significativa entre os dom\u00c3\u00adnios de fun\u00c3\u00a7\u00c3\u00a3o f\u00c3\u00adsica e limita\u00c3\u00a7\u00c3\u00a3o das atividades di\u00c3\u00a1rias gra\u00c3\u00a7as aos aspectos emocionais e comportamentais com todas as \u00c3\u00a1reas do Pedi (p &lt; 0,05). O dom\u00c3\u00adnio de limita\u00c3\u00a7\u00c3\u00a3o das atividades di\u00c3\u00a1rias gra\u00c3\u00a7as aos aspectos f\u00c3\u00adsicos e a percep\u00c3\u00a7\u00c3\u00a3o de sa\u00c3\u00bade apresentaram rela\u00c3\u00a7\u00c3\u00a3o com as \u00c3\u00a1reas de autocuidado e fun\u00c3\u00a7\u00c3\u00a3o social (p &lt; 0,05). A fun\u00c3\u00a7\u00c3\u00a3o global s\u00c3\u00b3 apresentou rela\u00c3\u00a7\u00c3\u00a3o significativa com o autocuidado, e a sa\u00c3\u00bade mental apre\u2026", "author" : [ { "dropping-particle" : "", "family" : "Camargos, ACR. Lacerda, TTB. Barros, TV, Silva, GC. Parreiras, JT. Vidal", "given" : "THJ", "non-dropping-particle" : "", "parse-names" : false, "suffix" : "" } ], "container-title" : "Fisioter Mov.", "id" : "ITEM-2", "issue" : "1", "issued" : { "date-parts" : [ [ "2012" ] ] }, "page" : "83-92", "title" : "Rela\u00e7\u00e3o entre independ\u00eancia funcional e qualidade de vida na paralisia cerebral", "type" : "article-journal", "volume" : "25" }, "uris" : [ "http://www.mendeley.com/documents/?uuid=221ff389-07bb-4b92-8de7-658282d792a6" ] }, { "id" : "ITEM-3", "itemData" : { "ISSN" : "0104-7795", "author" : [ { "dropping-particle" : "", "family" : "Freitas", "given" : "T.B.", "non-dropping-particle" : "", "parse-names" : false, "suffix" : "" }, { "dropping-particle" : "", "family" : "S\u00e1", "given" : "C.S.C.", "non-dropping-particle" : "", "parse-names" : false, "suffix" : "" }, { "dropping-particle" : "", "family" : "Martins", "given" : "E.F.", "non-dropping-particle" : "", "parse-names" : false, "suffix" : "" } ], "container-title" : "Acta Fisiatrica", "id" : "ITEM-3", "issue" : "1", "issued" : { "date-parts" : [ [ "2010" ] ] }, "page" : "8-12", "title" : "Correla\u00e7\u00e3o entre instrumentos para se avaliar independ\u00eancia funcional e n\u00edvel de atividade f\u00edsica em crian\u00e7as", "type" : "article-journal", "volume" : "17" }, "uris" : [ "http://www.mendeley.com/documents/?uuid=18af944f-462e-4fec-bb92-ad76639d9bb5" ] }, { "id" : "ITEM-4", "itemData" : { "author" : [ { "dropping-particle" : "", "family" : "Vasconcelos", "given" : "Ros\u00e2ngela L. M.", "non-dropping-particle" : "", "parse-names" : false, "suffix" : "" }, { "dropping-particle" : "", "family" : "Moura", "given" : "Thayse L.", "non-dropping-particle" : "", "parse-names" : false, "suffix" : "" }, { "dropping-particle" : "", "family" : "Campos", "given" : "Tania F.", "non-dropping-particle" : "", "parse-names" : false, "suffix" : "" }, { "dropping-particle" : "", "family" : "Lindquist", "given" : "Ana R. R.", "non-dropping-particle" : "", "parse-names" : false, "suffix" : "" }, { "dropping-particle" : "", "family" : "Guerra", "given" : "Ricardo O.", "non-dropping-particle" : "", "parse-names" : false, "suffix" : "" } ], "container-title" : "Revista Brasileira de Fisioterapia", "id" : "ITEM-4", "issue" : "5", "issued" : { "date-parts" : [ [ "2009" ] ] }, "page" : "390-397", "title" : "Avalia\u00e7\u00e3o do desempenho funcional de crian\u00e7as com paralisia cerebral de acordo com n\u00edveis de comprometimento motor", "type" : "article-journal", "volume" : "13" }, "uris" : [ "http://www.mendeley.com/documents/?uuid=c0747662-e21b-407e-8097-2984481951a2" ] } ], "mendeley" : { "formattedCitation" : "&lt;sup&gt;69\u201372&lt;/sup&gt;", "plainTextFormattedCitation" : "69\u201372", "previouslyFormattedCitation" : "&lt;sup&gt;69\u201372&lt;/sup&gt;" }, "properties" : { "noteIndex" : 0 }, "schema" : "https://github.com/citation-style-language/schema/raw/master/csl-citation.json" }</w:instrText>
      </w:r>
      <w:r>
        <w:rPr>
          <w:rFonts w:ascii="Arial" w:hAnsi="Arial" w:cs="Arial"/>
          <w:sz w:val="24"/>
          <w:szCs w:val="24"/>
        </w:rPr>
        <w:fldChar w:fldCharType="separate"/>
      </w:r>
      <w:r w:rsidR="00412B48" w:rsidRPr="00412B48">
        <w:rPr>
          <w:rFonts w:ascii="Arial" w:hAnsi="Arial" w:cs="Arial"/>
          <w:noProof/>
          <w:sz w:val="24"/>
          <w:szCs w:val="24"/>
          <w:vertAlign w:val="superscript"/>
        </w:rPr>
        <w:t>69–72</w:t>
      </w:r>
      <w:r>
        <w:rPr>
          <w:rFonts w:ascii="Arial" w:hAnsi="Arial" w:cs="Arial"/>
          <w:sz w:val="24"/>
          <w:szCs w:val="24"/>
        </w:rPr>
        <w:fldChar w:fldCharType="end"/>
      </w:r>
    </w:p>
    <w:p w:rsidR="00A62F69" w:rsidRDefault="00A62F69" w:rsidP="00491682">
      <w:pPr>
        <w:spacing w:after="0" w:line="360" w:lineRule="auto"/>
        <w:jc w:val="both"/>
        <w:rPr>
          <w:rFonts w:ascii="Arial" w:hAnsi="Arial" w:cs="Arial"/>
          <w:sz w:val="24"/>
          <w:szCs w:val="24"/>
        </w:rPr>
      </w:pPr>
    </w:p>
    <w:p w:rsidR="00EB34BF" w:rsidRDefault="00EB34BF" w:rsidP="00491682">
      <w:pPr>
        <w:spacing w:after="0" w:line="360" w:lineRule="auto"/>
        <w:jc w:val="both"/>
        <w:rPr>
          <w:rFonts w:ascii="Arial" w:hAnsi="Arial" w:cs="Arial"/>
          <w:sz w:val="24"/>
          <w:szCs w:val="24"/>
        </w:rPr>
      </w:pPr>
      <w:r>
        <w:rPr>
          <w:rFonts w:ascii="Arial" w:hAnsi="Arial" w:cs="Arial"/>
          <w:sz w:val="24"/>
          <w:szCs w:val="24"/>
        </w:rPr>
        <w:t xml:space="preserve">Para cada um dos domínios </w:t>
      </w:r>
      <w:r w:rsidR="00FE532F">
        <w:rPr>
          <w:rFonts w:ascii="Arial" w:hAnsi="Arial" w:cs="Arial"/>
          <w:sz w:val="24"/>
          <w:szCs w:val="24"/>
        </w:rPr>
        <w:t>do instrumento PEDI</w:t>
      </w:r>
      <w:r>
        <w:rPr>
          <w:rFonts w:ascii="Arial" w:hAnsi="Arial" w:cs="Arial"/>
          <w:sz w:val="24"/>
          <w:szCs w:val="24"/>
        </w:rPr>
        <w:t xml:space="preserve"> são calculados três escores independentes: o primeiro refere-se ao desempenho funcional em atividades diárias; o segundo, ao nível de assistência oferecid</w:t>
      </w:r>
      <w:r w:rsidR="00206846">
        <w:rPr>
          <w:rFonts w:ascii="Arial" w:hAnsi="Arial" w:cs="Arial"/>
          <w:sz w:val="24"/>
          <w:szCs w:val="24"/>
        </w:rPr>
        <w:t>a</w:t>
      </w:r>
      <w:r>
        <w:rPr>
          <w:rFonts w:ascii="Arial" w:hAnsi="Arial" w:cs="Arial"/>
          <w:sz w:val="24"/>
          <w:szCs w:val="24"/>
        </w:rPr>
        <w:t xml:space="preserve"> à criança pelo cuidador durante a execução das atividades; e o terceiro, corresponde às modificações / adaptações do ambiente físico doméstico utilizadas na rotina diária da criança. Pontuações mais altas </w:t>
      </w:r>
      <w:r w:rsidR="00A3634B">
        <w:rPr>
          <w:rFonts w:ascii="Arial" w:hAnsi="Arial" w:cs="Arial"/>
          <w:sz w:val="24"/>
          <w:szCs w:val="24"/>
        </w:rPr>
        <w:t>referentes a</w:t>
      </w:r>
      <w:r>
        <w:rPr>
          <w:rFonts w:ascii="Arial" w:hAnsi="Arial" w:cs="Arial"/>
          <w:sz w:val="24"/>
          <w:szCs w:val="24"/>
        </w:rPr>
        <w:t>o</w:t>
      </w:r>
      <w:r w:rsidR="006D31FA">
        <w:rPr>
          <w:rFonts w:ascii="Arial" w:hAnsi="Arial" w:cs="Arial"/>
          <w:sz w:val="24"/>
          <w:szCs w:val="24"/>
        </w:rPr>
        <w:t xml:space="preserve">s </w:t>
      </w:r>
      <w:r>
        <w:rPr>
          <w:rFonts w:ascii="Arial" w:hAnsi="Arial" w:cs="Arial"/>
          <w:sz w:val="24"/>
          <w:szCs w:val="24"/>
        </w:rPr>
        <w:t xml:space="preserve">desempenho funcional e </w:t>
      </w:r>
      <w:r w:rsidR="00A3634B">
        <w:rPr>
          <w:rFonts w:ascii="Arial" w:hAnsi="Arial" w:cs="Arial"/>
          <w:sz w:val="24"/>
          <w:szCs w:val="24"/>
        </w:rPr>
        <w:t>a</w:t>
      </w:r>
      <w:r>
        <w:rPr>
          <w:rFonts w:ascii="Arial" w:hAnsi="Arial" w:cs="Arial"/>
          <w:sz w:val="24"/>
          <w:szCs w:val="24"/>
        </w:rPr>
        <w:t>o nível de assistência do cuidador</w:t>
      </w:r>
      <w:r w:rsidR="007A241A">
        <w:rPr>
          <w:rFonts w:ascii="Arial" w:hAnsi="Arial" w:cs="Arial"/>
          <w:sz w:val="24"/>
          <w:szCs w:val="24"/>
        </w:rPr>
        <w:t>,</w:t>
      </w:r>
      <w:r>
        <w:rPr>
          <w:rFonts w:ascii="Arial" w:hAnsi="Arial" w:cs="Arial"/>
          <w:sz w:val="24"/>
          <w:szCs w:val="24"/>
        </w:rPr>
        <w:t xml:space="preserve"> correspondem a melhor desempenho e maio</w:t>
      </w:r>
      <w:r w:rsidR="00A3634B">
        <w:rPr>
          <w:rFonts w:ascii="Arial" w:hAnsi="Arial" w:cs="Arial"/>
          <w:sz w:val="24"/>
          <w:szCs w:val="24"/>
        </w:rPr>
        <w:t>r independência. E</w:t>
      </w:r>
      <w:r>
        <w:rPr>
          <w:rFonts w:ascii="Arial" w:hAnsi="Arial" w:cs="Arial"/>
          <w:sz w:val="24"/>
          <w:szCs w:val="24"/>
        </w:rPr>
        <w:t>scores mais altos para</w:t>
      </w:r>
      <w:r w:rsidR="007A241A">
        <w:rPr>
          <w:rFonts w:ascii="Arial" w:hAnsi="Arial" w:cs="Arial"/>
          <w:sz w:val="24"/>
          <w:szCs w:val="24"/>
        </w:rPr>
        <w:t xml:space="preserve"> as</w:t>
      </w:r>
      <w:r>
        <w:rPr>
          <w:rFonts w:ascii="Arial" w:hAnsi="Arial" w:cs="Arial"/>
          <w:sz w:val="24"/>
          <w:szCs w:val="24"/>
        </w:rPr>
        <w:t xml:space="preserve"> modificações indicam maior necessidade de adaptação para realizar </w:t>
      </w:r>
      <w:r w:rsidR="00A3634B">
        <w:rPr>
          <w:rFonts w:ascii="Arial" w:hAnsi="Arial" w:cs="Arial"/>
          <w:sz w:val="24"/>
          <w:szCs w:val="24"/>
        </w:rPr>
        <w:t>AVD</w:t>
      </w:r>
      <w:r w:rsidR="00EA6A85">
        <w:rPr>
          <w:rFonts w:ascii="Arial" w:hAnsi="Arial" w:cs="Arial"/>
          <w:sz w:val="24"/>
          <w:szCs w:val="24"/>
        </w:rPr>
        <w:t>.</w:t>
      </w:r>
      <w:r>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"10.1590/s0103-51502012000100009", "ISBN" : "0103-5150", "ISSN" : "0103-5150", "abstract" : "INTRODUCTION: Cerebral palsy (CP) can limit the performance of functional activities and quality of life of these individuals. OBJECTIVES: Evaluate the relationship between functional independence and quality of life of children with CP. MATERIALS AND METHODS: The sample was composed of 30 children with diagnosis of CP. The Child Health Questionnaire (CHQ-PF50) was used to measure the quality of life and the Part I (functional skills) of the Pediatric Evaluation of Disability Inventory (Pedi) was used to evaluate the functionality. The test of correlation Spearman was used to assess the relationship between these variables. RESULTS:Significant correlations were found between the domains of physical function and limitation of daily activities due to emotional and behavioral aspects of all areas of the Pedi (p &lt; 0,05). The domain of limitation of daily activities due to physical and perceived health were associated with areas of self care and social function (p &lt; 0,05). The global function only showed a significant relationship with self-care and mental health presented an inverse relationship with the mobility (p &lt; 0,05). CONCLUSIONS:No domain of CHQ-PF50 presented a strong correlation with areas of Pedi, which shows that these questionnaires assess different constructs. These results may help in planning strategies for assessment and intervention for children with CP. atividades funcionais e a qualidade de vida desses indiv\u00c3\u00adduos. OBJETIVOS:Avaliar a rela\u00c3\u00a7\u00c3\u00a3o entre independ\u00c3\u00aancia funcional e qualidade de vida de crian\u00c3\u00a7as com paralisia cerebral. MATERIAIS E M\u00c3\u2030TODOS: A amostra foi composta por 30 crian\u00c3\u00a7as com diagn\u00c3\u00b3stico de PC. Para mensurar a qualidade de vida foi utilizado o Question\u00c3\u00a1rio de Sa\u00c3\u00bade da Crian\u00c3\u00a7a (CHQ-PF50) e, para avaliar a funcionalidade, a parte I (habilidades funcionais) do Invent\u00c3\u00a1rio de Avalia\u00c3\u00a7\u00c3\u00a3o Pedi\u00c3\u00a1trica de Incapacidade (Pedi). O teste de correla\u00c3\u00a7\u00c3\u00a3o de Spearman foi utilizado para avaliar a rela\u00c3\u00a7\u00c3\u00a3o entre essas vari\u00c3\u00a1veis. RESULTADOS: Foi encontrada correla\u00c3\u00a7\u00c3\u00a3o significativa entre os dom\u00c3\u00adnios de fun\u00c3\u00a7\u00c3\u00a3o f\u00c3\u00adsica e limita\u00c3\u00a7\u00c3\u00a3o das atividades di\u00c3\u00a1rias gra\u00c3\u00a7as aos aspectos emocionais e comportamentais com todas as \u00c3\u00a1reas do Pedi (p &lt; 0,05). O dom\u00c3\u00adnio de limita\u00c3\u00a7\u00c3\u00a3o das atividades di\u00c3\u00a1rias gra\u00c3\u00a7as aos aspectos f\u00c3\u00adsicos e a percep\u00c3\u00a7\u00c3\u00a3o de sa\u00c3\u00bade apresentaram rela\u00c3\u00a7\u00c3\u00a3o com as \u00c3\u00a1reas de autocuidado e fun\u00c3\u00a7\u00c3\u00a3o social (p &lt; 0,05). A fun\u00c3\u00a7\u00c3\u00a3o global s\u00c3\u00b3 apresentou rela\u00c3\u00a7\u00c3\u00a3o significativa com o autocuidado, e a sa\u00c3\u00bade mental apre\u2026", "author" : [ { "dropping-particle" : "", "family" : "Camargos, ACR. Lacerda, TTB. Barros, TV, Silva, GC. Parreiras, JT. Vidal", "given" : "THJ", "non-dropping-particle" : "", "parse-names" : false, "suffix" : "" } ], "container-title" : "Fisioter Mov.", "id" : "ITEM-1", "issue" : "1", "issued" : { "date-parts" : [ [ "2012" ] ] }, "page" : "83-92", "title" : "Rela\u00e7\u00e3o entre independ\u00eancia funcional e qualidade de vida na paralisia cerebral", "type" : "article-journal", "volume" : "25" }, "uris" : [ "http://www.mendeley.com/documents/?uuid=221ff389-07bb-4b92-8de7-658282d792a6" ] }, { "id" : "ITEM-2", "itemData" : { "ISSN" : "0104-7795", "author" : [ { "dropping-particle" : "", "family" : "Freitas", "given" : "T.B.", "non-dropping-particle" : "", "parse-names" : false, "suffix" : "" }, { "dropping-particle" : "", "family" : "S\u00e1", "given" : "C.S.C.", "non-dropping-particle" : "", "parse-names" : false, "suffix" : "" }, { "dropping-particle" : "", "family" : "Martins", "given" : "E.F.", "non-dropping-particle" : "", "parse-names" : false, "suffix" : "" } ], "container-title" : "Acta Fisiatrica", "id" : "ITEM-2", "issue" : "1", "issued" : { "date-parts" : [ [ "2010" ] ] }, "page" : "8-12", "title" : "Correla\u00e7\u00e3o entre instrumentos para se avaliar independ\u00eancia funcional e n\u00edvel de atividade f\u00edsica em crian\u00e7as", "type" : "article-journal", "volume" : "17" }, "uris" : [ "http://www.mendeley.com/documents/?uuid=18af944f-462e-4fec-bb92-ad76639d9bb5" ] }, { "id" : "ITEM-3", "itemData" : { "author" : [ { "dropping-particle" : "", "family" : "Vasconcelos", "given" : "Ros\u00e2ngela L. M.", "non-dropping-particle" : "", "parse-names" : false, "suffix" : "" }, { "dropping-particle" : "", "family" : "Moura", "given" : "Thayse L.", "non-dropping-particle" : "", "parse-names" : false, "suffix" : "" }, { "dropping-particle" : "", "family" : "Campos", "given" : "Tania F.", "non-dropping-particle" : "", "parse-names" : false, "suffix" : "" }, { "dropping-particle" : "", "family" : "Lindquist", "given" : "Ana R. R.", "non-dropping-particle" : "", "parse-names" : false, "suffix" : "" }, { "dropping-particle" : "", "family" : "Guerra", "given" : "Ricardo O.", "non-dropping-particle" : "", "parse-names" : false, "suffix" : "" } ], "container-title" : "Revista Brasileira de Fisioterapia", "id" : "ITEM-3", "issue" : "5", "issued" : { "date-parts" : [ [ "2009" ] ] }, "page" : "390-397", "title" : "Avalia\u00e7\u00e3o do desempenho funcional de crian\u00e7as com paralisia cerebral de acordo com n\u00edveis de comprometimento motor", "type" : "article-journal", "volume" : "13" }, "uris" : [ "http://www.mendeley.com/documents/?uuid=c0747662-e21b-407e-8097-2984481951a2" ] } ], "mendeley" : { "formattedCitation" : "&lt;sup&gt;70\u201372&lt;/sup&gt;", "plainTextFormattedCitation" : "70\u201372", "previouslyFormattedCitation" : "&lt;sup&gt;70\u201372&lt;/sup&gt;" }, "properties" : { "noteIndex" : 0 }, "schema" : "https://github.com/citation-style-language/schema/raw/master/csl-citation.json" }</w:instrText>
      </w:r>
      <w:r>
        <w:rPr>
          <w:rFonts w:ascii="Arial" w:hAnsi="Arial" w:cs="Arial"/>
          <w:sz w:val="24"/>
          <w:szCs w:val="24"/>
        </w:rPr>
        <w:fldChar w:fldCharType="separate"/>
      </w:r>
      <w:r w:rsidR="00412B48" w:rsidRPr="00412B48">
        <w:rPr>
          <w:rFonts w:ascii="Arial" w:hAnsi="Arial" w:cs="Arial"/>
          <w:noProof/>
          <w:sz w:val="24"/>
          <w:szCs w:val="24"/>
          <w:vertAlign w:val="superscript"/>
        </w:rPr>
        <w:t>70–72</w:t>
      </w:r>
      <w:r>
        <w:rPr>
          <w:rFonts w:ascii="Arial" w:hAnsi="Arial" w:cs="Arial"/>
          <w:sz w:val="24"/>
          <w:szCs w:val="24"/>
        </w:rPr>
        <w:fldChar w:fldCharType="end"/>
      </w:r>
      <w:r>
        <w:rPr>
          <w:rFonts w:ascii="Arial" w:hAnsi="Arial" w:cs="Arial"/>
          <w:sz w:val="24"/>
          <w:szCs w:val="24"/>
        </w:rPr>
        <w:t xml:space="preserve"> </w:t>
      </w:r>
      <w:r w:rsidRPr="00D62579">
        <w:rPr>
          <w:rFonts w:ascii="Arial" w:hAnsi="Arial" w:cs="Arial"/>
          <w:sz w:val="24"/>
          <w:szCs w:val="24"/>
        </w:rPr>
        <w:t xml:space="preserve">A aplicação </w:t>
      </w:r>
      <w:r w:rsidR="007A241A">
        <w:rPr>
          <w:rFonts w:ascii="Arial" w:hAnsi="Arial" w:cs="Arial"/>
          <w:sz w:val="24"/>
          <w:szCs w:val="24"/>
        </w:rPr>
        <w:t>desse</w:t>
      </w:r>
      <w:r w:rsidRPr="00D62579">
        <w:rPr>
          <w:rFonts w:ascii="Arial" w:hAnsi="Arial" w:cs="Arial"/>
          <w:sz w:val="24"/>
          <w:szCs w:val="24"/>
        </w:rPr>
        <w:t xml:space="preserve"> instrumento por meio de entrevistas aos cuidadores tem duração entre 45 </w:t>
      </w:r>
      <w:r w:rsidR="007A241A">
        <w:rPr>
          <w:rFonts w:ascii="Arial" w:hAnsi="Arial" w:cs="Arial"/>
          <w:sz w:val="24"/>
          <w:szCs w:val="24"/>
        </w:rPr>
        <w:t>e</w:t>
      </w:r>
      <w:r w:rsidRPr="00D62579">
        <w:rPr>
          <w:rFonts w:ascii="Arial" w:hAnsi="Arial" w:cs="Arial"/>
          <w:sz w:val="24"/>
          <w:szCs w:val="24"/>
        </w:rPr>
        <w:t xml:space="preserve"> 60 minutos</w:t>
      </w:r>
      <w:r w:rsidR="00EA6A85">
        <w:rPr>
          <w:rFonts w:ascii="Arial" w:hAnsi="Arial" w:cs="Arial"/>
          <w:sz w:val="24"/>
          <w:szCs w:val="24"/>
        </w:rPr>
        <w:t>.</w:t>
      </w:r>
      <w:r w:rsidRPr="00D62579">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"10.1080/17518423.2017.1289419", "ISSN" : "1751-8423", "author" : [ { "dropping-particle" : "", "family" : "Williams", "given" : "K. S.", "non-dropping-particle" : "", "parse-names" : false, "suffix" : "" }, { "dropping-particle" : "", "family" : "Young", "given" : "D. K.", "non-dropping-particle" : "", "parse-names" : false, "suffix" : "" }, { "dropping-particle" : "", "family" : "Burke", "given" : "G. A. A.", "non-dropping-particle" : "", "parse-names" : false, "suffix" : "" }, { "dropping-particle" : "", "family" : "Fountain", "given" : "D. M.", "non-dropping-particle" : "", "parse-names" : false, "suffix" : "" } ], "container-title" : "Developmental Neurorehabilitation", "id" : "ITEM-1", "issued" : { "date-parts" : [ [ "2017" ] ] }, "page" : "1-9", "publisher" : "Taylor &amp; Francis", "title" : "Comparing the WeeFIM and PEDI in neurorehabilitation for children with acquired brain injury: A systematic review", "type" : "article-journal" }, "uris" : [ "http://www.mendeley.com/documents/?uuid=b8c0006a-08f7-4c3b-bdf9-8d2ed676e8ce" ] }, { "id" : "ITEM-2", "itemData" : { "DOI" : "10.1590/S0004-282X2002000600017", "ISSN" : "0004282X", "author" : [ { "dropping-particle" : "", "family" : "Mancini", "given" : "M. C.", "non-dropping-particle" : "", "parse-names" : false, "suffix" : "" }, { "dropping-particle" : "", "family" : "Teixeira", "given" : "S.", "non-dropping-particle" : "", "parse-names" : false, "suffix" : "" }, { "dropping-particle" : "", "family" : "Ara\u00fajo", "given" : "L. G.", "non-dropping-particle" : "", "parse-names" : false, "suffix" : "" }, { "dropping-particle" : "", "family" : "Paix\u00e3o", "given" : "M. L.", "non-dropping-particle" : "", "parse-names" : false, "suffix" : "" }, { "dropping-particle" : "", "family" : "Castro", "given" : "L. M.", "non-dropping-particle" : "", "parse-names" : false, "suffix" : "" }, { "dropping-particle" : "", "family" : "Coelho", "given" : "Z. A. C.", "non-dropping-particle" : "", "parse-names" : false, "suffix" : "" }, { "dropping-particle" : "", "family" : "Gontijo", "given" : "A. P. B.", "non-dropping-particle" : "", "parse-names" : false, "suffix" : "" }, { "dropping-particle" : "", "family" : "Furtado", "given" : "S. R. C.", "non-dropping-particle" : "", "parse-names" : false, "suffix" : "" }, { "dropping-particle" : "", "family" : "Sampaio", "given" : "R. F.", "non-dropping-particle" : "", "parse-names" : false, "suffix" : "" }, { "dropping-particle" : "", "family" : "Fonseca", "given" : "S. T.", "non-dropping-particle" : "", "parse-names" : false, "suffix" : "" } ], "container-title" : "Arquivos de Neuro-Psiquiatria", "id" : "ITEM-2", "issue" : "4", "issued" : { "date-parts" : [ [ "2002" ] ] }, "page" : "974-980", "title" : "Estudo do desenvolvimento da fun\u00e7\u00e3o motora aos 8 e 12 meses de idade em crian\u00e7as nascidas pr\u00e9-termo e a termo", "type" : "article-journal", "volume" : "60" }, "uris" : [ "http://www.mendeley.com/documents/?uuid=b3df3561-2c4e-4aff-9634-ff78e7b2ea30" ] } ], "mendeley" : { "formattedCitation" : "&lt;sup&gt;73,74&lt;/sup&gt;", "plainTextFormattedCitation" : "73,74", "previouslyFormattedCitation" : "&lt;sup&gt;73,74&lt;/sup&gt;" }, "properties" : { "noteIndex" : 0 }, "schema" : "https://github.com/citation-style-language/schema/raw/master/csl-citation.json" }</w:instrText>
      </w:r>
      <w:r w:rsidRPr="00D62579">
        <w:rPr>
          <w:rFonts w:ascii="Arial" w:hAnsi="Arial" w:cs="Arial"/>
          <w:sz w:val="24"/>
          <w:szCs w:val="24"/>
        </w:rPr>
        <w:fldChar w:fldCharType="separate"/>
      </w:r>
      <w:r w:rsidR="00412B48" w:rsidRPr="00412B48">
        <w:rPr>
          <w:rFonts w:ascii="Arial" w:hAnsi="Arial" w:cs="Arial"/>
          <w:noProof/>
          <w:sz w:val="24"/>
          <w:szCs w:val="24"/>
          <w:vertAlign w:val="superscript"/>
        </w:rPr>
        <w:t>73,74</w:t>
      </w:r>
      <w:r w:rsidRPr="00D62579">
        <w:rPr>
          <w:rFonts w:ascii="Arial" w:hAnsi="Arial" w:cs="Arial"/>
          <w:sz w:val="24"/>
          <w:szCs w:val="24"/>
        </w:rPr>
        <w:fldChar w:fldCharType="end"/>
      </w:r>
    </w:p>
    <w:p w:rsidR="00A62F69" w:rsidRDefault="00A62F69" w:rsidP="00491682">
      <w:pPr>
        <w:spacing w:after="0" w:line="360" w:lineRule="auto"/>
        <w:jc w:val="both"/>
        <w:rPr>
          <w:rFonts w:ascii="Arial" w:hAnsi="Arial" w:cs="Arial"/>
          <w:sz w:val="24"/>
        </w:rPr>
      </w:pPr>
    </w:p>
    <w:p w:rsidR="00AA6183" w:rsidRDefault="00EB34BF" w:rsidP="00491682">
      <w:pPr>
        <w:spacing w:after="0" w:line="360" w:lineRule="auto"/>
        <w:jc w:val="both"/>
        <w:rPr>
          <w:rFonts w:ascii="Arial" w:hAnsi="Arial" w:cs="Arial"/>
          <w:sz w:val="24"/>
        </w:rPr>
      </w:pPr>
      <w:r>
        <w:rPr>
          <w:rFonts w:ascii="Arial" w:hAnsi="Arial" w:cs="Arial"/>
          <w:sz w:val="24"/>
        </w:rPr>
        <w:lastRenderedPageBreak/>
        <w:t>Out</w:t>
      </w:r>
      <w:r w:rsidR="00833F35">
        <w:rPr>
          <w:rFonts w:ascii="Arial" w:hAnsi="Arial" w:cs="Arial"/>
          <w:sz w:val="24"/>
        </w:rPr>
        <w:t>ra ferramenta de avaliação é a E</w:t>
      </w:r>
      <w:r>
        <w:rPr>
          <w:rFonts w:ascii="Arial" w:hAnsi="Arial" w:cs="Arial"/>
          <w:sz w:val="24"/>
        </w:rPr>
        <w:t>scala de Medida de Independência Funcional</w:t>
      </w:r>
      <w:r w:rsidR="00AA6183">
        <w:rPr>
          <w:rFonts w:ascii="Arial" w:hAnsi="Arial" w:cs="Arial"/>
          <w:sz w:val="24"/>
        </w:rPr>
        <w:t xml:space="preserve"> – Escala MIF</w:t>
      </w:r>
      <w:r>
        <w:rPr>
          <w:rFonts w:ascii="Arial" w:hAnsi="Arial" w:cs="Arial"/>
          <w:sz w:val="24"/>
        </w:rPr>
        <w:t>, que se refere a um instrumento genérico de avaliação funcional, traduzido para a língua portuguesa do Brasil no ano 2000, validado e adaptado culturalmente em 2004, para contemplar as especificidades socioculturais brasileiras</w:t>
      </w:r>
      <w:r w:rsidR="007B13BA">
        <w:rPr>
          <w:rFonts w:ascii="Arial" w:hAnsi="Arial" w:cs="Arial"/>
          <w:sz w:val="24"/>
        </w:rPr>
        <w:t>.</w:t>
      </w:r>
      <w:r>
        <w:rPr>
          <w:rFonts w:ascii="Arial" w:hAnsi="Arial" w:cs="Arial"/>
          <w:sz w:val="24"/>
        </w:rPr>
        <w:fldChar w:fldCharType="begin" w:fldLock="1"/>
      </w:r>
      <w:r w:rsidR="00195481">
        <w:rPr>
          <w:rFonts w:ascii="Arial" w:hAnsi="Arial" w:cs="Arial"/>
          <w:sz w:val="24"/>
        </w:rPr>
        <w:instrText>ADDIN CSL_CITATION { "citationItems" : [ { "id" : "ITEM-1", "itemData" : { "DOI" : "10.5935/0104-7795.20040003", "ISBN" : "1466-609X; 1364-8535", "ISSN" : "0104-7795", "PMID" : "20738852", "abstract" : "RESUMO A vers\u00e3o brasileira da Medida de Independ\u00eancia Funcional (MIF) foi desenvolvida por meio de um processo de tradu\u00e7\u00e3o para o portugu\u00eas do Brasil por equipe m\u00e9dica bil\u00edng\u00fce familiarizada com o instrumento e tradutor profissional, seguido de tradu\u00e7\u00e3o reversa para o ingl\u00eas por tradutor independente. N\u00e3o foram identificados problemas de equival\u00eancia cultural quando a vers\u00e3o obtida foi apresentada a um conjunto de 25 profissionais de sa\u00fade treinados no seu uso. Oito centros de reabilita\u00e7\u00e3o participaram da capta\u00e7\u00e3o de dados para a obten\u00e7\u00e3o de medidas de reprodutibilidade. Todos os pacientes adultos com hist\u00f3ria de pelo menos 4 meses de acidente vascular cerebral, consultados no per\u00edodo entre dezembro de 1999 e janeiro de 2000, foram avaliados por dois avaliadores treinados na aplica\u00e7\u00e3o da MIF, de forma independente, e reavaliados por apenas um desses examinadores ap\u00f3s uma semana (teste/reteste). Uma amostra de 164 pacientes foi examinada e os valores de kappa para concord\u00e2ncia em cada um dos itens da MIF variaram entre dois observadores de 0,50 (alimenta\u00e7\u00e3o) a 0,64 (controle da urina) e no teste/ reteste entre 0,61 (vestir abaixo da cintura) a 0,77 (transfer\u00eancia para o vaso sanit\u00e1rio). As subescalas da MIF apresentaram no teste/reteste boa correla\u00e7\u00e3o (Pearson: 0,91 \u2013 0,98; ICC: 0,91 \u2013 0,98); a reprodutibilidade interobservadores tamb\u00e9m foi boa (Pearson: 0,87 \u2013 0,98; ICC: 0,87 \u2013 0,98). An\u00e1lise de vari\u00e2ncia mostra boa concord\u00e2ncia entre as m\u00e9dias dos resultados de dois avaliadores na primeira avalia\u00e7\u00e3o e na medida ap\u00f3s uma semana. Conclu\u00edmos que a vers\u00e3o brasileira da MIF tem boa equival\u00eancia cultural e boa reprodutibilidade. UNITERMOS Medida de independ\u00eancia funcional; reprodutibilidade; equival\u00eancia cultural; avalia\u00e7\u00e3o funcional; tradu\u00e7\u00e3o. SUMMARY A Brazilian version of Functional Independence Measure (FIM) was developed in a translation process to Brazilian Portuguese by a bilingual medical team and a professional translator, followed by a reverse translation to English by an independent traslator. No problems of cultural equivalence were identified in the resultant version when it was presented to a group of 25 clinicians trained in its use. Eight rehabilitation centers participated in the gathering of data for the study of reproductibility. Two independent observers evaluated, between December 1999 and January 2000, all adult stroke patients with more than 4 months of impairment onset at the same day and only one of these clinicians repeated the obse\u2026", "author" : [ { "dropping-particle" : "", "family" : "Riberto", "given" : "Marcelo", "non-dropping-particle" : "", "parse-names" : false, "suffix" : "" }, { "dropping-particle" : "", "family" : "Miyazaki", "given" : "MH", "non-dropping-particle" : "", "parse-names" : false, "suffix" : "" }, { "dropping-particle" : "", "family" : "Jorge Filho", "given" : "Donaldo", "non-dropping-particle" : "", "parse-names" : false, "suffix" : "" }, { "dropping-particle" : "", "family" : "Sakamoto", "given" : "Hatsue", "non-dropping-particle" : "", "parse-names" : false, "suffix" : "" }, { "dropping-particle" : "", "family" : "Battistella", "given" : "Linamara Rizzo", "non-dropping-particle" : "", "parse-names" : false, "suffix" : "" } ], "container-title" : "Acta Fisi\u00e1trica", "id" : "ITEM-1", "issue" : "1", "issued" : { "date-parts" : [ [ "2001" ] ] }, "page" : "45-52", "title" : "Reprodutibilidade da vers\u00e4o brasileira da Medida de Independ\u00eancia Funcional", "type" : "article-journal", "volume" : "8" }, "uris" : [ "http://www.mendeley.com/documents/?uuid=894281fc-eb9a-4c2e-ab36-2df779479288" ] }, { "id" : "ITEM-2", "itemData" : { "DOI" : "10.5935/0104-7795.20040003", "ISBN" : "1466-609X; 1364-8535", "ISSN" : "0104-7795", "PMID" : "20738852", "abstract" : "A vers\u00e3o brasileira de Medida de Independ\u00eancia Funcional (MIF) foi desenvolvida em 2000. Estudos de sua validade ainda s\u00e3o necess\u00e1rios como forma de corroborar seu uso na avalia\u00e7\u00e3o da reabilita\u00e7\u00e3o de brasileiros incapacitados, uma vez que peculiaridades socioculturais nacionais podem determinar um comportamento diverso dos dados fornecidos pelo instrumento. Objetivos: O objetivo deste estudo \u00e9 testar a validade de construto da MIF ao checar a validade convergente em grupos de pacientes com defici\u00eancias nas quais se esperam estar presentes graus espec\u00edficos de incapacidade. M\u00e9todo: Prontu\u00e1rios m\u00e9dicos de 150 pacientes com les\u00e3o medular (LM) e 103 pacientes com les\u00f5es encef\u00e1licas (LE) de dois centros de reabilita\u00e7\u00e3o da cidade de S\u00e3o Paulo forneceram dados a respeito de caracter\u00edsticas biodemogr\u00e1ficas, cl\u00ednicas e funcionais. O grau de incapacidade foi avaliado pela MIF. Os pacientes com LM foram classificados de acordo com o n\u00edvel de acometimento medular, como cervicais, tor\u00e1cicos ou lombares e abaixo. Pacientes com LE foram classificados conforme o dim\u00eddio mais comprometido como direito, esquerdo ou bilaterais. A sensibilidade da MIF foi testada em 93 pacientes com LE e 59 com LM por meio da compara\u00e7\u00e3o dos valores da MIF total, cognitiva e motora de admiss\u00e3o e alta. Resultados: entre os pacientes com LM pudemos demonstrar uma clara associa\u00e7\u00e3o entre o n\u00edvel de incapacidade e a MIF motora (cervical = 34.4 \u00b1 25.2, tor\u00e1cica = 51.6 \u00b1 19.5, lombar = 67.5 \u00b1 18.6; p &lt; 0.001). A MIF cognitiva apresentou um efeito teto entre os pacientes com les\u00e3o medular (85% dos pacientes tinham MIFc no valor mais alto poss\u00edvel), por outro lado, entre os pacientes com LE, isso n\u00e3o pode ser observado e houve uma associa\u00e7\u00e3o entre o valor obtido na MIFc e o lado envolvido, sendo os pacientes com envolvimento do hemicorpo esquerdo aqueles menos dependente em termos cognitivos. Houve mudan\u00e7a estatisticamente significante durante o tratamento, como pode ser observado pela varia\u00e7\u00e3o da MIFm em pacientes com LM e LE (44.5 \u00b1 24.1x 61.0 \u00b1 23.8; p &lt; 0.001 e 54.1 \u00b1 23.0 x 64.7 \u00b1 21.3; p &lt;0.001). O mesmo pode ser observado em pacientes com LE com comprometimento a esquerda e \u00e0 direita, mas n\u00e3o quando o comprometimento era bilateral. Conclus\u00e3o: a validade convergente da vers\u00e3o brasileira da MIF pode ser observada para as tarefas motoras tanto em pacientes com LM como LE. A MIFc mostrou-se de pouca utilidade entre os pacientes com LM cr\u00f4nico sob reabilita\u00e7\u00e3o ambulatorial, apesar de a associa\u00e7\u00e3o \u2026", "author" : [ { "dropping-particle" : "", "family" : "Riberto", "given" : "Marcelo", "non-dropping-particle" : "", "parse-names" : false, "suffix" : "" }, { "dropping-particle" : "", "family" : "Miyazaki", "given" : "Margarida H", "non-dropping-particle" : "", "parse-names" : false, "suffix" : "" }, { "dropping-particle" : "", "family" : "Juc\u00e1", "given" : "Sueli S H", "non-dropping-particle" : "", "parse-names" : false, "suffix" : "" }, { "dropping-particle" : "", "family" : "Sakamoto", "given" : "Hatsue", "non-dropping-particle" : "", "parse-names" : false, "suffix" : "" }, { "dropping-particle" : "", "family" : "Potiguara", "given" : "Paulo", "non-dropping-particle" : "", "parse-names" : false, "suffix" : "" }, { "dropping-particle" : "", "family" : "Pinto", "given" : "Novazzi", "non-dropping-particle" : "", "parse-names" : false, "suffix" : "" }, { "dropping-particle" : "", "family" : "Battistella", "given" : "Linamara R", "non-dropping-particle" : "", "parse-names" : false, "suffix" : "" } ], "container-title" : "Acta Fisiatrica", "id" : "ITEM-2", "issue" : "2", "issued" : { "date-parts" : [ [ "2004" ] ] }, "page" : "72-76", "title" : "Valida\u00e7\u00e3o da Vers\u00e3o Brasileira da Medida de Independ\u00eancia Funcional Validation of the Brazilian version of Functional Independence Measure", "type" : "article-journal", "volume" : "11" }, "uris" : [ "http://www.mendeley.com/documents/?uuid=645f3fd7-d546-43cf-8d35-39d344460b05" ] } ], "mendeley" : { "formattedCitation" : "&lt;sup&gt;61,62&lt;/sup&gt;", "plainTextFormattedCitation" : "61,62", "previouslyFormattedCitation" : "&lt;sup&gt;61,62&lt;/sup&gt;" }, "properties" : { "noteIndex" : 0 }, "schema" : "https://github.com/citation-style-language/schema/raw/master/csl-citation.json" }</w:instrText>
      </w:r>
      <w:r>
        <w:rPr>
          <w:rFonts w:ascii="Arial" w:hAnsi="Arial" w:cs="Arial"/>
          <w:sz w:val="24"/>
        </w:rPr>
        <w:fldChar w:fldCharType="separate"/>
      </w:r>
      <w:r w:rsidR="00412B48" w:rsidRPr="00412B48">
        <w:rPr>
          <w:rFonts w:ascii="Arial" w:hAnsi="Arial" w:cs="Arial"/>
          <w:noProof/>
          <w:sz w:val="24"/>
          <w:vertAlign w:val="superscript"/>
        </w:rPr>
        <w:t>61,62</w:t>
      </w:r>
      <w:r>
        <w:rPr>
          <w:rFonts w:ascii="Arial" w:hAnsi="Arial" w:cs="Arial"/>
          <w:sz w:val="24"/>
        </w:rPr>
        <w:fldChar w:fldCharType="end"/>
      </w:r>
      <w:r w:rsidR="00DE00EE">
        <w:rPr>
          <w:rFonts w:ascii="Arial" w:hAnsi="Arial" w:cs="Arial"/>
          <w:sz w:val="24"/>
        </w:rPr>
        <w:t xml:space="preserve"> </w:t>
      </w:r>
      <w:r w:rsidR="007B13BA">
        <w:rPr>
          <w:rFonts w:ascii="Arial" w:hAnsi="Arial" w:cs="Arial"/>
          <w:sz w:val="24"/>
        </w:rPr>
        <w:t xml:space="preserve">A versão </w:t>
      </w:r>
      <w:r>
        <w:rPr>
          <w:rFonts w:ascii="Arial" w:hAnsi="Arial" w:cs="Arial"/>
          <w:sz w:val="24"/>
        </w:rPr>
        <w:t>original</w:t>
      </w:r>
      <w:r w:rsidR="007B13BA">
        <w:rPr>
          <w:rFonts w:ascii="Arial" w:hAnsi="Arial" w:cs="Arial"/>
          <w:sz w:val="24"/>
        </w:rPr>
        <w:t xml:space="preserve"> da MIF</w:t>
      </w:r>
      <w:r>
        <w:rPr>
          <w:rFonts w:ascii="Arial" w:hAnsi="Arial" w:cs="Arial"/>
          <w:sz w:val="24"/>
        </w:rPr>
        <w:t xml:space="preserve"> foi desenvolvid</w:t>
      </w:r>
      <w:r w:rsidR="007B13BA">
        <w:rPr>
          <w:rFonts w:ascii="Arial" w:hAnsi="Arial" w:cs="Arial"/>
          <w:sz w:val="24"/>
        </w:rPr>
        <w:t>a</w:t>
      </w:r>
      <w:r w:rsidRPr="00DB136A">
        <w:rPr>
          <w:rFonts w:ascii="Arial" w:hAnsi="Arial" w:cs="Arial"/>
          <w:sz w:val="24"/>
        </w:rPr>
        <w:t xml:space="preserve"> por volta de 198</w:t>
      </w:r>
      <w:r>
        <w:rPr>
          <w:rFonts w:ascii="Arial" w:hAnsi="Arial" w:cs="Arial"/>
          <w:sz w:val="24"/>
        </w:rPr>
        <w:t>3</w:t>
      </w:r>
      <w:r w:rsidRPr="00DB136A">
        <w:rPr>
          <w:rFonts w:ascii="Arial" w:hAnsi="Arial" w:cs="Arial"/>
          <w:sz w:val="24"/>
        </w:rPr>
        <w:t>, com apoio do Congresso Americano de Medicina de Reabilitação e da Academia Americana de Medicina Física e Reabilitação</w:t>
      </w:r>
      <w:r w:rsidR="007B13BA">
        <w:rPr>
          <w:rFonts w:ascii="Arial" w:hAnsi="Arial" w:cs="Arial"/>
          <w:sz w:val="24"/>
        </w:rPr>
        <w:t>, e é considerada</w:t>
      </w:r>
      <w:r>
        <w:rPr>
          <w:rFonts w:ascii="Arial" w:hAnsi="Arial" w:cs="Arial"/>
          <w:sz w:val="24"/>
        </w:rPr>
        <w:t xml:space="preserve"> parte integrante do Sistema Uniforme de Dados para Reabilitação Médica</w:t>
      </w:r>
      <w:r w:rsidR="007B13BA">
        <w:rPr>
          <w:rFonts w:ascii="Arial" w:hAnsi="Arial" w:cs="Arial"/>
          <w:sz w:val="24"/>
        </w:rPr>
        <w:t>.</w:t>
      </w:r>
      <w:r>
        <w:rPr>
          <w:rFonts w:ascii="Arial" w:hAnsi="Arial" w:cs="Arial"/>
          <w:sz w:val="24"/>
        </w:rPr>
        <w:fldChar w:fldCharType="begin" w:fldLock="1"/>
      </w:r>
      <w:r w:rsidR="00195481">
        <w:rPr>
          <w:rFonts w:ascii="Arial" w:hAnsi="Arial" w:cs="Arial"/>
          <w:sz w:val="24"/>
        </w:rPr>
        <w:instrText>ADDIN CSL_CITATION { "citationItems" : [ { "id" : "ITEM-1", "itemData" : { "author" : [ { "dropping-particle" : "", "family" : "Barbetta DC", "given" : "Assis MR.", "non-dropping-particle" : "", "parse-names" : false, "suffix" : "" } ], "container-title" : "Acta Fisi\u00e1trica", "id" : "ITEM-1", "issue" : "3", "issued" : { "date-parts" : [ [ "2008" ] ] }, "page" : "176-181", "title" : "Reprodutivbilidade, validade e responsividade da escala de Medida de Independ\u00eancia Funcional (MIF) na les\u00e3o medular: revis\u00e3o da literatura", "type" : "article-journal", "volume" : "15" }, "uris" : [ "http://www.mendeley.com/documents/?uuid=01817c5e-c5c8-4739-8569-900a390c48ac" ] }, { "id" : "ITEM-2", "itemData" : { "DOI" : "10.1016/S0003-9993(98)90000-4", "ISBN" : "0003-9993 (Print)\\r0003-9993 (Linking)", "ISSN" : "00039993", "PMID" : "9523772", "author" : [ { "dropping-particle" : "", "family" : "Granger", "given" : "CV.", "non-dropping-particle" : "", "parse-names" : false, "suffix" : "" } ], "container-title" : "Archives of Physical Medicine and Rehabilitation", "id" : "ITEM-2", "issued" : { "date-parts" : [ [ "1998" ] ] }, "page" : "235-240", "title" : "The Emerging Science of Functional Assessment: Our Tool for Outcomes Analysis", "type" : "article-journal", "volume" : "79" }, "uris" : [ "http://www.mendeley.com/documents/?uuid=724b84d3-51d7-4aef-a560-21d6a578adbd" ] } ], "mendeley" : { "formattedCitation" : "&lt;sup&gt;75,76&lt;/sup&gt;", "plainTextFormattedCitation" : "75,76", "previouslyFormattedCitation" : "&lt;sup&gt;75,76&lt;/sup&gt;" }, "properties" : { "noteIndex" : 0 }, "schema" : "https://github.com/citation-style-language/schema/raw/master/csl-citation.json" }</w:instrText>
      </w:r>
      <w:r>
        <w:rPr>
          <w:rFonts w:ascii="Arial" w:hAnsi="Arial" w:cs="Arial"/>
          <w:sz w:val="24"/>
        </w:rPr>
        <w:fldChar w:fldCharType="separate"/>
      </w:r>
      <w:r w:rsidR="00412B48" w:rsidRPr="00412B48">
        <w:rPr>
          <w:rFonts w:ascii="Arial" w:hAnsi="Arial" w:cs="Arial"/>
          <w:noProof/>
          <w:sz w:val="24"/>
          <w:vertAlign w:val="superscript"/>
        </w:rPr>
        <w:t>75,76</w:t>
      </w:r>
      <w:r>
        <w:rPr>
          <w:rFonts w:ascii="Arial" w:hAnsi="Arial" w:cs="Arial"/>
          <w:sz w:val="24"/>
        </w:rPr>
        <w:fldChar w:fldCharType="end"/>
      </w:r>
    </w:p>
    <w:p w:rsidR="00AA6183" w:rsidRDefault="00AA6183" w:rsidP="00491682">
      <w:pPr>
        <w:spacing w:after="0" w:line="360" w:lineRule="auto"/>
        <w:jc w:val="both"/>
        <w:rPr>
          <w:rFonts w:ascii="Arial" w:hAnsi="Arial" w:cs="Arial"/>
          <w:sz w:val="24"/>
        </w:rPr>
      </w:pPr>
    </w:p>
    <w:p w:rsidR="00EB34BF" w:rsidRDefault="00EB34BF" w:rsidP="00491682">
      <w:pPr>
        <w:spacing w:after="0" w:line="360" w:lineRule="auto"/>
        <w:jc w:val="both"/>
        <w:rPr>
          <w:rFonts w:ascii="Arial" w:hAnsi="Arial" w:cs="Arial"/>
          <w:sz w:val="24"/>
        </w:rPr>
      </w:pPr>
      <w:r w:rsidRPr="00DB136A">
        <w:rPr>
          <w:rFonts w:ascii="Arial" w:hAnsi="Arial" w:cs="Arial"/>
          <w:sz w:val="24"/>
        </w:rPr>
        <w:t xml:space="preserve">Atualmente, </w:t>
      </w:r>
      <w:r w:rsidR="00AA6183">
        <w:rPr>
          <w:rFonts w:ascii="Arial" w:hAnsi="Arial" w:cs="Arial"/>
          <w:sz w:val="24"/>
        </w:rPr>
        <w:t xml:space="preserve">a MIF </w:t>
      </w:r>
      <w:r w:rsidRPr="00DB136A">
        <w:rPr>
          <w:rFonts w:ascii="Arial" w:hAnsi="Arial" w:cs="Arial"/>
          <w:sz w:val="24"/>
        </w:rPr>
        <w:t xml:space="preserve">possui ampla aceitação na literatura como </w:t>
      </w:r>
      <w:r>
        <w:rPr>
          <w:rFonts w:ascii="Arial" w:hAnsi="Arial" w:cs="Arial"/>
          <w:sz w:val="24"/>
        </w:rPr>
        <w:t xml:space="preserve">instrumento de medida da capacidade </w:t>
      </w:r>
      <w:r w:rsidR="00E6632F">
        <w:rPr>
          <w:rFonts w:ascii="Arial" w:hAnsi="Arial" w:cs="Arial"/>
          <w:sz w:val="24"/>
        </w:rPr>
        <w:t xml:space="preserve">e independência </w:t>
      </w:r>
      <w:r w:rsidRPr="00DB136A">
        <w:rPr>
          <w:rFonts w:ascii="Arial" w:hAnsi="Arial" w:cs="Arial"/>
          <w:sz w:val="24"/>
        </w:rPr>
        <w:t>funcional</w:t>
      </w:r>
      <w:r>
        <w:rPr>
          <w:rFonts w:ascii="Arial" w:hAnsi="Arial" w:cs="Arial"/>
          <w:sz w:val="24"/>
        </w:rPr>
        <w:t>, estimando o grau de dificuldade ou limitação do indivíduo</w:t>
      </w:r>
      <w:r w:rsidRPr="00DB136A">
        <w:rPr>
          <w:rFonts w:ascii="Arial" w:hAnsi="Arial" w:cs="Arial"/>
          <w:sz w:val="24"/>
        </w:rPr>
        <w:t>.</w:t>
      </w:r>
      <w:r>
        <w:rPr>
          <w:rFonts w:ascii="Arial" w:hAnsi="Arial" w:cs="Arial"/>
          <w:sz w:val="24"/>
        </w:rPr>
        <w:t xml:space="preserve"> </w:t>
      </w:r>
      <w:r w:rsidR="00591EB1">
        <w:rPr>
          <w:rFonts w:ascii="Arial" w:hAnsi="Arial" w:cs="Arial"/>
          <w:sz w:val="24"/>
        </w:rPr>
        <w:t>Este instrumento</w:t>
      </w:r>
      <w:r w:rsidR="00C62047">
        <w:rPr>
          <w:rFonts w:ascii="Arial" w:hAnsi="Arial" w:cs="Arial"/>
          <w:sz w:val="24"/>
        </w:rPr>
        <w:t xml:space="preserve"> destina-se à identificação</w:t>
      </w:r>
      <w:r>
        <w:rPr>
          <w:rFonts w:ascii="Arial" w:hAnsi="Arial" w:cs="Arial"/>
          <w:sz w:val="24"/>
        </w:rPr>
        <w:t xml:space="preserve"> da necessidade de auxílio que o indivíduo requer</w:t>
      </w:r>
      <w:r w:rsidR="00E6632F">
        <w:rPr>
          <w:rFonts w:ascii="Arial" w:hAnsi="Arial" w:cs="Arial"/>
          <w:sz w:val="24"/>
        </w:rPr>
        <w:t xml:space="preserve"> para realizar tarefas de vida diária</w:t>
      </w:r>
      <w:r>
        <w:rPr>
          <w:rFonts w:ascii="Arial" w:hAnsi="Arial" w:cs="Arial"/>
          <w:sz w:val="24"/>
        </w:rPr>
        <w:t xml:space="preserve"> (</w:t>
      </w:r>
      <w:r w:rsidR="00E6632F">
        <w:rPr>
          <w:rFonts w:ascii="Arial" w:hAnsi="Arial" w:cs="Arial"/>
          <w:sz w:val="24"/>
        </w:rPr>
        <w:t xml:space="preserve">seja </w:t>
      </w:r>
      <w:r>
        <w:rPr>
          <w:rFonts w:ascii="Arial" w:hAnsi="Arial" w:cs="Arial"/>
          <w:sz w:val="24"/>
        </w:rPr>
        <w:t>assistência de outra pessoa ou uso de recurso de adaptação)</w:t>
      </w:r>
      <w:r w:rsidR="00744031">
        <w:rPr>
          <w:rFonts w:ascii="Arial" w:hAnsi="Arial" w:cs="Arial"/>
          <w:sz w:val="24"/>
        </w:rPr>
        <w:t>. Assim,</w:t>
      </w:r>
      <w:r>
        <w:rPr>
          <w:rFonts w:ascii="Arial" w:hAnsi="Arial" w:cs="Arial"/>
          <w:sz w:val="24"/>
        </w:rPr>
        <w:t xml:space="preserve"> mensura</w:t>
      </w:r>
      <w:r w:rsidR="00E6632F">
        <w:rPr>
          <w:rFonts w:ascii="Arial" w:hAnsi="Arial" w:cs="Arial"/>
          <w:sz w:val="24"/>
        </w:rPr>
        <w:t>, de forma quantitativa,</w:t>
      </w:r>
      <w:r>
        <w:rPr>
          <w:rFonts w:ascii="Arial" w:hAnsi="Arial" w:cs="Arial"/>
          <w:sz w:val="24"/>
        </w:rPr>
        <w:t xml:space="preserve"> o nível de independência funcional do sujeito avaliado</w:t>
      </w:r>
      <w:r w:rsidR="00C62047">
        <w:rPr>
          <w:rFonts w:ascii="Arial" w:hAnsi="Arial" w:cs="Arial"/>
          <w:sz w:val="24"/>
        </w:rPr>
        <w:t>.</w:t>
      </w:r>
      <w:r>
        <w:rPr>
          <w:rFonts w:ascii="Arial" w:hAnsi="Arial" w:cs="Arial"/>
          <w:sz w:val="24"/>
        </w:rPr>
        <w:fldChar w:fldCharType="begin" w:fldLock="1"/>
      </w:r>
      <w:r w:rsidR="00195481">
        <w:rPr>
          <w:rFonts w:ascii="Arial" w:hAnsi="Arial" w:cs="Arial"/>
          <w:sz w:val="24"/>
        </w:rPr>
        <w:instrText>ADDIN CSL_CITATION { "citationItems" : [ { "id" : "ITEM-1", "itemData" : { "DOI" : "10.5935/0104-7795.20040003", "ISBN" : "1466-609X; 1364-8535", "ISSN" : "0104-7795", "PMID" : "20738852", "abstract" : "A vers\u00e3o brasileira de Medida de Independ\u00eancia Funcional (MIF) foi desenvolvida em 2000. Estudos de sua validade ainda s\u00e3o necess\u00e1rios como forma de corroborar seu uso na avalia\u00e7\u00e3o da reabilita\u00e7\u00e3o de brasileiros incapacitados, uma vez que peculiaridades socioculturais nacionais podem determinar um comportamento diverso dos dados fornecidos pelo instrumento. Objetivos: O objetivo deste estudo \u00e9 testar a validade de construto da MIF ao checar a validade convergente em grupos de pacientes com defici\u00eancias nas quais se esperam estar presentes graus espec\u00edficos de incapacidade. M\u00e9todo: Prontu\u00e1rios m\u00e9dicos de 150 pacientes com les\u00e3o medular (LM) e 103 pacientes com les\u00f5es encef\u00e1licas (LE) de dois centros de reabilita\u00e7\u00e3o da cidade de S\u00e3o Paulo forneceram dados a respeito de caracter\u00edsticas biodemogr\u00e1ficas, cl\u00ednicas e funcionais. O grau de incapacidade foi avaliado pela MIF. Os pacientes com LM foram classificados de acordo com o n\u00edvel de acometimento medular, como cervicais, tor\u00e1cicos ou lombares e abaixo. Pacientes com LE foram classificados conforme o dim\u00eddio mais comprometido como direito, esquerdo ou bilaterais. A sensibilidade da MIF foi testada em 93 pacientes com LE e 59 com LM por meio da compara\u00e7\u00e3o dos valores da MIF total, cognitiva e motora de admiss\u00e3o e alta. Resultados: entre os pacientes com LM pudemos demonstrar uma clara associa\u00e7\u00e3o entre o n\u00edvel de incapacidade e a MIF motora (cervical = 34.4 \u00b1 25.2, tor\u00e1cica = 51.6 \u00b1 19.5, lombar = 67.5 \u00b1 18.6; p &lt; 0.001). A MIF cognitiva apresentou um efeito teto entre os pacientes com les\u00e3o medular (85% dos pacientes tinham MIFc no valor mais alto poss\u00edvel), por outro lado, entre os pacientes com LE, isso n\u00e3o pode ser observado e houve uma associa\u00e7\u00e3o entre o valor obtido na MIFc e o lado envolvido, sendo os pacientes com envolvimento do hemicorpo esquerdo aqueles menos dependente em termos cognitivos. Houve mudan\u00e7a estatisticamente significante durante o tratamento, como pode ser observado pela varia\u00e7\u00e3o da MIFm em pacientes com LM e LE (44.5 \u00b1 24.1x 61.0 \u00b1 23.8; p &lt; 0.001 e 54.1 \u00b1 23.0 x 64.7 \u00b1 21.3; p &lt;0.001). O mesmo pode ser observado em pacientes com LE com comprometimento a esquerda e \u00e0 direita, mas n\u00e3o quando o comprometimento era bilateral. Conclus\u00e3o: a validade convergente da vers\u00e3o brasileira da MIF pode ser observada para as tarefas motoras tanto em pacientes com LM como LE. A MIFc mostrou-se de pouca utilidade entre os pacientes com LM cr\u00f4nico sob reabilita\u00e7\u00e3o ambulatorial, apesar de a associa\u00e7\u00e3o \u2026", "author" : [ { "dropping-particle" : "", "family" : "Riberto", "given" : "Marcelo", "non-dropping-particle" : "", "parse-names" : false, "suffix" : "" }, { "dropping-particle" : "", "family" : "Miyazaki", "given" : "Margarida H", "non-dropping-particle" : "", "parse-names" : false, "suffix" : "" }, { "dropping-particle" : "", "family" : "Juc\u00e1", "given" : "Sueli S H", "non-dropping-particle" : "", "parse-names" : false, "suffix" : "" }, { "dropping-particle" : "", "family" : "Sakamoto", "given" : "Hatsue", "non-dropping-particle" : "", "parse-names" : false, "suffix" : "" }, { "dropping-particle" : "", "family" : "Potiguara", "given" : "Paulo", "non-dropping-particle" : "", "parse-names" : false, "suffix" : "" }, { "dropping-particle" : "", "family" : "Pinto", "given" : "Novazzi", "non-dropping-particle" : "", "parse-names" : false, "suffix" : "" }, { "dropping-particle" : "", "family" : "Battistella", "given" : "Linamara R", "non-dropping-particle" : "", "parse-names" : false, "suffix" : "" } ], "container-title" : "Acta Fisiatrica", "id" : "ITEM-1", "issue" : "2", "issued" : { "date-parts" : [ [ "2004" ] ] }, "page" : "72-76", "title" : "Valida\u00e7\u00e3o da Vers\u00e3o Brasileira da Medida de Independ\u00eancia Funcional Validation of the Brazilian version of Functional Independence Measure", "type" : "article-journal", "volume" : "11" }, "uris" : [ "http://www.mendeley.com/documents/?uuid=645f3fd7-d546-43cf-8d35-39d344460b05" ] } ], "mendeley" : { "formattedCitation" : "&lt;sup&gt;61&lt;/sup&gt;", "plainTextFormattedCitation" : "61", "previouslyFormattedCitation" : "&lt;sup&gt;61&lt;/sup&gt;" }, "properties" : { "noteIndex" : 0 }, "schema" : "https://github.com/citation-style-language/schema/raw/master/csl-citation.json" }</w:instrText>
      </w:r>
      <w:r>
        <w:rPr>
          <w:rFonts w:ascii="Arial" w:hAnsi="Arial" w:cs="Arial"/>
          <w:sz w:val="24"/>
        </w:rPr>
        <w:fldChar w:fldCharType="separate"/>
      </w:r>
      <w:r w:rsidR="00412B48" w:rsidRPr="00412B48">
        <w:rPr>
          <w:rFonts w:ascii="Arial" w:hAnsi="Arial" w:cs="Arial"/>
          <w:noProof/>
          <w:sz w:val="24"/>
          <w:vertAlign w:val="superscript"/>
        </w:rPr>
        <w:t>61</w:t>
      </w:r>
      <w:r>
        <w:rPr>
          <w:rFonts w:ascii="Arial" w:hAnsi="Arial" w:cs="Arial"/>
          <w:sz w:val="24"/>
        </w:rPr>
        <w:fldChar w:fldCharType="end"/>
      </w:r>
    </w:p>
    <w:p w:rsidR="00A62F69" w:rsidRDefault="00A62F69" w:rsidP="00491682">
      <w:pPr>
        <w:spacing w:after="0" w:line="360" w:lineRule="auto"/>
        <w:jc w:val="both"/>
        <w:rPr>
          <w:rFonts w:ascii="Arial" w:hAnsi="Arial" w:cs="Arial"/>
          <w:sz w:val="24"/>
        </w:rPr>
      </w:pPr>
    </w:p>
    <w:p w:rsidR="00EB34BF" w:rsidRDefault="00EB34BF" w:rsidP="00491682">
      <w:pPr>
        <w:spacing w:after="0" w:line="360" w:lineRule="auto"/>
        <w:jc w:val="both"/>
        <w:rPr>
          <w:rFonts w:ascii="Arial" w:hAnsi="Arial" w:cs="Arial"/>
          <w:sz w:val="24"/>
        </w:rPr>
      </w:pPr>
      <w:r>
        <w:rPr>
          <w:rFonts w:ascii="Arial" w:hAnsi="Arial" w:cs="Arial"/>
          <w:sz w:val="24"/>
        </w:rPr>
        <w:t xml:space="preserve">Estudos sobre </w:t>
      </w:r>
      <w:r w:rsidR="007B13BA">
        <w:rPr>
          <w:rFonts w:ascii="Arial" w:hAnsi="Arial" w:cs="Arial"/>
          <w:sz w:val="24"/>
        </w:rPr>
        <w:t xml:space="preserve">as propriedades psicométricas </w:t>
      </w:r>
      <w:r w:rsidR="00494CE2">
        <w:rPr>
          <w:rFonts w:ascii="Arial" w:hAnsi="Arial" w:cs="Arial"/>
          <w:sz w:val="24"/>
        </w:rPr>
        <w:t>da escala MIF</w:t>
      </w:r>
      <w:r>
        <w:rPr>
          <w:rFonts w:ascii="Arial" w:hAnsi="Arial" w:cs="Arial"/>
          <w:sz w:val="24"/>
        </w:rPr>
        <w:t xml:space="preserve"> foram realizados ainda na fase de</w:t>
      </w:r>
      <w:r w:rsidR="00494CE2">
        <w:rPr>
          <w:rFonts w:ascii="Arial" w:hAnsi="Arial" w:cs="Arial"/>
          <w:sz w:val="24"/>
        </w:rPr>
        <w:t xml:space="preserve"> sua</w:t>
      </w:r>
      <w:r>
        <w:rPr>
          <w:rFonts w:ascii="Arial" w:hAnsi="Arial" w:cs="Arial"/>
          <w:sz w:val="24"/>
        </w:rPr>
        <w:t xml:space="preserve"> elaboração</w:t>
      </w:r>
      <w:r w:rsidR="00494CE2">
        <w:rPr>
          <w:rFonts w:ascii="Arial" w:hAnsi="Arial" w:cs="Arial"/>
          <w:sz w:val="24"/>
        </w:rPr>
        <w:t>,</w:t>
      </w:r>
      <w:r>
        <w:rPr>
          <w:rFonts w:ascii="Arial" w:hAnsi="Arial" w:cs="Arial"/>
          <w:sz w:val="24"/>
        </w:rPr>
        <w:t xml:space="preserve"> e conduzidos em populações com diferentes graus de incapacidade, incluindo indivíduos com lesão medular</w:t>
      </w:r>
      <w:r w:rsidR="007B13BA">
        <w:rPr>
          <w:rFonts w:ascii="Arial" w:hAnsi="Arial" w:cs="Arial"/>
          <w:sz w:val="24"/>
        </w:rPr>
        <w:t>.</w:t>
      </w:r>
      <w:r>
        <w:rPr>
          <w:rFonts w:ascii="Arial" w:hAnsi="Arial" w:cs="Arial"/>
          <w:sz w:val="24"/>
        </w:rPr>
        <w:fldChar w:fldCharType="begin" w:fldLock="1"/>
      </w:r>
      <w:r w:rsidR="00195481">
        <w:rPr>
          <w:rFonts w:ascii="Arial" w:hAnsi="Arial" w:cs="Arial"/>
          <w:sz w:val="24"/>
        </w:rPr>
        <w:instrText>ADDIN CSL_CITATION { "citationItems" : [ { "id" : "ITEM-1", "itemData" : { "DOI" : "10.5935/0104-7795.20040003", "ISBN" : "1466-609X; 1364-8535", "ISSN" : "0104-7795", "PMID" : "20738852", "abstract" : "RESUMO A vers\u00e3o brasileira da Medida de Independ\u00eancia Funcional (MIF) foi desenvolvida por meio de um processo de tradu\u00e7\u00e3o para o portugu\u00eas do Brasil por equipe m\u00e9dica bil\u00edng\u00fce familiarizada com o instrumento e tradutor profissional, seguido de tradu\u00e7\u00e3o reversa para o ingl\u00eas por tradutor independente. N\u00e3o foram identificados problemas de equival\u00eancia cultural quando a vers\u00e3o obtida foi apresentada a um conjunto de 25 profissionais de sa\u00fade treinados no seu uso. Oito centros de reabilita\u00e7\u00e3o participaram da capta\u00e7\u00e3o de dados para a obten\u00e7\u00e3o de medidas de reprodutibilidade. Todos os pacientes adultos com hist\u00f3ria de pelo menos 4 meses de acidente vascular cerebral, consultados no per\u00edodo entre dezembro de 1999 e janeiro de 2000, foram avaliados por dois avaliadores treinados na aplica\u00e7\u00e3o da MIF, de forma independente, e reavaliados por apenas um desses examinadores ap\u00f3s uma semana (teste/reteste). Uma amostra de 164 pacientes foi examinada e os valores de kappa para concord\u00e2ncia em cada um dos itens da MIF variaram entre dois observadores de 0,50 (alimenta\u00e7\u00e3o) a 0,64 (controle da urina) e no teste/ reteste entre 0,61 (vestir abaixo da cintura) a 0,77 (transfer\u00eancia para o vaso sanit\u00e1rio). As subescalas da MIF apresentaram no teste/reteste boa correla\u00e7\u00e3o (Pearson: 0,91 \u2013 0,98; ICC: 0,91 \u2013 0,98); a reprodutibilidade interobservadores tamb\u00e9m foi boa (Pearson: 0,87 \u2013 0,98; ICC: 0,87 \u2013 0,98). An\u00e1lise de vari\u00e2ncia mostra boa concord\u00e2ncia entre as m\u00e9dias dos resultados de dois avaliadores na primeira avalia\u00e7\u00e3o e na medida ap\u00f3s uma semana. Conclu\u00edmos que a vers\u00e3o brasileira da MIF tem boa equival\u00eancia cultural e boa reprodutibilidade. UNITERMOS Medida de independ\u00eancia funcional; reprodutibilidade; equival\u00eancia cultural; avalia\u00e7\u00e3o funcional; tradu\u00e7\u00e3o. SUMMARY A Brazilian version of Functional Independence Measure (FIM) was developed in a translation process to Brazilian Portuguese by a bilingual medical team and a professional translator, followed by a reverse translation to English by an independent traslator. No problems of cultural equivalence were identified in the resultant version when it was presented to a group of 25 clinicians trained in its use. Eight rehabilitation centers participated in the gathering of data for the study of reproductibility. Two independent observers evaluated, between December 1999 and January 2000, all adult stroke patients with more than 4 months of impairment onset at the same day and only one of these clinicians repeated the obse\u2026", "author" : [ { "dropping-particle" : "", "family" : "Riberto", "given" : "Marcelo", "non-dropping-particle" : "", "parse-names" : false, "suffix" : "" }, { "dropping-particle" : "", "family" : "Miyazaki", "given" : "MH", "non-dropping-particle" : "", "parse-names" : false, "suffix" : "" }, { "dropping-particle" : "", "family" : "Jorge Filho", "given" : "Donaldo", "non-dropping-particle" : "", "parse-names" : false, "suffix" : "" }, { "dropping-particle" : "", "family" : "Sakamoto", "given" : "Hatsue", "non-dropping-particle" : "", "parse-names" : false, "suffix" : "" }, { "dropping-particle" : "", "family" : "Battistella", "given" : "Linamara Rizzo", "non-dropping-particle" : "", "parse-names" : false, "suffix" : "" } ], "container-title" : "Acta Fisi\u00e1trica", "id" : "ITEM-1", "issue" : "1", "issued" : { "date-parts" : [ [ "2001" ] ] }, "page" : "45-52", "title" : "Reprodutibilidade da vers\u00e4o brasileira da Medida de Independ\u00eancia Funcional", "type" : "article-journal", "volume" : "8" }, "uris" : [ "http://www.mendeley.com/documents/?uuid=894281fc-eb9a-4c2e-ab36-2df779479288" ] }, { "id" : "ITEM-2", "itemData" : { "author" : [ { "dropping-particle" : "", "family" : "Barbetta DC", "given" : "Assis MR.", "non-dropping-particle" : "", "parse-names" : false, "suffix" : "" } ], "container-title" : "Acta Fisi\u00e1trica", "id" : "ITEM-2", "issue" : "3", "issued" : { "date-parts" : [ [ "2008" ] ] }, "page" : "176-181", "title" : "Reprodutivbilidade, validade e responsividade da escala de Medida de Independ\u00eancia Funcional (MIF) na les\u00e3o medular: revis\u00e3o da literatura", "type" : "article-journal", "volume" : "15" }, "uris" : [ "http://www.mendeley.com/documents/?uuid=01817c5e-c5c8-4739-8569-900a390c48ac" ] } ], "mendeley" : { "formattedCitation" : "&lt;sup&gt;62,75&lt;/sup&gt;", "plainTextFormattedCitation" : "62,75", "previouslyFormattedCitation" : "&lt;sup&gt;62,75&lt;/sup&gt;" }, "properties" : { "noteIndex" : 0 }, "schema" : "https://github.com/citation-style-language/schema/raw/master/csl-citation.json" }</w:instrText>
      </w:r>
      <w:r>
        <w:rPr>
          <w:rFonts w:ascii="Arial" w:hAnsi="Arial" w:cs="Arial"/>
          <w:sz w:val="24"/>
        </w:rPr>
        <w:fldChar w:fldCharType="separate"/>
      </w:r>
      <w:r w:rsidR="00412B48" w:rsidRPr="00412B48">
        <w:rPr>
          <w:rFonts w:ascii="Arial" w:hAnsi="Arial" w:cs="Arial"/>
          <w:noProof/>
          <w:sz w:val="24"/>
          <w:vertAlign w:val="superscript"/>
        </w:rPr>
        <w:t>62,75</w:t>
      </w:r>
      <w:r>
        <w:rPr>
          <w:rFonts w:ascii="Arial" w:hAnsi="Arial" w:cs="Arial"/>
          <w:sz w:val="24"/>
        </w:rPr>
        <w:fldChar w:fldCharType="end"/>
      </w:r>
      <w:r w:rsidR="00F26EF2">
        <w:rPr>
          <w:rFonts w:ascii="Arial" w:hAnsi="Arial" w:cs="Arial"/>
          <w:sz w:val="24"/>
        </w:rPr>
        <w:t xml:space="preserve"> </w:t>
      </w:r>
      <w:r w:rsidRPr="00DB136A">
        <w:rPr>
          <w:rFonts w:ascii="Arial" w:hAnsi="Arial" w:cs="Arial"/>
          <w:sz w:val="24"/>
        </w:rPr>
        <w:t>A validação da versão brasileira compreendeu a aplicação d</w:t>
      </w:r>
      <w:r w:rsidR="00494CE2">
        <w:rPr>
          <w:rFonts w:ascii="Arial" w:hAnsi="Arial" w:cs="Arial"/>
          <w:sz w:val="24"/>
        </w:rPr>
        <w:t>es</w:t>
      </w:r>
      <w:r w:rsidR="00F506F3">
        <w:rPr>
          <w:rFonts w:ascii="Arial" w:hAnsi="Arial" w:cs="Arial"/>
          <w:sz w:val="24"/>
        </w:rPr>
        <w:t>t</w:t>
      </w:r>
      <w:r w:rsidR="00494CE2">
        <w:rPr>
          <w:rFonts w:ascii="Arial" w:hAnsi="Arial" w:cs="Arial"/>
          <w:sz w:val="24"/>
        </w:rPr>
        <w:t>e</w:t>
      </w:r>
      <w:r w:rsidRPr="00DB136A">
        <w:rPr>
          <w:rFonts w:ascii="Arial" w:hAnsi="Arial" w:cs="Arial"/>
          <w:sz w:val="24"/>
        </w:rPr>
        <w:t xml:space="preserve"> instrumento através de entrevista e observação junto a paciente</w:t>
      </w:r>
      <w:r>
        <w:rPr>
          <w:rFonts w:ascii="Arial" w:hAnsi="Arial" w:cs="Arial"/>
          <w:sz w:val="24"/>
        </w:rPr>
        <w:t>s em processo de reabilitação ambulatorial, sendo es</w:t>
      </w:r>
      <w:r w:rsidR="00494CE2">
        <w:rPr>
          <w:rFonts w:ascii="Arial" w:hAnsi="Arial" w:cs="Arial"/>
          <w:sz w:val="24"/>
        </w:rPr>
        <w:t>s</w:t>
      </w:r>
      <w:r>
        <w:rPr>
          <w:rFonts w:ascii="Arial" w:hAnsi="Arial" w:cs="Arial"/>
          <w:sz w:val="24"/>
        </w:rPr>
        <w:t>a versão considerada com boa equivalência cultural, boa reprodutibilidade e confiabilidade</w:t>
      </w:r>
      <w:r w:rsidR="007B13BA">
        <w:rPr>
          <w:rFonts w:ascii="Arial" w:hAnsi="Arial" w:cs="Arial"/>
          <w:sz w:val="24"/>
        </w:rPr>
        <w:t>.</w:t>
      </w:r>
      <w:r>
        <w:rPr>
          <w:rFonts w:ascii="Arial" w:hAnsi="Arial" w:cs="Arial"/>
          <w:sz w:val="24"/>
        </w:rPr>
        <w:fldChar w:fldCharType="begin" w:fldLock="1"/>
      </w:r>
      <w:r w:rsidR="00195481">
        <w:rPr>
          <w:rFonts w:ascii="Arial" w:hAnsi="Arial" w:cs="Arial"/>
          <w:sz w:val="24"/>
        </w:rPr>
        <w:instrText>ADDIN CSL_CITATION { "citationItems" : [ { "id" : "ITEM-1", "itemData" : { "DOI" : "10.5935/0104-7795.20040003", "ISBN" : "1466-609X; 1364-8535", "ISSN" : "0104-7795", "PMID" : "20738852", "abstract" : "RESUMO A vers\u00e3o brasileira da Medida de Independ\u00eancia Funcional (MIF) foi desenvolvida por meio de um processo de tradu\u00e7\u00e3o para o portugu\u00eas do Brasil por equipe m\u00e9dica bil\u00edng\u00fce familiarizada com o instrumento e tradutor profissional, seguido de tradu\u00e7\u00e3o reversa para o ingl\u00eas por tradutor independente. N\u00e3o foram identificados problemas de equival\u00eancia cultural quando a vers\u00e3o obtida foi apresentada a um conjunto de 25 profissionais de sa\u00fade treinados no seu uso. Oito centros de reabilita\u00e7\u00e3o participaram da capta\u00e7\u00e3o de dados para a obten\u00e7\u00e3o de medidas de reprodutibilidade. Todos os pacientes adultos com hist\u00f3ria de pelo menos 4 meses de acidente vascular cerebral, consultados no per\u00edodo entre dezembro de 1999 e janeiro de 2000, foram avaliados por dois avaliadores treinados na aplica\u00e7\u00e3o da MIF, de forma independente, e reavaliados por apenas um desses examinadores ap\u00f3s uma semana (teste/reteste). Uma amostra de 164 pacientes foi examinada e os valores de kappa para concord\u00e2ncia em cada um dos itens da MIF variaram entre dois observadores de 0,50 (alimenta\u00e7\u00e3o) a 0,64 (controle da urina) e no teste/ reteste entre 0,61 (vestir abaixo da cintura) a 0,77 (transfer\u00eancia para o vaso sanit\u00e1rio). As subescalas da MIF apresentaram no teste/reteste boa correla\u00e7\u00e3o (Pearson: 0,91 \u2013 0,98; ICC: 0,91 \u2013 0,98); a reprodutibilidade interobservadores tamb\u00e9m foi boa (Pearson: 0,87 \u2013 0,98; ICC: 0,87 \u2013 0,98). An\u00e1lise de vari\u00e2ncia mostra boa concord\u00e2ncia entre as m\u00e9dias dos resultados de dois avaliadores na primeira avalia\u00e7\u00e3o e na medida ap\u00f3s uma semana. Conclu\u00edmos que a vers\u00e3o brasileira da MIF tem boa equival\u00eancia cultural e boa reprodutibilidade. UNITERMOS Medida de independ\u00eancia funcional; reprodutibilidade; equival\u00eancia cultural; avalia\u00e7\u00e3o funcional; tradu\u00e7\u00e3o. SUMMARY A Brazilian version of Functional Independence Measure (FIM) was developed in a translation process to Brazilian Portuguese by a bilingual medical team and a professional translator, followed by a reverse translation to English by an independent traslator. No problems of cultural equivalence were identified in the resultant version when it was presented to a group of 25 clinicians trained in its use. Eight rehabilitation centers participated in the gathering of data for the study of reproductibility. Two independent observers evaluated, between December 1999 and January 2000, all adult stroke patients with more than 4 months of impairment onset at the same day and only one of these clinicians repeated the obse\u2026", "author" : [ { "dropping-particle" : "", "family" : "Riberto", "given" : "Marcelo", "non-dropping-particle" : "", "parse-names" : false, "suffix" : "" }, { "dropping-particle" : "", "family" : "Miyazaki", "given" : "MH", "non-dropping-particle" : "", "parse-names" : false, "suffix" : "" }, { "dropping-particle" : "", "family" : "Jorge Filho", "given" : "Donaldo", "non-dropping-particle" : "", "parse-names" : false, "suffix" : "" }, { "dropping-particle" : "", "family" : "Sakamoto", "given" : "Hatsue", "non-dropping-particle" : "", "parse-names" : false, "suffix" : "" }, { "dropping-particle" : "", "family" : "Battistella", "given" : "Linamara Rizzo", "non-dropping-particle" : "", "parse-names" : false, "suffix" : "" } ], "container-title" : "Acta Fisi\u00e1trica", "id" : "ITEM-1", "issue" : "1", "issued" : { "date-parts" : [ [ "2001" ] ] }, "page" : "45-52", "title" : "Reprodutibilidade da vers\u00e4o brasileira da Medida de Independ\u00eancia Funcional", "type" : "article-journal", "volume" : "8" }, "uris" : [ "http://www.mendeley.com/documents/?uuid=894281fc-eb9a-4c2e-ab36-2df779479288" ] }, { "id" : "ITEM-2", "itemData" : { "DOI" : "10.5935/0104-7795.20040003", "ISBN" : "1466-609X; 1364-8535", "ISSN" : "0104-7795", "PMID" : "20738852", "abstract" : "A vers\u00e3o brasileira de Medida de Independ\u00eancia Funcional (MIF) foi desenvolvida em 2000. Estudos de sua validade ainda s\u00e3o necess\u00e1rios como forma de corroborar seu uso na avalia\u00e7\u00e3o da reabilita\u00e7\u00e3o de brasileiros incapacitados, uma vez que peculiaridades socioculturais nacionais podem determinar um comportamento diverso dos dados fornecidos pelo instrumento. Objetivos: O objetivo deste estudo \u00e9 testar a validade de construto da MIF ao checar a validade convergente em grupos de pacientes com defici\u00eancias nas quais se esperam estar presentes graus espec\u00edficos de incapacidade. M\u00e9todo: Prontu\u00e1rios m\u00e9dicos de 150 pacientes com les\u00e3o medular (LM) e 103 pacientes com les\u00f5es encef\u00e1licas (LE) de dois centros de reabilita\u00e7\u00e3o da cidade de S\u00e3o Paulo forneceram dados a respeito de caracter\u00edsticas biodemogr\u00e1ficas, cl\u00ednicas e funcionais. O grau de incapacidade foi avaliado pela MIF. Os pacientes com LM foram classificados de acordo com o n\u00edvel de acometimento medular, como cervicais, tor\u00e1cicos ou lombares e abaixo. Pacientes com LE foram classificados conforme o dim\u00eddio mais comprometido como direito, esquerdo ou bilaterais. A sensibilidade da MIF foi testada em 93 pacientes com LE e 59 com LM por meio da compara\u00e7\u00e3o dos valores da MIF total, cognitiva e motora de admiss\u00e3o e alta. Resultados: entre os pacientes com LM pudemos demonstrar uma clara associa\u00e7\u00e3o entre o n\u00edvel de incapacidade e a MIF motora (cervical = 34.4 \u00b1 25.2, tor\u00e1cica = 51.6 \u00b1 19.5, lombar = 67.5 \u00b1 18.6; p &lt; 0.001). A MIF cognitiva apresentou um efeito teto entre os pacientes com les\u00e3o medular (85% dos pacientes tinham MIFc no valor mais alto poss\u00edvel), por outro lado, entre os pacientes com LE, isso n\u00e3o pode ser observado e houve uma associa\u00e7\u00e3o entre o valor obtido na MIFc e o lado envolvido, sendo os pacientes com envolvimento do hemicorpo esquerdo aqueles menos dependente em termos cognitivos. Houve mudan\u00e7a estatisticamente significante durante o tratamento, como pode ser observado pela varia\u00e7\u00e3o da MIFm em pacientes com LM e LE (44.5 \u00b1 24.1x 61.0 \u00b1 23.8; p &lt; 0.001 e 54.1 \u00b1 23.0 x 64.7 \u00b1 21.3; p &lt;0.001). O mesmo pode ser observado em pacientes com LE com comprometimento a esquerda e \u00e0 direita, mas n\u00e3o quando o comprometimento era bilateral. Conclus\u00e3o: a validade convergente da vers\u00e3o brasileira da MIF pode ser observada para as tarefas motoras tanto em pacientes com LM como LE. A MIFc mostrou-se de pouca utilidade entre os pacientes com LM cr\u00f4nico sob reabilita\u00e7\u00e3o ambulatorial, apesar de a associa\u00e7\u00e3o \u2026", "author" : [ { "dropping-particle" : "", "family" : "Riberto", "given" : "Marcelo", "non-dropping-particle" : "", "parse-names" : false, "suffix" : "" }, { "dropping-particle" : "", "family" : "Miyazaki", "given" : "Margarida H", "non-dropping-particle" : "", "parse-names" : false, "suffix" : "" }, { "dropping-particle" : "", "family" : "Juc\u00e1", "given" : "Sueli S H", "non-dropping-particle" : "", "parse-names" : false, "suffix" : "" }, { "dropping-particle" : "", "family" : "Sakamoto", "given" : "Hatsue", "non-dropping-particle" : "", "parse-names" : false, "suffix" : "" }, { "dropping-particle" : "", "family" : "Potiguara", "given" : "Paulo", "non-dropping-particle" : "", "parse-names" : false, "suffix" : "" }, { "dropping-particle" : "", "family" : "Pinto", "given" : "Novazzi", "non-dropping-particle" : "", "parse-names" : false, "suffix" : "" }, { "dropping-particle" : "", "family" : "Battistella", "given" : "Linamara R", "non-dropping-particle" : "", "parse-names" : false, "suffix" : "" } ], "container-title" : "Acta Fisiatrica", "id" : "ITEM-2", "issue" : "2", "issued" : { "date-parts" : [ [ "2004" ] ] }, "page" : "72-76", "title" : "Valida\u00e7\u00e3o da Vers\u00e3o Brasileira da Medida de Independ\u00eancia Funcional Validation of the Brazilian version of Functional Independence Measure", "type" : "article-journal", "volume" : "11" }, "uris" : [ "http://www.mendeley.com/documents/?uuid=645f3fd7-d546-43cf-8d35-39d344460b05" ] } ], "mendeley" : { "formattedCitation" : "&lt;sup&gt;61,62&lt;/sup&gt;", "plainTextFormattedCitation" : "61,62", "previouslyFormattedCitation" : "&lt;sup&gt;61,62&lt;/sup&gt;" }, "properties" : { "noteIndex" : 0 }, "schema" : "https://github.com/citation-style-language/schema/raw/master/csl-citation.json" }</w:instrText>
      </w:r>
      <w:r>
        <w:rPr>
          <w:rFonts w:ascii="Arial" w:hAnsi="Arial" w:cs="Arial"/>
          <w:sz w:val="24"/>
        </w:rPr>
        <w:fldChar w:fldCharType="separate"/>
      </w:r>
      <w:r w:rsidR="00412B48" w:rsidRPr="00412B48">
        <w:rPr>
          <w:rFonts w:ascii="Arial" w:hAnsi="Arial" w:cs="Arial"/>
          <w:noProof/>
          <w:sz w:val="24"/>
          <w:vertAlign w:val="superscript"/>
        </w:rPr>
        <w:t>61,62</w:t>
      </w:r>
      <w:r>
        <w:rPr>
          <w:rFonts w:ascii="Arial" w:hAnsi="Arial" w:cs="Arial"/>
          <w:sz w:val="24"/>
        </w:rPr>
        <w:fldChar w:fldCharType="end"/>
      </w:r>
      <w:r w:rsidR="00B350EF">
        <w:rPr>
          <w:rFonts w:ascii="Arial" w:hAnsi="Arial" w:cs="Arial"/>
          <w:sz w:val="24"/>
        </w:rPr>
        <w:t xml:space="preserve"> </w:t>
      </w:r>
      <w:r w:rsidR="00E90251">
        <w:rPr>
          <w:rFonts w:ascii="Arial" w:hAnsi="Arial" w:cs="Arial"/>
          <w:sz w:val="24"/>
        </w:rPr>
        <w:t>A aplicação</w:t>
      </w:r>
      <w:r>
        <w:rPr>
          <w:rFonts w:ascii="Arial" w:hAnsi="Arial" w:cs="Arial"/>
          <w:sz w:val="24"/>
        </w:rPr>
        <w:t xml:space="preserve"> da MIF não está restrita</w:t>
      </w:r>
      <w:r w:rsidR="00494CE2">
        <w:rPr>
          <w:rFonts w:ascii="Arial" w:hAnsi="Arial" w:cs="Arial"/>
          <w:sz w:val="24"/>
        </w:rPr>
        <w:t>, portanto,</w:t>
      </w:r>
      <w:r>
        <w:rPr>
          <w:rFonts w:ascii="Arial" w:hAnsi="Arial" w:cs="Arial"/>
          <w:sz w:val="24"/>
        </w:rPr>
        <w:t xml:space="preserve"> a indivíduos com lesão medular</w:t>
      </w:r>
      <w:r w:rsidR="00E90251">
        <w:rPr>
          <w:rFonts w:ascii="Arial" w:hAnsi="Arial" w:cs="Arial"/>
          <w:sz w:val="24"/>
        </w:rPr>
        <w:t>. Conforme evidenciado em diferentes estudos, o referido questionário pode ser aplicado como ferramenta de avaliação funcional a outros grupos populacionais</w:t>
      </w:r>
      <w:r w:rsidR="00C62047">
        <w:rPr>
          <w:rFonts w:ascii="Arial" w:hAnsi="Arial" w:cs="Arial"/>
          <w:sz w:val="24"/>
        </w:rPr>
        <w:t>.</w:t>
      </w:r>
      <w:r>
        <w:rPr>
          <w:rFonts w:ascii="Arial" w:hAnsi="Arial" w:cs="Arial"/>
          <w:sz w:val="24"/>
        </w:rPr>
        <w:fldChar w:fldCharType="begin" w:fldLock="1"/>
      </w:r>
      <w:r w:rsidR="00195481">
        <w:rPr>
          <w:rFonts w:ascii="Arial" w:hAnsi="Arial" w:cs="Arial"/>
          <w:sz w:val="24"/>
        </w:rPr>
        <w:instrText>ADDIN CSL_CITATION { "citationItems" : [ { "id" : "ITEM-1", "itemData" : { "DOI" : "10.5935/0103-507X.20130019", "ISSN" : "0103507X", "PMID" : "23917973", "abstract" : "OBJECTIVE: 1) To evaluate the functional independence measures immediately after discharge from an intensive care unit and to compare these values with the FIMs 30 days after that period. 2) To evaluate the possible associated risk factors.\\n\\nMETHODS: The present investigation was a prospective cohort study that included individuals who were discharged from the intensive care unit and underwent physiotherapy in the unit. Functional independence was evaluated using the functional independence measure immediately upon discharge from the intensive care unit and 30 days thereafter via a phone call. The patients were admitted to the Hospital Santa Clara intensive care unit during the period from May 2011 to August 2011.\\n\\nRESULTS: During the predetermined period of data collection, 44 patients met the criteria for inclusion in the study. The mean age of the patients was 55.4\u00b110.5 years. Twenty-seven of the subjects were female, and 15 patients were admitted due to pulmonary disease. The patients exhibited an functional independence measure of 84.1\u00b124.2. When this measure was compared to the measure at 30 days after discharge, there was improvement across the functional independence variables except for that concerned with sphincter control. There were no significant differences when comparing the gender, age, clinical diagnosis, length of stay in the intensive care unit, duration of mechanical ventilation, and the presence of sepsis during this period.\\n\\nCONCLUSION: Functional independence, as evaluated by the functional independence measure scale, was improved at 30 days after discharge from the intensive care unit, but it was not possible to define the potentially related factors.", "author" : [ { "dropping-particle" : "", "family" : "Curzel", "given" : "Juliane", "non-dropping-particle" : "", "parse-names" : false, "suffix" : "" }, { "dropping-particle" : "", "family" : "Forgiarini Junior", "given" : "Luiz Alberto", "non-dropping-particle" : "", "parse-names" : false, "suffix" : "" }, { "dropping-particle" : "", "family" : "Rieder", "given" : "Marcelo de Mello", "non-dropping-particle" : "", "parse-names" : false, "suffix" : "" } ], "container-title" : "Revista Brasileira de Terapia Intensiva", "id" : "ITEM-1", "issue" : "2", "issued" : { "date-parts" : [ [ "2013" ] ] }, "page" : "93-98", "title" : "Evaluation of functional independence after discharge from the intensive care unit", "type" : "article-journal", "volume" : "25" }, "uris" : [ "http://www.mendeley.com/documents/?uuid=6de1ac0f-2c80-4882-a5cd-8d07b5ad6b73" ] }, { "id" : "ITEM-2", "itemData" : { "DOI" : "10.1590/S0080-623420150000500007", "ISSN" : "0080-6234", "PMID" : "26516744", "abstract" : "OBJECTIVEOf this study were to evaluate the functional independence of patients with intermittent claudication and to verify its association with sociodemographic and clinical variables, walking ability and physical activity level.METHODThis was a descriptive, exploratory, cross-sectional study with a quantitative approach. Fifty participants (66.4 years; 68% male) were recruited from Claudication Unit of a tertiary hospital. Functional Independence Measure were used to evaluate functional incapacity; the Baltimore Activity Scale, to estimate the physical activity level and the Walking Impairement Questionnaire, the walking ability.RESULTSParticipants had complete functional independence (124.8 + 2.0), low levels of physical activity (4.2 + 2.0), and impairment of walking ability; the worst performance was found in walking velocity domain (21.2 + 16.4). The functional independence score was associated with physical activity (r=0,402) and walking ability scores (distance, r=0,485; speed, r=0,463; stairs, r=0,337).CONCLUSIONIn conclusion, the level of functionality is associated with functional capacity in these patients.", "author" : [ { "dropping-particle" : "de", "family" : "Assis", "given" : "Caroline Shihara", "non-dropping-particle" : "", "parse-names" : false, "suffix" : "" }, { "dropping-particle" : "", "family" : "Batista", "given" : "Let\u00edcia de Carvalho", "non-dropping-particle" : "", "parse-names" : false, "suffix" : "" }, { "dropping-particle" : "", "family" : "Wolosker", "given" : "Nelson", "non-dropping-particle" : "", "parse-names" : false, "suffix" : "" }, { "dropping-particle" : "", "family" : "Zerati", "given" : "Antonio Eduardo", "non-dropping-particle" : "", "parse-names" : false, "suffix" : "" }, { "dropping-particle" : "", "family" : "Silva", "given" : "Rita de Cassia Gengo", "non-dropping-particle" : "", "parse-names" : false, "suffix" : "" } ], "container-title" : "Revista da Escola de Enfermagem da USP", "id" : "ITEM-2", "issue" : "5", "issued" : { "date-parts" : [ [ "2015" ] ] }, "page" : "756-61", "title" : "Functional independence measure in patients with intermittent claudication.", "type" : "article-journal", "volume" : "49" }, "uris" : [ "http://www.mendeley.com/documents/?uuid=1e6246df-5e94-44ff-84e8-80507fd75a1e" ] }, { "id" : "ITEM-3", "itemData" : { "DOI" : "10.1590/S0080-623420150000100012", "ISSN" : "0080-6234", "PMID" : "25789647", "abstract" : "Objective: To investigate the socioeconomic and clinical factors that\\ncontribute to the functional independence of the oldest old of a\\ncommunity. Method: Cross-sectional quantitative study whose sample\\nconsisted of 214 elderly people registered in Basic Health Units. Data\\nwere collected through structured interviews and application of the\\nFunctional Independence Measure. We used descriptive statistics, and for\\nassociation of the variables we used the Student t-test, ANOVA and\\nTukey's test for multiple comparisons. Results: The significant\\nvariables that contributed to the functional independence were remaining\\neconomically active, practicing physical and leisure activities, having\\na social life, eating fruits, vegetables and meat. The orientation to\\nconduct these practices reduces the demand for care and help needed in\\neveryday activities. Conclusion: Maintaining independence is primordial\\nto delay disability and presents itself as an excellent field of work\\nfor nursing.", "author" : [ { "dropping-particle" : "", "family" : "Ribeiro", "given" : "D\u00e2marys Kohlbeck de Melo", "non-dropping-particle" : "", "parse-names" : false, "suffix" : "" }, { "dropping-particle" : "", "family" : "Lenardt", "given" : "Maria Helena", "non-dropping-particle" : "", "parse-names" : false, "suffix" : "" }, { "dropping-particle" : "", "family" : "Michel", "given" : "Tatiane", "non-dropping-particle" : "", "parse-names" : false, "suffix" : "" }, { "dropping-particle" : "", "family" : "Setoguchi", "given" : "Larissa Sayuri", "non-dropping-particle" : "", "parse-names" : false, "suffix" : "" }, { "dropping-particle" : "", "family" : "Grden", "given" : "Cloris Regina Blanski", "non-dropping-particle" : "", "parse-names" : false, "suffix" : "" }, { "dropping-particle" : "", "family" : "Oliveira", "given" : "Edinaldo Silva", "non-dropping-particle" : "", "parse-names" : false, "suffix" : "" } ], "container-title" : "Revista Da Escola De Enfermagem Da USP", "id" : "ITEM-3", "issue" : "1", "issued" : { "date-parts" : [ [ "2015" ] ] }, "page" : "89-95", "title" : "Contributory factors for the functional independence of oldest old", "type" : "article-journal", "volume" : "49" }, "uris" : [ "http://www.mendeley.com/documents/?uuid=12dc4672-dd74-41af-b2b5-ee9caee0319e" ] } ], "mendeley" : { "formattedCitation" : "&lt;sup&gt;63,77,78&lt;/sup&gt;", "plainTextFormattedCitation" : "63,77,78", "previouslyFormattedCitation" : "&lt;sup&gt;63,77,78&lt;/sup&gt;" }, "properties" : { "noteIndex" : 0 }, "schema" : "https://github.com/citation-style-language/schema/raw/master/csl-citation.json" }</w:instrText>
      </w:r>
      <w:r>
        <w:rPr>
          <w:rFonts w:ascii="Arial" w:hAnsi="Arial" w:cs="Arial"/>
          <w:sz w:val="24"/>
        </w:rPr>
        <w:fldChar w:fldCharType="separate"/>
      </w:r>
      <w:r w:rsidR="00412B48" w:rsidRPr="00412B48">
        <w:rPr>
          <w:rFonts w:ascii="Arial" w:hAnsi="Arial" w:cs="Arial"/>
          <w:noProof/>
          <w:sz w:val="24"/>
          <w:vertAlign w:val="superscript"/>
        </w:rPr>
        <w:t>63,77,78</w:t>
      </w:r>
      <w:r>
        <w:rPr>
          <w:rFonts w:ascii="Arial" w:hAnsi="Arial" w:cs="Arial"/>
          <w:sz w:val="24"/>
        </w:rPr>
        <w:fldChar w:fldCharType="end"/>
      </w:r>
    </w:p>
    <w:p w:rsidR="00A62F69" w:rsidRDefault="00A62F69" w:rsidP="00491682">
      <w:pPr>
        <w:spacing w:after="0" w:line="360" w:lineRule="auto"/>
        <w:jc w:val="both"/>
        <w:rPr>
          <w:rFonts w:ascii="Arial" w:hAnsi="Arial" w:cs="Arial"/>
          <w:sz w:val="24"/>
        </w:rPr>
      </w:pPr>
    </w:p>
    <w:p w:rsidR="00EB34BF" w:rsidRDefault="009B2B67" w:rsidP="00491682">
      <w:pPr>
        <w:spacing w:after="0" w:line="360" w:lineRule="auto"/>
        <w:jc w:val="both"/>
        <w:rPr>
          <w:rFonts w:ascii="Arial" w:hAnsi="Arial" w:cs="Arial"/>
          <w:sz w:val="24"/>
        </w:rPr>
      </w:pPr>
      <w:r>
        <w:rPr>
          <w:rFonts w:ascii="Arial" w:hAnsi="Arial" w:cs="Arial"/>
          <w:sz w:val="24"/>
        </w:rPr>
        <w:t xml:space="preserve">Os itens que compõem a escala MIF (18 itens) encontram-se agrupados em dois domínios: motor e cognitivo. </w:t>
      </w:r>
      <w:r w:rsidR="007B13BA">
        <w:rPr>
          <w:rFonts w:ascii="Arial" w:hAnsi="Arial" w:cs="Arial"/>
          <w:sz w:val="24"/>
        </w:rPr>
        <w:t xml:space="preserve">O domínio motor abrange </w:t>
      </w:r>
      <w:r w:rsidR="00EB34BF">
        <w:rPr>
          <w:rFonts w:ascii="Arial" w:hAnsi="Arial" w:cs="Arial"/>
          <w:sz w:val="24"/>
        </w:rPr>
        <w:t>atividades relacionadas ao autocuidado, controle de esfíncteres, transferência</w:t>
      </w:r>
      <w:r w:rsidR="00497DEB">
        <w:rPr>
          <w:rFonts w:ascii="Arial" w:hAnsi="Arial" w:cs="Arial"/>
          <w:sz w:val="24"/>
        </w:rPr>
        <w:t>s</w:t>
      </w:r>
      <w:r w:rsidR="00EB34BF">
        <w:rPr>
          <w:rFonts w:ascii="Arial" w:hAnsi="Arial" w:cs="Arial"/>
          <w:sz w:val="24"/>
        </w:rPr>
        <w:t xml:space="preserve"> e locomoção</w:t>
      </w:r>
      <w:r>
        <w:rPr>
          <w:rFonts w:ascii="Arial" w:hAnsi="Arial" w:cs="Arial"/>
          <w:sz w:val="24"/>
        </w:rPr>
        <w:t>; e</w:t>
      </w:r>
      <w:r w:rsidR="007B13BA">
        <w:rPr>
          <w:rFonts w:ascii="Arial" w:hAnsi="Arial" w:cs="Arial"/>
          <w:sz w:val="24"/>
        </w:rPr>
        <w:t xml:space="preserve"> o domínio cognitivo é composto por variáveis relacionadas à </w:t>
      </w:r>
      <w:r w:rsidR="00EB34BF">
        <w:rPr>
          <w:rFonts w:ascii="Arial" w:hAnsi="Arial" w:cs="Arial"/>
          <w:sz w:val="24"/>
        </w:rPr>
        <w:t>comunicação e cognição</w:t>
      </w:r>
      <w:r w:rsidR="00195014">
        <w:rPr>
          <w:rFonts w:ascii="Arial" w:hAnsi="Arial" w:cs="Arial"/>
          <w:sz w:val="24"/>
        </w:rPr>
        <w:t xml:space="preserve"> social</w:t>
      </w:r>
      <w:r w:rsidR="00EB34BF">
        <w:rPr>
          <w:rFonts w:ascii="Arial" w:hAnsi="Arial" w:cs="Arial"/>
          <w:sz w:val="24"/>
        </w:rPr>
        <w:t>.</w:t>
      </w:r>
      <w:r w:rsidR="00B350EF">
        <w:rPr>
          <w:rFonts w:ascii="Arial" w:hAnsi="Arial" w:cs="Arial"/>
          <w:sz w:val="24"/>
        </w:rPr>
        <w:t xml:space="preserve"> </w:t>
      </w:r>
      <w:r>
        <w:rPr>
          <w:rFonts w:ascii="Arial" w:hAnsi="Arial" w:cs="Arial"/>
          <w:sz w:val="24"/>
        </w:rPr>
        <w:t>A pontuação de cada um dos itens do instrumento MIF pode variar de 1 a 7</w:t>
      </w:r>
      <w:r w:rsidR="00B83AB5">
        <w:rPr>
          <w:rFonts w:ascii="Arial" w:hAnsi="Arial" w:cs="Arial"/>
          <w:sz w:val="24"/>
        </w:rPr>
        <w:t>;</w:t>
      </w:r>
      <w:r>
        <w:rPr>
          <w:rFonts w:ascii="Arial" w:hAnsi="Arial" w:cs="Arial"/>
          <w:sz w:val="24"/>
        </w:rPr>
        <w:t xml:space="preserve"> </w:t>
      </w:r>
      <w:r w:rsidR="00EB34BF">
        <w:rPr>
          <w:rFonts w:ascii="Arial" w:hAnsi="Arial" w:cs="Arial"/>
          <w:sz w:val="24"/>
        </w:rPr>
        <w:t>1 corresponde à dependência total e 7 à independência completa</w:t>
      </w:r>
      <w:r>
        <w:rPr>
          <w:rFonts w:ascii="Arial" w:hAnsi="Arial" w:cs="Arial"/>
          <w:sz w:val="24"/>
        </w:rPr>
        <w:t xml:space="preserve">. O escore </w:t>
      </w:r>
      <w:r w:rsidR="00EB34BF">
        <w:rPr>
          <w:rFonts w:ascii="Arial" w:hAnsi="Arial" w:cs="Arial"/>
          <w:sz w:val="24"/>
        </w:rPr>
        <w:t>total mínimo</w:t>
      </w:r>
      <w:r>
        <w:rPr>
          <w:rFonts w:ascii="Arial" w:hAnsi="Arial" w:cs="Arial"/>
          <w:sz w:val="24"/>
        </w:rPr>
        <w:t xml:space="preserve"> deste instrumento</w:t>
      </w:r>
      <w:r w:rsidR="00EB34BF">
        <w:rPr>
          <w:rFonts w:ascii="Arial" w:hAnsi="Arial" w:cs="Arial"/>
          <w:sz w:val="24"/>
        </w:rPr>
        <w:t xml:space="preserve"> </w:t>
      </w:r>
      <w:r>
        <w:rPr>
          <w:rFonts w:ascii="Arial" w:hAnsi="Arial" w:cs="Arial"/>
          <w:sz w:val="24"/>
        </w:rPr>
        <w:t xml:space="preserve">é </w:t>
      </w:r>
      <w:r w:rsidR="00EB34BF">
        <w:rPr>
          <w:rFonts w:ascii="Arial" w:hAnsi="Arial" w:cs="Arial"/>
          <w:sz w:val="24"/>
        </w:rPr>
        <w:t>de 1</w:t>
      </w:r>
      <w:r w:rsidR="00E47364">
        <w:rPr>
          <w:rFonts w:ascii="Arial" w:hAnsi="Arial" w:cs="Arial"/>
          <w:sz w:val="24"/>
        </w:rPr>
        <w:t>8 pontos</w:t>
      </w:r>
      <w:r>
        <w:rPr>
          <w:rFonts w:ascii="Arial" w:hAnsi="Arial" w:cs="Arial"/>
          <w:sz w:val="24"/>
        </w:rPr>
        <w:t>;</w:t>
      </w:r>
      <w:r w:rsidR="00E47364">
        <w:rPr>
          <w:rFonts w:ascii="Arial" w:hAnsi="Arial" w:cs="Arial"/>
          <w:sz w:val="24"/>
        </w:rPr>
        <w:t xml:space="preserve"> e </w:t>
      </w:r>
      <w:r>
        <w:rPr>
          <w:rFonts w:ascii="Arial" w:hAnsi="Arial" w:cs="Arial"/>
          <w:sz w:val="24"/>
        </w:rPr>
        <w:t>o máximo de 126</w:t>
      </w:r>
      <w:r w:rsidR="00E47364">
        <w:rPr>
          <w:rFonts w:ascii="Arial" w:hAnsi="Arial" w:cs="Arial"/>
          <w:sz w:val="24"/>
        </w:rPr>
        <w:t xml:space="preserve">. </w:t>
      </w:r>
      <w:r>
        <w:rPr>
          <w:rFonts w:ascii="Arial" w:hAnsi="Arial" w:cs="Arial"/>
          <w:sz w:val="24"/>
        </w:rPr>
        <w:t>Q</w:t>
      </w:r>
      <w:r w:rsidR="00E47364">
        <w:rPr>
          <w:rFonts w:ascii="Arial" w:hAnsi="Arial" w:cs="Arial"/>
          <w:sz w:val="24"/>
        </w:rPr>
        <w:t xml:space="preserve">uanto menor a </w:t>
      </w:r>
      <w:r w:rsidR="00E47364">
        <w:rPr>
          <w:rFonts w:ascii="Arial" w:hAnsi="Arial" w:cs="Arial"/>
          <w:sz w:val="24"/>
        </w:rPr>
        <w:lastRenderedPageBreak/>
        <w:t xml:space="preserve">pontuação, maior </w:t>
      </w:r>
      <w:r w:rsidR="00EB34BF">
        <w:rPr>
          <w:rFonts w:ascii="Arial" w:hAnsi="Arial" w:cs="Arial"/>
          <w:sz w:val="24"/>
        </w:rPr>
        <w:t>o grau de dependência do indivíduo para a realização da</w:t>
      </w:r>
      <w:r>
        <w:rPr>
          <w:rFonts w:ascii="Arial" w:hAnsi="Arial" w:cs="Arial"/>
          <w:sz w:val="24"/>
        </w:rPr>
        <w:t>s</w:t>
      </w:r>
      <w:r w:rsidR="00EB34BF">
        <w:rPr>
          <w:rFonts w:ascii="Arial" w:hAnsi="Arial" w:cs="Arial"/>
          <w:sz w:val="24"/>
        </w:rPr>
        <w:t xml:space="preserve"> tarefa</w:t>
      </w:r>
      <w:r>
        <w:rPr>
          <w:rFonts w:ascii="Arial" w:hAnsi="Arial" w:cs="Arial"/>
          <w:sz w:val="24"/>
        </w:rPr>
        <w:t>s em análise</w:t>
      </w:r>
      <w:r w:rsidR="00B350EF">
        <w:rPr>
          <w:rFonts w:ascii="Arial" w:hAnsi="Arial" w:cs="Arial"/>
          <w:sz w:val="24"/>
        </w:rPr>
        <w:t>.</w:t>
      </w:r>
      <w:r w:rsidR="00EB34BF">
        <w:rPr>
          <w:rFonts w:ascii="Arial" w:hAnsi="Arial" w:cs="Arial"/>
          <w:sz w:val="24"/>
        </w:rPr>
        <w:fldChar w:fldCharType="begin" w:fldLock="1"/>
      </w:r>
      <w:r w:rsidR="00195481">
        <w:rPr>
          <w:rFonts w:ascii="Arial" w:hAnsi="Arial" w:cs="Arial"/>
          <w:sz w:val="24"/>
        </w:rPr>
        <w:instrText>ADDIN CSL_CITATION { "citationItems" : [ { "id" : "ITEM-1", "itemData" : { "author" : [ { "dropping-particle" : "", "family" : "Silva", "given" : "G A", "non-dropping-particle" : "", "parse-names" : false, "suffix" : "" }, { "dropping-particle" : "", "family" : "Schoeller", "given" : "S D", "non-dropping-particle" : "", "parse-names" : false, "suffix" : "" }, { "dropping-particle" : "", "family" : "Gelbcke", "given" : "F L", "non-dropping-particle" : "", "parse-names" : false, "suffix" : "" }, { "dropping-particle" : "", "family" : "Carvalho", "given" : "Z M F", "non-dropping-particle" : "", "parse-names" : false, "suffix" : "" }, { "dropping-particle" : "", "family" : "Silva", "given" : "E M J P", "non-dropping-particle" : "", "parse-names" : false, "suffix" : "" } ], "container-title" : "Texto Contexto Enfermagem", "id" : "ITEM-1", "issue" : "4", "issued" : { "date-parts" : [ [ "2012" ] ] }, "page" : "929-936", "title" : "Avalia\u00e7\u00e3o funcional de pessoas com les\u00e3o medular: utiliza\u00e7\u00e3o da escala de Independ\u00eancia Funcional - MIF", "type" : "article-journal", "volume" : "21" }, "uris" : [ "http://www.mendeley.com/documents/?uuid=f14d5e6f-fbd3-4d42-9b89-f7f6b253ba55" ] }, { "id" : "ITEM-2", "itemData" : { "DOI" : "10.5935/0104-7795.20040003", "ISBN" : "1466-609X; 1364-8535", "ISSN" : "0104-7795", "PMID" : "20738852", "abstract" : "A vers\u00e3o brasileira de Medida de Independ\u00eancia Funcional (MIF) foi desenvolvida em 2000. Estudos de sua validade ainda s\u00e3o necess\u00e1rios como forma de corroborar seu uso na avalia\u00e7\u00e3o da reabilita\u00e7\u00e3o de brasileiros incapacitados, uma vez que peculiaridades socioculturais nacionais podem determinar um comportamento diverso dos dados fornecidos pelo instrumento. Objetivos: O objetivo deste estudo \u00e9 testar a validade de construto da MIF ao checar a validade convergente em grupos de pacientes com defici\u00eancias nas quais se esperam estar presentes graus espec\u00edficos de incapacidade. M\u00e9todo: Prontu\u00e1rios m\u00e9dicos de 150 pacientes com les\u00e3o medular (LM) e 103 pacientes com les\u00f5es encef\u00e1licas (LE) de dois centros de reabilita\u00e7\u00e3o da cidade de S\u00e3o Paulo forneceram dados a respeito de caracter\u00edsticas biodemogr\u00e1ficas, cl\u00ednicas e funcionais. O grau de incapacidade foi avaliado pela MIF. Os pacientes com LM foram classificados de acordo com o n\u00edvel de acometimento medular, como cervicais, tor\u00e1cicos ou lombares e abaixo. Pacientes com LE foram classificados conforme o dim\u00eddio mais comprometido como direito, esquerdo ou bilaterais. A sensibilidade da MIF foi testada em 93 pacientes com LE e 59 com LM por meio da compara\u00e7\u00e3o dos valores da MIF total, cognitiva e motora de admiss\u00e3o e alta. Resultados: entre os pacientes com LM pudemos demonstrar uma clara associa\u00e7\u00e3o entre o n\u00edvel de incapacidade e a MIF motora (cervical = 34.4 \u00b1 25.2, tor\u00e1cica = 51.6 \u00b1 19.5, lombar = 67.5 \u00b1 18.6; p &lt; 0.001). A MIF cognitiva apresentou um efeito teto entre os pacientes com les\u00e3o medular (85% dos pacientes tinham MIFc no valor mais alto poss\u00edvel), por outro lado, entre os pacientes com LE, isso n\u00e3o pode ser observado e houve uma associa\u00e7\u00e3o entre o valor obtido na MIFc e o lado envolvido, sendo os pacientes com envolvimento do hemicorpo esquerdo aqueles menos dependente em termos cognitivos. Houve mudan\u00e7a estatisticamente significante durante o tratamento, como pode ser observado pela varia\u00e7\u00e3o da MIFm em pacientes com LM e LE (44.5 \u00b1 24.1x 61.0 \u00b1 23.8; p &lt; 0.001 e 54.1 \u00b1 23.0 x 64.7 \u00b1 21.3; p &lt;0.001). O mesmo pode ser observado em pacientes com LE com comprometimento a esquerda e \u00e0 direita, mas n\u00e3o quando o comprometimento era bilateral. Conclus\u00e3o: a validade convergente da vers\u00e3o brasileira da MIF pode ser observada para as tarefas motoras tanto em pacientes com LM como LE. A MIFc mostrou-se de pouca utilidade entre os pacientes com LM cr\u00f4nico sob reabilita\u00e7\u00e3o ambulatorial, apesar de a associa\u00e7\u00e3o \u2026", "author" : [ { "dropping-particle" : "", "family" : "Riberto", "given" : "Marcelo", "non-dropping-particle" : "", "parse-names" : false, "suffix" : "" }, { "dropping-particle" : "", "family" : "Miyazaki", "given" : "Margarida H", "non-dropping-particle" : "", "parse-names" : false, "suffix" : "" }, { "dropping-particle" : "", "family" : "Juc\u00e1", "given" : "Sueli S H", "non-dropping-particle" : "", "parse-names" : false, "suffix" : "" }, { "dropping-particle" : "", "family" : "Sakamoto", "given" : "Hatsue", "non-dropping-particle" : "", "parse-names" : false, "suffix" : "" }, { "dropping-particle" : "", "family" : "Potiguara", "given" : "Paulo", "non-dropping-particle" : "", "parse-names" : false, "suffix" : "" }, { "dropping-particle" : "", "family" : "Pinto", "given" : "Novazzi", "non-dropping-particle" : "", "parse-names" : false, "suffix" : "" }, { "dropping-particle" : "", "family" : "Battistella", "given" : "Linamara R", "non-dropping-particle" : "", "parse-names" : false, "suffix" : "" } ], "container-title" : "Acta Fisiatrica", "id" : "ITEM-2", "issue" : "2", "issued" : { "date-parts" : [ [ "2004" ] ] }, "page" : "72-76", "title" : "Valida\u00e7\u00e3o da Vers\u00e3o Brasileira da Medida de Independ\u00eancia Funcional Validation of the Brazilian version of Functional Independence Measure", "type" : "article-journal", "volume" : "11" }, "uris" : [ "http://www.mendeley.com/documents/?uuid=645f3fd7-d546-43cf-8d35-39d344460b05" ] } ], "mendeley" : { "formattedCitation" : "&lt;sup&gt;61,79&lt;/sup&gt;", "plainTextFormattedCitation" : "61,79", "previouslyFormattedCitation" : "&lt;sup&gt;61,79&lt;/sup&gt;" }, "properties" : { "noteIndex" : 0 }, "schema" : "https://github.com/citation-style-language/schema/raw/master/csl-citation.json" }</w:instrText>
      </w:r>
      <w:r w:rsidR="00EB34BF">
        <w:rPr>
          <w:rFonts w:ascii="Arial" w:hAnsi="Arial" w:cs="Arial"/>
          <w:sz w:val="24"/>
        </w:rPr>
        <w:fldChar w:fldCharType="separate"/>
      </w:r>
      <w:r w:rsidR="00412B48" w:rsidRPr="00412B48">
        <w:rPr>
          <w:rFonts w:ascii="Arial" w:hAnsi="Arial" w:cs="Arial"/>
          <w:noProof/>
          <w:sz w:val="24"/>
          <w:vertAlign w:val="superscript"/>
        </w:rPr>
        <w:t>61,79</w:t>
      </w:r>
      <w:r w:rsidR="00EB34BF">
        <w:rPr>
          <w:rFonts w:ascii="Arial" w:hAnsi="Arial" w:cs="Arial"/>
          <w:sz w:val="24"/>
        </w:rPr>
        <w:fldChar w:fldCharType="end"/>
      </w:r>
      <w:r w:rsidR="00EB34BF">
        <w:rPr>
          <w:rFonts w:ascii="Arial" w:hAnsi="Arial" w:cs="Arial"/>
          <w:sz w:val="24"/>
        </w:rPr>
        <w:t xml:space="preserve"> O tempo médio para aplicação </w:t>
      </w:r>
      <w:r>
        <w:rPr>
          <w:rFonts w:ascii="Arial" w:hAnsi="Arial" w:cs="Arial"/>
          <w:sz w:val="24"/>
        </w:rPr>
        <w:t>da escala</w:t>
      </w:r>
      <w:r w:rsidR="00EB34BF">
        <w:rPr>
          <w:rFonts w:ascii="Arial" w:hAnsi="Arial" w:cs="Arial"/>
          <w:sz w:val="24"/>
        </w:rPr>
        <w:t xml:space="preserve"> MIF por</w:t>
      </w:r>
      <w:r>
        <w:rPr>
          <w:rFonts w:ascii="Arial" w:hAnsi="Arial" w:cs="Arial"/>
          <w:sz w:val="24"/>
        </w:rPr>
        <w:t xml:space="preserve"> </w:t>
      </w:r>
      <w:r w:rsidR="00EB34BF">
        <w:rPr>
          <w:rFonts w:ascii="Arial" w:hAnsi="Arial" w:cs="Arial"/>
          <w:sz w:val="24"/>
        </w:rPr>
        <w:t xml:space="preserve">avaliador treinado é </w:t>
      </w:r>
      <w:r w:rsidR="004A2EDB">
        <w:rPr>
          <w:rFonts w:ascii="Arial" w:hAnsi="Arial" w:cs="Arial"/>
          <w:sz w:val="24"/>
        </w:rPr>
        <w:t>entre 15 e</w:t>
      </w:r>
      <w:r w:rsidR="00EB34BF">
        <w:rPr>
          <w:rFonts w:ascii="Arial" w:hAnsi="Arial" w:cs="Arial"/>
          <w:sz w:val="24"/>
        </w:rPr>
        <w:t xml:space="preserve"> 20 minutos</w:t>
      </w:r>
      <w:r w:rsidR="00E47364">
        <w:rPr>
          <w:rFonts w:ascii="Arial" w:hAnsi="Arial" w:cs="Arial"/>
          <w:sz w:val="24"/>
        </w:rPr>
        <w:t>.</w:t>
      </w:r>
      <w:r w:rsidR="00EB34BF">
        <w:rPr>
          <w:rFonts w:ascii="Arial" w:hAnsi="Arial" w:cs="Arial"/>
          <w:sz w:val="24"/>
        </w:rPr>
        <w:fldChar w:fldCharType="begin" w:fldLock="1"/>
      </w:r>
      <w:r w:rsidR="00195481">
        <w:rPr>
          <w:rFonts w:ascii="Arial" w:hAnsi="Arial" w:cs="Arial"/>
          <w:sz w:val="24"/>
        </w:rPr>
        <w:instrText>ADDIN CSL_CITATION { "citationItems" : [ { "id" : "ITEM-1", "itemData" : { "DOI" : "10.1080/17518423.2017.1289419", "ISSN" : "1751-8423", "author" : [ { "dropping-particle" : "", "family" : "Williams", "given" : "K. S.", "non-dropping-particle" : "", "parse-names" : false, "suffix" : "" }, { "dropping-particle" : "", "family" : "Young", "given" : "D. K.", "non-dropping-particle" : "", "parse-names" : false, "suffix" : "" }, { "dropping-particle" : "", "family" : "Burke", "given" : "G. A. A.", "non-dropping-particle" : "", "parse-names" : false, "suffix" : "" }, { "dropping-particle" : "", "family" : "Fountain", "given" : "D. M.", "non-dropping-particle" : "", "parse-names" : false, "suffix" : "" } ], "container-title" : "Developmental Neurorehabilitation", "id" : "ITEM-1", "issued" : { "date-parts" : [ [ "2017" ] ] }, "page" : "1-9", "publisher" : "Taylor &amp; Francis", "title" : "Comparing the WeeFIM and PEDI in neurorehabilitation for children with acquired brain injury: A systematic review", "type" : "article-journal" }, "uris" : [ "http://www.mendeley.com/documents/?uuid=b8c0006a-08f7-4c3b-bdf9-8d2ed676e8ce" ] } ], "mendeley" : { "formattedCitation" : "&lt;sup&gt;73&lt;/sup&gt;", "plainTextFormattedCitation" : "73", "previouslyFormattedCitation" : "&lt;sup&gt;73&lt;/sup&gt;" }, "properties" : { "noteIndex" : 0 }, "schema" : "https://github.com/citation-style-language/schema/raw/master/csl-citation.json" }</w:instrText>
      </w:r>
      <w:r w:rsidR="00EB34BF">
        <w:rPr>
          <w:rFonts w:ascii="Arial" w:hAnsi="Arial" w:cs="Arial"/>
          <w:sz w:val="24"/>
        </w:rPr>
        <w:fldChar w:fldCharType="separate"/>
      </w:r>
      <w:r w:rsidR="00412B48" w:rsidRPr="00412B48">
        <w:rPr>
          <w:rFonts w:ascii="Arial" w:hAnsi="Arial" w:cs="Arial"/>
          <w:noProof/>
          <w:sz w:val="24"/>
          <w:vertAlign w:val="superscript"/>
        </w:rPr>
        <w:t>73</w:t>
      </w:r>
      <w:r w:rsidR="00EB34BF">
        <w:rPr>
          <w:rFonts w:ascii="Arial" w:hAnsi="Arial" w:cs="Arial"/>
          <w:sz w:val="24"/>
        </w:rPr>
        <w:fldChar w:fldCharType="end"/>
      </w:r>
    </w:p>
    <w:p w:rsidR="00A62F69" w:rsidRDefault="00A62F69" w:rsidP="00491682">
      <w:pPr>
        <w:spacing w:after="0" w:line="360" w:lineRule="auto"/>
        <w:jc w:val="both"/>
        <w:rPr>
          <w:rFonts w:ascii="Arial" w:hAnsi="Arial" w:cs="Arial"/>
          <w:sz w:val="24"/>
        </w:rPr>
      </w:pPr>
    </w:p>
    <w:p w:rsidR="007B13BA" w:rsidRDefault="00056AD3" w:rsidP="00491682">
      <w:pPr>
        <w:spacing w:after="0" w:line="360" w:lineRule="auto"/>
        <w:jc w:val="both"/>
        <w:rPr>
          <w:rFonts w:ascii="Arial" w:hAnsi="Arial" w:cs="Arial"/>
          <w:sz w:val="24"/>
        </w:rPr>
      </w:pPr>
      <w:r>
        <w:rPr>
          <w:rFonts w:ascii="Arial" w:hAnsi="Arial" w:cs="Arial"/>
          <w:sz w:val="24"/>
        </w:rPr>
        <w:t xml:space="preserve">Em consulta à literatura durante a pesquisa bibliográfica, não foram encontradas publicações nacionais </w:t>
      </w:r>
      <w:r w:rsidR="000F2F94">
        <w:rPr>
          <w:rFonts w:ascii="Arial" w:hAnsi="Arial" w:cs="Arial"/>
          <w:sz w:val="24"/>
        </w:rPr>
        <w:t>mostran</w:t>
      </w:r>
      <w:r w:rsidR="004E73B9">
        <w:rPr>
          <w:rFonts w:ascii="Arial" w:hAnsi="Arial" w:cs="Arial"/>
          <w:sz w:val="24"/>
        </w:rPr>
        <w:t>do a aplicação de</w:t>
      </w:r>
      <w:r>
        <w:rPr>
          <w:rFonts w:ascii="Arial" w:hAnsi="Arial" w:cs="Arial"/>
          <w:sz w:val="24"/>
        </w:rPr>
        <w:t xml:space="preserve"> instrumentos de avaliação funcional</w:t>
      </w:r>
      <w:r w:rsidR="004E73B9">
        <w:rPr>
          <w:rFonts w:ascii="Arial" w:hAnsi="Arial" w:cs="Arial"/>
          <w:sz w:val="24"/>
        </w:rPr>
        <w:t xml:space="preserve"> que, além de</w:t>
      </w:r>
      <w:r>
        <w:rPr>
          <w:rFonts w:ascii="Arial" w:hAnsi="Arial" w:cs="Arial"/>
          <w:sz w:val="24"/>
        </w:rPr>
        <w:t xml:space="preserve"> validados para o português e adequados </w:t>
      </w:r>
      <w:r w:rsidR="00DB032D">
        <w:rPr>
          <w:rFonts w:ascii="Arial" w:hAnsi="Arial" w:cs="Arial"/>
          <w:sz w:val="24"/>
        </w:rPr>
        <w:t>ao contexto</w:t>
      </w:r>
      <w:r>
        <w:rPr>
          <w:rFonts w:ascii="Arial" w:hAnsi="Arial" w:cs="Arial"/>
          <w:sz w:val="24"/>
        </w:rPr>
        <w:t xml:space="preserve"> sociocultural brasileir</w:t>
      </w:r>
      <w:r w:rsidR="00DB032D">
        <w:rPr>
          <w:rFonts w:ascii="Arial" w:hAnsi="Arial" w:cs="Arial"/>
          <w:sz w:val="24"/>
        </w:rPr>
        <w:t>o</w:t>
      </w:r>
      <w:r w:rsidR="004E73B9">
        <w:rPr>
          <w:rFonts w:ascii="Arial" w:hAnsi="Arial" w:cs="Arial"/>
          <w:sz w:val="24"/>
        </w:rPr>
        <w:t xml:space="preserve">, fossem específicos para pacientes diagnosticados com MPS. </w:t>
      </w:r>
      <w:r w:rsidR="000F2F94">
        <w:rPr>
          <w:rFonts w:ascii="Arial" w:hAnsi="Arial" w:cs="Arial"/>
          <w:sz w:val="24"/>
        </w:rPr>
        <w:t xml:space="preserve">No entanto, </w:t>
      </w:r>
      <w:r w:rsidR="00EB34BF">
        <w:rPr>
          <w:rFonts w:ascii="Arial" w:hAnsi="Arial" w:cs="Arial"/>
          <w:sz w:val="24"/>
        </w:rPr>
        <w:t>foi encontrada uma publicação internacional</w:t>
      </w:r>
      <w:r w:rsidR="00D00C10">
        <w:rPr>
          <w:rFonts w:ascii="Arial" w:hAnsi="Arial" w:cs="Arial"/>
          <w:sz w:val="24"/>
        </w:rPr>
        <w:fldChar w:fldCharType="begin" w:fldLock="1"/>
      </w:r>
      <w:r w:rsidR="00195481">
        <w:rPr>
          <w:rFonts w:ascii="Arial" w:hAnsi="Arial" w:cs="Arial"/>
          <w:sz w:val="24"/>
        </w:rPr>
        <w:instrText>ADDIN CSL_CITATION { "citationItems" : [ { "id" : "ITEM-1", "itemData" : { "DOI" : "10.1016/j.ymgme.2014.08.012", "ISSN" : "10967206", "PMID" : "25284089", "abstract" : "Objective: To report and discuss the multi-domain impact of elosulfase alfa, with focus on tertiary and composite endpoints, in the 24-week, randomized, double-blind, placebo-controlled phase 3 trial in patients with Morquio A syndrome (mucopolysaccharidosis IVA). Methods: Patients with Morquio A syndrome aged ???. 5. years were randomized 1:1:1 to elosulfase alfa 2.0. mg/kg/week (qw; N. = 58), elosulfase alfa 2.0. mg/kg/every other week (qow; N. = 59), or placebo (N. = 59) for 24. weeks. Primary and secondary efficacy measures were 6-minute walk test (6MWT; primary), 3-minute stair climb test (3-MSCT) and urinary keratan sulfate (KS). Safety was also evaluated. Tertiary efficacy measures included respiratory function measures, activities of daily living (MPS Health Assessment Questionnaire [MPS-HAQ]), anthropometric, echocardiographic and radiographic measures, hearing and corneal clouding assessment. In order to fully characterize treatment impact in this heterogeneous disorder, the effect of elosulfase alfa on composite efficacy measures was evaluated as well. Results: The study was not designed to have sufficient power for any of the tertiary outcomes. For most tertiary endpoints, subjects treated with the weekly dose of elosulfase alfa improved more than those receiving placebo. The largest treatment effects were seen in maximal voluntary ventilation (MVV), MPS-HAQ, height, and growth rate. The qow group appeared similar to placebo. The analysis of a pre-specified composite endpoint (combining changes from baseline in 6MWT, 3MSCT and MVV z-scores equally weighted) showed a modest positive impact of elosulfase alfa qw versus placebo group (P= 0.053). As a pre-specified supportive analysis, the O'Brien Rank Sum composite endpoint (changes from baseline in 6MWT, 3MSC, and MVV), analysis also showed that the qw group performed better than the placebo group (P= 0.011). In post-hoc analyses, combinations of other endpoints were also explored using the O'Brien Rank Sum test and showed statistically significant differences between elosulfase alfa qw and placebo favoring elosulfase alfa qw. Differences between elosulfase alfa qow and placebo were not statistically significant. Positive changes were observed in most tertiary variables, demonstrating the efficacy of weekly treatment with elosulfase alfa. Conclusions: Treatment with weekly elosulfase alfa led to improvements across most efficacy measures, resulting in clinically meaningful benefits in a hetero\u2026", "author" : [ { "dropping-particle" : "", "family" : "Hendriksz", "given" : "Christian J.", "non-dropping-particle" : "", "parse-names" : false, "suffix" : "" }, { "dropping-particle" : "", "family" : "Giugliani", "given" : "Roberto", "non-dropping-particle" : "", "parse-names" : false, "suffix" : "" }, { "dropping-particle" : "", "family" : "Harmatz", "given" : "Paul", "non-dropping-particle" : "", "parse-names" : false, "suffix" : "" }, { "dropping-particle" : "", "family" : "Mengel", "given" : "Eugen", "non-dropping-particle" : "", "parse-names" : false, "suffix" : "" }, { "dropping-particle" : "", "family" : "Guffon", "given" : "Nathalie", "non-dropping-particle" : "", "parse-names" : false, "suffix" : "" }, { "dropping-particle" : "", "family" : "Valayannopoulos", "given" : "Vassili", "non-dropping-particle" : "", "parse-names" : false, "suffix" : "" }, { "dropping-particle" : "", "family" : "Parini", "given" : "Rossella", "non-dropping-particle" : "", "parse-names" : false, "suffix" : "" }, { "dropping-particle" : "", "family" : "Hughes", "given" : "Derralynn A.", "non-dropping-particle" : "", "parse-names" : false, "suffix" : "" }, { "dropping-particle" : "", "family" : "Pastores", "given" : "Gregory M.", "non-dropping-particle" : "", "parse-names" : false, "suffix" : "" }, { "dropping-particle" : "", "family" : "Lau", "given" : "Heather A.", "non-dropping-particle" : "", "parse-names" : false, "suffix" : "" }, { "dropping-particle" : "", "family" : "Al-Sayed", "given" : "Moeenaldeen D.", "non-dropping-particle" : "", "parse-names" : false, "suffix" : "" }, { "dropping-particle" : "", "family" : "Raiman", "given" : "Julian", "non-dropping-particle" : "", "parse-names" : false, "suffix" : "" }, { "dropping-particle" : "", "family" : "Ben-Omran", "given" : "Tawfeg", "non-dropping-particle" : "", "parse-names" : false, "suffix" : "" }, { "dropping-particle" : "", "family" : "Bober", "given" : "Michael B.", "non-dropping-particle" : "", "parse-names" : false, "suffix" : "" }, { "dropping-particle" : "", "family" : "Burton", "given" : "Barbara K.", "non-dropping-particle" : "", "parse-names" : false, "suffix" : "" }, { "dropping-particle" : "", "family" : "Cleary", "given" : "Maureen A.", "non-dropping-particle" : "", "parse-names" : false, "suffix" : "" }, { "dropping-particle" : "", "family" : "Dali", "given" : "Christine I.", "non-dropping-particle" : "", "parse-names" : false, "suffix" : "" }, { "dropping-particle" : "", "family" : "Medeiros", "given" : "Paula Frassinetti Vasconcelos", "non-dropping-particle" : "de", "parse-names" : false, "suffix" : "" }, { "dropping-particle" : "", "family" : "Guelbert", "given" : "Norberto B.", "non-dropping-particle" : "", "parse-names" : false, "suffix" : "" }, { "dropping-particle" : "", "family" : "Hiwot", "given" : "Tarekegn G.", "non-dropping-particle" : "", "parse-names" : false, "suffix" : "" }, { "dropping-particle" : "", "family" : "Jin", "given" : "Dong Kyu", "non-dropping-particle" : "", "parse-names" : false, "suffix" : "" }, { "dropping-particle" : "", "family" : "Jones", "given" : "Simon A.", "non-dropping-particle" : "", "parse-names" : false, "suffix" : "" }, { "dropping-particle" : "", "family" : "Lin", "given" : "Shuan Pei", "non-dropping-particle" : "", "parse-names" : false, "suffix" : "" }, { "dropping-particle" : "", "family" : "Maranda", "given" : "Bruno", "non-dropping-particle" : "", "parse-names" : false, "suffix" : "" }, { "dropping-particle" : "", "family" : "Mitchell", "given" : "John J.", "non-dropping-particle" : "", "parse-names" : false, "suffix" : "" }, { "dropping-particle" : "", "family" : "Murphy", "given" : "Elaine Mary", "non-dropping-particle" : "", "parse-names" : false, "suffix" : "" }, { "dropping-particle" : "", "family" : "Muschol", "given" : "Nicole", "non-dropping-particle" : "", "parse-names" : false, "suffix" : "" }, { "dropping-particle" : "", "family" : "Okuyama", "given" : "Torayuki", "non-dropping-particle" : "", "parse-names" : false, "suffix" : "" }, { "dropping-particle" : "", "family" : "Santra", "given" : "Saikat", "non-dropping-particle" : "", "parse-names" : false, "suffix" : "" }, { "dropping-particle" : "", "family" : "Villarreal", "given" : "Martha L Solano", "non-dropping-particle" : "", "parse-names" : false, "suffix" : "" }, { "dropping-particle" : "", "family" : "Steiner", "given" : "Robert", "non-dropping-particle" : "", "parse-names" : false, "suffix" : "" }, { "dropping-particle" : "", "family" : "Tanpaiboon", "given" : "Pranoot", "non-dropping-particle" : "", "parse-names" : false, "suffix" : "" }, { "dropping-particle" : "", "family" : "Valente", "given" : "Paula Cristina", "non-dropping-particle" : "", "parse-names" : false, "suffix" : "" }, { "dropping-particle" : "", "family" : "Matos", "given" : "Santos Baptista Garcia", "non-dropping-particle" : "", "parse-names" : false, "suffix" : "" }, { "dropping-particle" : "", "family" : "Vellodi", "given" : "Ashok", "non-dropping-particle" : "", "parse-names" : false, "suffix" : "" }, { "dropping-particle" : "", "family" : "White", "given" : "Klane K.", "non-dropping-particle" : "", "parse-names" : false, "suffix" : "" }, { "dropping-particle" : "", "family" : "Wijburg", "given" : "Frits A.", "non-dropping-particle" : "", "parse-names" : false, "suffix" : "" }, { "dropping-particle" : "", "family" : "Yang", "given" : "Ke", "non-dropping-particle" : "", "parse-names" : false, "suffix" : "" }, { "dropping-particle" : "", "family" : "Mealiffe", "given" : "Matthew", "non-dropping-particle" : "", "parse-names" : false, "suffix" : "" }, { "dropping-particle" : "", "family" : "Haller", "given" : "Christine", "non-dropping-particle" : "", "parse-names" : false, "suffix" : "" } ], "container-title" : "Molecular Genetics and Metabolism", "id" : "ITEM-1", "issue" : "2", "issued" : { "date-parts" : [ [ "2015" ] ] }, "page" : "178-185", "publisher" : "Elsevier B.V.", "title" : "Multi-domain impact of elosufase alfa in Morquio A syndrome in the pivotal phase III trial", "type" : "article-journal", "volume" : "114" }, "uris" : [ "http://www.mendeley.com/documents/?uuid=b27e6abd-0284-4dea-ac8a-6284a37ce568" ] } ], "mendeley" : { "formattedCitation" : "&lt;sup&gt;80&lt;/sup&gt;", "plainTextFormattedCitation" : "80", "previouslyFormattedCitation" : "&lt;sup&gt;80&lt;/sup&gt;" }, "properties" : { "noteIndex" : 0 }, "schema" : "https://github.com/citation-style-language/schema/raw/master/csl-citation.json" }</w:instrText>
      </w:r>
      <w:r w:rsidR="00D00C10">
        <w:rPr>
          <w:rFonts w:ascii="Arial" w:hAnsi="Arial" w:cs="Arial"/>
          <w:sz w:val="24"/>
        </w:rPr>
        <w:fldChar w:fldCharType="separate"/>
      </w:r>
      <w:r w:rsidR="00412B48" w:rsidRPr="00412B48">
        <w:rPr>
          <w:rFonts w:ascii="Arial" w:hAnsi="Arial" w:cs="Arial"/>
          <w:noProof/>
          <w:sz w:val="24"/>
          <w:vertAlign w:val="superscript"/>
        </w:rPr>
        <w:t>80</w:t>
      </w:r>
      <w:r w:rsidR="00D00C10">
        <w:rPr>
          <w:rFonts w:ascii="Arial" w:hAnsi="Arial" w:cs="Arial"/>
          <w:sz w:val="24"/>
        </w:rPr>
        <w:fldChar w:fldCharType="end"/>
      </w:r>
      <w:r w:rsidR="00EB34BF">
        <w:rPr>
          <w:rFonts w:ascii="Arial" w:hAnsi="Arial" w:cs="Arial"/>
          <w:sz w:val="24"/>
        </w:rPr>
        <w:t xml:space="preserve"> evidenciando o uso de</w:t>
      </w:r>
      <w:r w:rsidR="000F2F94">
        <w:rPr>
          <w:rFonts w:ascii="Arial" w:hAnsi="Arial" w:cs="Arial"/>
          <w:sz w:val="24"/>
        </w:rPr>
        <w:t xml:space="preserve"> um</w:t>
      </w:r>
      <w:r w:rsidR="00EB34BF">
        <w:rPr>
          <w:rFonts w:ascii="Arial" w:hAnsi="Arial" w:cs="Arial"/>
          <w:sz w:val="24"/>
        </w:rPr>
        <w:t xml:space="preserve"> teste funcional específico para </w:t>
      </w:r>
      <w:r w:rsidR="00C5160A">
        <w:rPr>
          <w:rFonts w:ascii="Arial" w:hAnsi="Arial" w:cs="Arial"/>
          <w:sz w:val="24"/>
        </w:rPr>
        <w:t>esse público</w:t>
      </w:r>
      <w:r w:rsidR="00D00C10">
        <w:rPr>
          <w:rFonts w:ascii="Arial" w:hAnsi="Arial" w:cs="Arial"/>
          <w:sz w:val="24"/>
        </w:rPr>
        <w:t>.</w:t>
      </w:r>
    </w:p>
    <w:p w:rsidR="00F979C5" w:rsidRDefault="00F979C5" w:rsidP="00491682">
      <w:pPr>
        <w:spacing w:after="0" w:line="360" w:lineRule="auto"/>
        <w:jc w:val="both"/>
        <w:rPr>
          <w:rFonts w:ascii="Arial" w:hAnsi="Arial" w:cs="Arial"/>
          <w:sz w:val="24"/>
        </w:rPr>
      </w:pPr>
    </w:p>
    <w:p w:rsidR="00A62F69" w:rsidRDefault="00EB34BF" w:rsidP="00491682">
      <w:pPr>
        <w:spacing w:after="0" w:line="360" w:lineRule="auto"/>
        <w:jc w:val="both"/>
        <w:rPr>
          <w:rFonts w:ascii="Arial" w:hAnsi="Arial" w:cs="Arial"/>
          <w:sz w:val="24"/>
          <w:szCs w:val="24"/>
        </w:rPr>
      </w:pPr>
      <w:r w:rsidRPr="00150CB2">
        <w:rPr>
          <w:rFonts w:ascii="Arial" w:hAnsi="Arial" w:cs="Arial"/>
          <w:sz w:val="24"/>
          <w:szCs w:val="24"/>
        </w:rPr>
        <w:t>O Quadro 3 expõe alguns artigos incluídos neste estudo que evidencia</w:t>
      </w:r>
      <w:r w:rsidR="000D4288">
        <w:rPr>
          <w:rFonts w:ascii="Arial" w:hAnsi="Arial" w:cs="Arial"/>
          <w:sz w:val="24"/>
          <w:szCs w:val="24"/>
        </w:rPr>
        <w:t xml:space="preserve">m a </w:t>
      </w:r>
      <w:r w:rsidRPr="00150CB2">
        <w:rPr>
          <w:rFonts w:ascii="Arial" w:hAnsi="Arial" w:cs="Arial"/>
          <w:sz w:val="24"/>
          <w:szCs w:val="24"/>
        </w:rPr>
        <w:t>funcionalidade e</w:t>
      </w:r>
      <w:r w:rsidR="000D4288">
        <w:rPr>
          <w:rFonts w:ascii="Arial" w:hAnsi="Arial" w:cs="Arial"/>
          <w:sz w:val="24"/>
          <w:szCs w:val="24"/>
        </w:rPr>
        <w:t xml:space="preserve"> a condição para</w:t>
      </w:r>
      <w:r w:rsidRPr="00B91A2E">
        <w:rPr>
          <w:rFonts w:ascii="Arial" w:hAnsi="Arial" w:cs="Arial"/>
          <w:sz w:val="24"/>
          <w:szCs w:val="24"/>
        </w:rPr>
        <w:t xml:space="preserve"> </w:t>
      </w:r>
      <w:r w:rsidR="000D4288">
        <w:rPr>
          <w:rFonts w:ascii="Arial" w:hAnsi="Arial" w:cs="Arial"/>
          <w:sz w:val="24"/>
          <w:szCs w:val="24"/>
        </w:rPr>
        <w:t>realiz</w:t>
      </w:r>
      <w:r w:rsidR="001C15F0">
        <w:rPr>
          <w:rFonts w:ascii="Arial" w:hAnsi="Arial" w:cs="Arial"/>
          <w:sz w:val="24"/>
          <w:szCs w:val="24"/>
        </w:rPr>
        <w:t>ar</w:t>
      </w:r>
      <w:r w:rsidR="00EE4CE7">
        <w:rPr>
          <w:rFonts w:ascii="Arial" w:hAnsi="Arial" w:cs="Arial"/>
          <w:sz w:val="24"/>
          <w:szCs w:val="24"/>
        </w:rPr>
        <w:t xml:space="preserve"> AVD, referente </w:t>
      </w:r>
      <w:r w:rsidR="00943378">
        <w:rPr>
          <w:rFonts w:ascii="Arial" w:hAnsi="Arial" w:cs="Arial"/>
          <w:sz w:val="24"/>
          <w:szCs w:val="24"/>
        </w:rPr>
        <w:t>a</w:t>
      </w:r>
      <w:r w:rsidRPr="00B91A2E">
        <w:rPr>
          <w:rFonts w:ascii="Arial" w:hAnsi="Arial" w:cs="Arial"/>
          <w:sz w:val="24"/>
          <w:szCs w:val="24"/>
        </w:rPr>
        <w:t xml:space="preserve"> pacientes</w:t>
      </w:r>
      <w:r w:rsidR="000D4288">
        <w:rPr>
          <w:rFonts w:ascii="Arial" w:hAnsi="Arial" w:cs="Arial"/>
          <w:sz w:val="24"/>
          <w:szCs w:val="24"/>
        </w:rPr>
        <w:t xml:space="preserve"> acometidos por MPS. Os artigos, organizados por data de publicação, foram</w:t>
      </w:r>
      <w:r w:rsidRPr="00B91A2E">
        <w:rPr>
          <w:rFonts w:ascii="Arial" w:hAnsi="Arial" w:cs="Arial"/>
          <w:sz w:val="24"/>
          <w:szCs w:val="24"/>
        </w:rPr>
        <w:t xml:space="preserve"> resumidos por autor/ano de publicação, título, local, tipo de estudo, objetivo e instrumento </w:t>
      </w:r>
      <w:r w:rsidR="000D4288">
        <w:rPr>
          <w:rFonts w:ascii="Arial" w:hAnsi="Arial" w:cs="Arial"/>
          <w:sz w:val="24"/>
          <w:szCs w:val="24"/>
        </w:rPr>
        <w:t>de avaliação funcional aplicado.</w:t>
      </w:r>
    </w:p>
    <w:p w:rsidR="00714FBA" w:rsidRDefault="00714FBA" w:rsidP="00491682">
      <w:pPr>
        <w:spacing w:after="0" w:line="360" w:lineRule="auto"/>
        <w:jc w:val="both"/>
        <w:rPr>
          <w:rFonts w:ascii="Arial" w:hAnsi="Arial" w:cs="Arial"/>
          <w:sz w:val="24"/>
          <w:szCs w:val="24"/>
        </w:rPr>
      </w:pPr>
    </w:p>
    <w:p w:rsidR="00911E5C" w:rsidRDefault="00911E5C" w:rsidP="00911E5C">
      <w:pPr>
        <w:pStyle w:val="EstiloDissertao"/>
      </w:pPr>
      <w:bookmarkStart w:id="12" w:name="_Toc494629432"/>
      <w:r w:rsidRPr="00911E5C">
        <w:rPr>
          <w:b/>
        </w:rPr>
        <w:t xml:space="preserve">Quadro </w:t>
      </w:r>
      <w:r w:rsidRPr="00911E5C">
        <w:rPr>
          <w:b/>
        </w:rPr>
        <w:fldChar w:fldCharType="begin"/>
      </w:r>
      <w:r w:rsidRPr="00911E5C">
        <w:rPr>
          <w:b/>
        </w:rPr>
        <w:instrText xml:space="preserve"> SEQ Quadro \* ARABIC </w:instrText>
      </w:r>
      <w:r w:rsidRPr="00911E5C">
        <w:rPr>
          <w:b/>
        </w:rPr>
        <w:fldChar w:fldCharType="separate"/>
      </w:r>
      <w:r w:rsidR="005E2BE9">
        <w:rPr>
          <w:b/>
          <w:noProof/>
        </w:rPr>
        <w:t>3</w:t>
      </w:r>
      <w:r w:rsidRPr="00911E5C">
        <w:rPr>
          <w:b/>
        </w:rPr>
        <w:fldChar w:fldCharType="end"/>
      </w:r>
      <w:r w:rsidRPr="00911E5C">
        <w:rPr>
          <w:b/>
        </w:rPr>
        <w:t xml:space="preserve"> –</w:t>
      </w:r>
      <w:r>
        <w:t xml:space="preserve"> </w:t>
      </w:r>
      <w:r w:rsidRPr="006C74A9">
        <w:t>Resumo de estudos sobre avaliação funcional de pacientes com mucopolissacaridoses.</w:t>
      </w:r>
      <w:bookmarkEnd w:id="12"/>
    </w:p>
    <w:tbl>
      <w:tblPr>
        <w:tblW w:w="9077" w:type="dxa"/>
        <w:tblInd w:w="113" w:type="dxa"/>
        <w:tblLayout w:type="fixed"/>
        <w:tblCellMar>
          <w:left w:w="113" w:type="dxa"/>
        </w:tblCellMar>
        <w:tblLook w:val="0000" w:firstRow="0" w:lastRow="0" w:firstColumn="0" w:lastColumn="0" w:noHBand="0" w:noVBand="0"/>
      </w:tblPr>
      <w:tblGrid>
        <w:gridCol w:w="1276"/>
        <w:gridCol w:w="2410"/>
        <w:gridCol w:w="1701"/>
        <w:gridCol w:w="2268"/>
        <w:gridCol w:w="1422"/>
      </w:tblGrid>
      <w:tr w:rsidR="00EB34BF" w:rsidRPr="00805B92" w:rsidTr="00336BB5">
        <w:trPr>
          <w:trHeight w:val="808"/>
        </w:trPr>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EB34BF" w:rsidRPr="00805B92" w:rsidRDefault="00EB34BF" w:rsidP="00336BB5">
            <w:pPr>
              <w:spacing w:after="0" w:line="360" w:lineRule="auto"/>
              <w:jc w:val="center"/>
              <w:rPr>
                <w:rFonts w:ascii="Arial" w:hAnsi="Arial" w:cs="Arial"/>
                <w:sz w:val="20"/>
                <w:szCs w:val="20"/>
              </w:rPr>
            </w:pPr>
            <w:r w:rsidRPr="00805B92">
              <w:rPr>
                <w:rFonts w:ascii="Arial" w:hAnsi="Arial" w:cs="Arial"/>
                <w:b/>
                <w:sz w:val="20"/>
                <w:szCs w:val="20"/>
              </w:rPr>
              <w:t>Autor / Ano de publicação</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EB34BF" w:rsidRPr="00805B92" w:rsidRDefault="00EB34BF" w:rsidP="00336BB5">
            <w:pPr>
              <w:spacing w:after="0" w:line="240" w:lineRule="auto"/>
              <w:jc w:val="center"/>
              <w:rPr>
                <w:rFonts w:ascii="Arial" w:hAnsi="Arial" w:cs="Arial"/>
                <w:sz w:val="20"/>
                <w:szCs w:val="20"/>
              </w:rPr>
            </w:pPr>
          </w:p>
          <w:p w:rsidR="00EB34BF" w:rsidRPr="00805B92" w:rsidRDefault="00EB34BF" w:rsidP="00336BB5">
            <w:pPr>
              <w:spacing w:after="0" w:line="240" w:lineRule="auto"/>
              <w:jc w:val="center"/>
              <w:rPr>
                <w:rFonts w:ascii="Arial" w:hAnsi="Arial" w:cs="Arial"/>
                <w:sz w:val="20"/>
                <w:szCs w:val="20"/>
              </w:rPr>
            </w:pPr>
            <w:r w:rsidRPr="00805B92">
              <w:rPr>
                <w:rFonts w:ascii="Arial" w:hAnsi="Arial" w:cs="Arial"/>
                <w:b/>
                <w:sz w:val="20"/>
                <w:szCs w:val="20"/>
              </w:rPr>
              <w:t>Título</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EB34BF" w:rsidRPr="00805B92" w:rsidRDefault="00EB34BF" w:rsidP="00336BB5">
            <w:pPr>
              <w:spacing w:after="0" w:line="240" w:lineRule="auto"/>
              <w:jc w:val="center"/>
              <w:rPr>
                <w:rFonts w:ascii="Arial" w:hAnsi="Arial" w:cs="Arial"/>
                <w:sz w:val="20"/>
                <w:szCs w:val="20"/>
              </w:rPr>
            </w:pPr>
          </w:p>
          <w:p w:rsidR="00EB34BF" w:rsidRPr="00805B92" w:rsidRDefault="00EB34BF" w:rsidP="00336BB5">
            <w:pPr>
              <w:spacing w:after="0" w:line="240" w:lineRule="auto"/>
              <w:jc w:val="center"/>
              <w:rPr>
                <w:rFonts w:ascii="Arial" w:hAnsi="Arial" w:cs="Arial"/>
                <w:sz w:val="20"/>
                <w:szCs w:val="20"/>
              </w:rPr>
            </w:pPr>
            <w:r w:rsidRPr="00071DB1">
              <w:rPr>
                <w:rFonts w:ascii="Arial" w:hAnsi="Arial" w:cs="Arial"/>
                <w:b/>
                <w:sz w:val="20"/>
                <w:szCs w:val="20"/>
              </w:rPr>
              <w:t>Local</w:t>
            </w:r>
            <w:r w:rsidRPr="00805B92">
              <w:rPr>
                <w:rFonts w:ascii="Arial" w:hAnsi="Arial" w:cs="Arial"/>
                <w:b/>
                <w:sz w:val="20"/>
                <w:szCs w:val="20"/>
              </w:rPr>
              <w:t xml:space="preserve"> e Tipo de estudo</w:t>
            </w:r>
          </w:p>
        </w:tc>
        <w:tc>
          <w:tcPr>
            <w:tcW w:w="2268" w:type="dxa"/>
            <w:tcBorders>
              <w:top w:val="single" w:sz="4" w:space="0" w:color="00000A"/>
              <w:left w:val="single" w:sz="4" w:space="0" w:color="00000A"/>
              <w:bottom w:val="single" w:sz="4" w:space="0" w:color="00000A"/>
              <w:right w:val="single" w:sz="4" w:space="0" w:color="00000A"/>
            </w:tcBorders>
          </w:tcPr>
          <w:p w:rsidR="00EB34BF" w:rsidRPr="00805B92" w:rsidRDefault="00EB34BF" w:rsidP="00336BB5">
            <w:pPr>
              <w:spacing w:after="0" w:line="240" w:lineRule="auto"/>
              <w:jc w:val="center"/>
              <w:rPr>
                <w:rFonts w:ascii="Arial" w:hAnsi="Arial" w:cs="Arial"/>
                <w:sz w:val="20"/>
                <w:szCs w:val="20"/>
              </w:rPr>
            </w:pPr>
          </w:p>
          <w:p w:rsidR="00EB34BF" w:rsidRPr="00805B92" w:rsidRDefault="00EB34BF" w:rsidP="00336BB5">
            <w:pPr>
              <w:spacing w:after="0" w:line="240" w:lineRule="auto"/>
              <w:jc w:val="center"/>
              <w:rPr>
                <w:rFonts w:ascii="Arial" w:hAnsi="Arial" w:cs="Arial"/>
                <w:sz w:val="20"/>
                <w:szCs w:val="20"/>
              </w:rPr>
            </w:pPr>
            <w:r w:rsidRPr="00805B92">
              <w:rPr>
                <w:rFonts w:ascii="Arial" w:hAnsi="Arial" w:cs="Arial"/>
                <w:b/>
                <w:sz w:val="20"/>
                <w:szCs w:val="20"/>
              </w:rPr>
              <w:t>Objetivo</w:t>
            </w:r>
          </w:p>
        </w:tc>
        <w:tc>
          <w:tcPr>
            <w:tcW w:w="1422" w:type="dxa"/>
            <w:tcBorders>
              <w:top w:val="single" w:sz="4" w:space="0" w:color="00000A"/>
              <w:left w:val="single" w:sz="4" w:space="0" w:color="00000A"/>
              <w:bottom w:val="single" w:sz="4" w:space="0" w:color="00000A"/>
              <w:right w:val="single" w:sz="4" w:space="0" w:color="00000A"/>
            </w:tcBorders>
          </w:tcPr>
          <w:p w:rsidR="00EB34BF" w:rsidRDefault="00EB34BF" w:rsidP="00336BB5">
            <w:pPr>
              <w:spacing w:after="0" w:line="240" w:lineRule="auto"/>
              <w:jc w:val="center"/>
              <w:rPr>
                <w:rFonts w:ascii="Arial" w:hAnsi="Arial" w:cs="Arial"/>
                <w:sz w:val="20"/>
                <w:szCs w:val="20"/>
              </w:rPr>
            </w:pPr>
          </w:p>
          <w:p w:rsidR="00EB34BF" w:rsidRPr="00805B92" w:rsidRDefault="00EB34BF" w:rsidP="00336BB5">
            <w:pPr>
              <w:spacing w:after="0" w:line="240" w:lineRule="auto"/>
              <w:jc w:val="center"/>
              <w:rPr>
                <w:rFonts w:ascii="Arial" w:hAnsi="Arial" w:cs="Arial"/>
                <w:b/>
                <w:sz w:val="20"/>
                <w:szCs w:val="20"/>
              </w:rPr>
            </w:pPr>
            <w:r w:rsidRPr="00805B92">
              <w:rPr>
                <w:rFonts w:ascii="Arial" w:hAnsi="Arial" w:cs="Arial"/>
                <w:b/>
                <w:sz w:val="20"/>
                <w:szCs w:val="20"/>
              </w:rPr>
              <w:t>Instrumento utilizado</w:t>
            </w:r>
          </w:p>
        </w:tc>
      </w:tr>
      <w:tr w:rsidR="00EB34BF" w:rsidRPr="00805B92" w:rsidTr="00336BB5">
        <w:trPr>
          <w:trHeight w:val="387"/>
        </w:trPr>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EB34BF" w:rsidRPr="00805B92" w:rsidRDefault="00EB34BF" w:rsidP="00336BB5">
            <w:pPr>
              <w:spacing w:after="0" w:line="240" w:lineRule="auto"/>
              <w:jc w:val="center"/>
              <w:rPr>
                <w:rFonts w:ascii="Arial" w:hAnsi="Arial" w:cs="Arial"/>
                <w:sz w:val="20"/>
                <w:szCs w:val="20"/>
              </w:rPr>
            </w:pPr>
          </w:p>
          <w:p w:rsidR="00EB34BF" w:rsidRPr="00805B92" w:rsidRDefault="00EB34BF" w:rsidP="00336BB5">
            <w:pPr>
              <w:spacing w:after="0" w:line="240" w:lineRule="auto"/>
              <w:jc w:val="center"/>
              <w:rPr>
                <w:rFonts w:ascii="Arial" w:hAnsi="Arial" w:cs="Arial"/>
                <w:sz w:val="20"/>
                <w:szCs w:val="20"/>
              </w:rPr>
            </w:pPr>
            <w:r w:rsidRPr="00805B92">
              <w:rPr>
                <w:rFonts w:ascii="Arial" w:hAnsi="Arial" w:cs="Arial"/>
                <w:sz w:val="20"/>
                <w:szCs w:val="20"/>
              </w:rPr>
              <w:t>Kato T et al.</w:t>
            </w:r>
          </w:p>
          <w:p w:rsidR="00EB34BF" w:rsidRPr="00805B92" w:rsidRDefault="00EB34BF" w:rsidP="001F649C">
            <w:pPr>
              <w:spacing w:after="0" w:line="240" w:lineRule="auto"/>
              <w:jc w:val="center"/>
              <w:rPr>
                <w:rFonts w:ascii="Arial" w:hAnsi="Arial" w:cs="Arial"/>
                <w:sz w:val="20"/>
                <w:szCs w:val="20"/>
              </w:rPr>
            </w:pPr>
            <w:r w:rsidRPr="00805B92">
              <w:rPr>
                <w:rFonts w:ascii="Arial" w:hAnsi="Arial" w:cs="Arial"/>
                <w:sz w:val="20"/>
                <w:szCs w:val="20"/>
              </w:rPr>
              <w:t>(2007)</w:t>
            </w:r>
            <w:r>
              <w:rPr>
                <w:rFonts w:ascii="Arial" w:hAnsi="Arial" w:cs="Arial"/>
                <w:sz w:val="20"/>
                <w:szCs w:val="20"/>
              </w:rPr>
              <w:fldChar w:fldCharType="begin" w:fldLock="1"/>
            </w:r>
            <w:r w:rsidR="005C2E82">
              <w:rPr>
                <w:rFonts w:ascii="Arial" w:hAnsi="Arial" w:cs="Arial"/>
                <w:sz w:val="20"/>
                <w:szCs w:val="20"/>
              </w:rPr>
              <w:instrText>ADDIN CSL_CITATION { "citationItems" : [ { "id" : "ITEM-1", "itemData" : { "DOI" : "10.1016/j.braindev.2006.08.015", "ISSN" : "03877604", "PMID" : "17307320", "abstract" : "MPS type II (Hunter disease) results from deficiency of the lysosomal enzyme iduronate-2-sulfate sulfatase. Two forms of the disease have been recognized, based on absence or presence of progressive intellectual deterioration. This study aimed to assess activities of daily life (ADL) in 27 Hunter disease-affected Japanese patients, using a modified version of the functional independence measure (FIM). Scores of ADL for patients with a severe phenotype were significantly lower than those of control children. Total scores were highest around 5-7 years old, then progressively decreased, and scores &lt;40 were obtained with patients aged 9 years or more. In contrast to motor scores, cognitive scores decreased rapidly, generally reaching a minimum score at around 7 years old. On the other hand, in children with attenuated phenotype, total scores increased progressively with age similar to control children. Two children who had the highest grades at elementary school showed maximum scores. However, all adult patients did not show maximum total scores, and 3 of 4 patients over 25 years old showed decreasing scores. Two children and two adults showed significant lower scores compared with other patients, suggesting an intermediate form from the view of ADL. This study elucidated the precise clinical state of Hunter disease with distinct numerical scores, in addition to previously described narrative data. To maintain the QOL of the patients better, they and their family need to know what specific difficulties they encounter, in which period they encounter them, and what support can fix them. Further ADL investigations with larger populations and/or long-term sequential examination could help the patients and family to understand them well. ?? 2007 Elsevier B.V. All rights reserved.", "author" : [ { "dropping-particle" : "", "family" : "Kato", "given" : "Tomomi", "non-dropping-particle" : "", "parse-names" : false, "suffix" : "" }, { "dropping-particle" : "", "family" : "Kato", "given" : "Zenichiro", "non-dropping-particle" : "", "parse-names" : false, "suffix" : "" }, { "dropping-particle" : "", "family" : "Kuratsubo", "given" : "Izumi", "non-dropping-particle" : "", "parse-names" : false, "suffix" : "" }, { "dropping-particle" : "", "family" : "Ota", "given" : "Tetsuo", "non-dropping-particle" : "", "parse-names" : false, "suffix" : "" }, { "dropping-particle" : "", "family" : "Orii", "given" : "Tadao", "non-dropping-particle" : "", "parse-names" : false, "suffix" : "" }, { "dropping-particle" : "", "family" : "Kondo", "given" : "Naomi", "non-dropping-particle" : "", "parse-names" : false, "suffix" : "" }, { "dropping-particle" : "", "family" : "Suzuki", "given" : "Yasuyuki", "non-dropping-particle" : "", "parse-names" : false, "suffix" : "" } ], "container-title" : "Brain and Development", "id" : "ITEM-1", "issue" : "5", "issued" : { "date-parts" : [ [ "2007" ] ] }, "page" : "298-305", "title" : "Evaluation of ADL in patients with Hunter disease using FIM score", "type" : "article-journal", "volume" : "29" }, "uris" : [ "http://www.mendeley.com/documents/?uuid=54fdccb9-1aea-4226-b380-1addec026e0d" ] } ], "mendeley" : { "formattedCitation" : "&lt;sup&gt;28&lt;/sup&gt;", "plainTextFormattedCitation" : "28", "previouslyFormattedCitation" : "&lt;sup&gt;28&lt;/sup&gt;" }, "properties" : { "noteIndex" : 0 }, "schema" : "https://github.com/citation-style-language/schema/raw/master/csl-citation.json" }</w:instrText>
            </w:r>
            <w:r>
              <w:rPr>
                <w:rFonts w:ascii="Arial" w:hAnsi="Arial" w:cs="Arial"/>
                <w:sz w:val="20"/>
                <w:szCs w:val="20"/>
              </w:rPr>
              <w:fldChar w:fldCharType="separate"/>
            </w:r>
            <w:r w:rsidR="001F649C" w:rsidRPr="001F649C">
              <w:rPr>
                <w:rFonts w:ascii="Arial" w:hAnsi="Arial" w:cs="Arial"/>
                <w:noProof/>
                <w:sz w:val="20"/>
                <w:szCs w:val="20"/>
                <w:vertAlign w:val="superscript"/>
              </w:rPr>
              <w:t>28</w:t>
            </w:r>
            <w:r>
              <w:rPr>
                <w:rFonts w:ascii="Arial" w:hAnsi="Arial" w:cs="Arial"/>
                <w:sz w:val="20"/>
                <w:szCs w:val="20"/>
              </w:rPr>
              <w:fldChar w:fldCharType="end"/>
            </w:r>
            <w:r w:rsidRPr="00805B92">
              <w:rPr>
                <w:rFonts w:ascii="Arial" w:hAnsi="Arial" w:cs="Arial"/>
                <w:sz w:val="20"/>
                <w:szCs w:val="20"/>
              </w:rPr>
              <w:t xml:space="preserve"> </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EB34BF" w:rsidRPr="00805B92" w:rsidRDefault="00EB34BF" w:rsidP="00336BB5">
            <w:pPr>
              <w:spacing w:after="0" w:line="240" w:lineRule="auto"/>
              <w:jc w:val="both"/>
              <w:rPr>
                <w:rFonts w:ascii="Arial" w:hAnsi="Arial" w:cs="Arial"/>
                <w:sz w:val="20"/>
                <w:szCs w:val="20"/>
              </w:rPr>
            </w:pPr>
          </w:p>
          <w:p w:rsidR="00EB34BF" w:rsidRPr="00FF1F37" w:rsidRDefault="00EB34BF" w:rsidP="00336BB5">
            <w:pPr>
              <w:spacing w:after="0" w:line="240" w:lineRule="auto"/>
              <w:jc w:val="both"/>
              <w:rPr>
                <w:rFonts w:ascii="Arial" w:hAnsi="Arial" w:cs="Arial"/>
                <w:sz w:val="20"/>
                <w:szCs w:val="20"/>
                <w:lang w:val="en-US"/>
              </w:rPr>
            </w:pPr>
            <w:r w:rsidRPr="00FF1F37">
              <w:rPr>
                <w:rFonts w:ascii="Arial" w:hAnsi="Arial" w:cs="Arial"/>
                <w:sz w:val="20"/>
                <w:szCs w:val="20"/>
                <w:lang w:val="en-US"/>
              </w:rPr>
              <w:t>Evaluation of ADL in patients with Hunter disease using FIM score</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EB34BF" w:rsidRPr="00FF1F37" w:rsidRDefault="00EB34BF" w:rsidP="00336BB5">
            <w:pPr>
              <w:spacing w:after="0" w:line="240" w:lineRule="auto"/>
              <w:jc w:val="both"/>
              <w:rPr>
                <w:rFonts w:ascii="Arial" w:hAnsi="Arial" w:cs="Arial"/>
                <w:sz w:val="20"/>
                <w:szCs w:val="20"/>
                <w:lang w:val="en-US"/>
              </w:rPr>
            </w:pPr>
          </w:p>
          <w:p w:rsidR="00EB34BF" w:rsidRPr="00805B92" w:rsidRDefault="00EB34BF" w:rsidP="00336BB5">
            <w:pPr>
              <w:spacing w:after="0" w:line="240" w:lineRule="auto"/>
              <w:jc w:val="center"/>
              <w:rPr>
                <w:rFonts w:ascii="Arial" w:hAnsi="Arial" w:cs="Arial"/>
                <w:sz w:val="20"/>
                <w:szCs w:val="20"/>
              </w:rPr>
            </w:pPr>
            <w:r>
              <w:rPr>
                <w:rFonts w:ascii="Arial" w:hAnsi="Arial" w:cs="Arial"/>
                <w:sz w:val="20"/>
                <w:szCs w:val="20"/>
              </w:rPr>
              <w:t xml:space="preserve">Japão / </w:t>
            </w:r>
            <w:r w:rsidRPr="00805B92">
              <w:rPr>
                <w:rFonts w:ascii="Arial" w:hAnsi="Arial" w:cs="Arial"/>
                <w:sz w:val="20"/>
                <w:szCs w:val="20"/>
              </w:rPr>
              <w:t>Estudo longitudinal, prospectivo</w:t>
            </w:r>
          </w:p>
        </w:tc>
        <w:tc>
          <w:tcPr>
            <w:tcW w:w="2268" w:type="dxa"/>
            <w:tcBorders>
              <w:top w:val="single" w:sz="4" w:space="0" w:color="00000A"/>
              <w:left w:val="single" w:sz="4" w:space="0" w:color="00000A"/>
              <w:bottom w:val="single" w:sz="4" w:space="0" w:color="00000A"/>
              <w:right w:val="single" w:sz="4" w:space="0" w:color="00000A"/>
            </w:tcBorders>
          </w:tcPr>
          <w:p w:rsidR="00EB34BF" w:rsidRPr="00805B92" w:rsidRDefault="00EB34BF" w:rsidP="00336BB5">
            <w:pPr>
              <w:spacing w:after="0" w:line="240" w:lineRule="auto"/>
              <w:jc w:val="both"/>
              <w:rPr>
                <w:rFonts w:ascii="Arial" w:hAnsi="Arial" w:cs="Arial"/>
                <w:sz w:val="20"/>
                <w:szCs w:val="20"/>
              </w:rPr>
            </w:pPr>
          </w:p>
          <w:p w:rsidR="00EB34BF" w:rsidRPr="00805B92" w:rsidRDefault="00EB34BF" w:rsidP="00336BB5">
            <w:pPr>
              <w:spacing w:after="0" w:line="240" w:lineRule="auto"/>
              <w:jc w:val="both"/>
              <w:rPr>
                <w:rFonts w:ascii="Arial" w:hAnsi="Arial" w:cs="Arial"/>
                <w:sz w:val="20"/>
                <w:szCs w:val="20"/>
              </w:rPr>
            </w:pPr>
            <w:r w:rsidRPr="00805B92">
              <w:rPr>
                <w:rFonts w:ascii="Arial" w:hAnsi="Arial" w:cs="Arial"/>
                <w:sz w:val="20"/>
                <w:szCs w:val="20"/>
              </w:rPr>
              <w:t>Avaliar as atividades de vida diária em pa</w:t>
            </w:r>
            <w:r>
              <w:rPr>
                <w:rFonts w:ascii="Arial" w:hAnsi="Arial" w:cs="Arial"/>
                <w:sz w:val="20"/>
                <w:szCs w:val="20"/>
              </w:rPr>
              <w:t>cientes com Síndrome de Hunter</w:t>
            </w:r>
            <w:r w:rsidRPr="00805B92">
              <w:rPr>
                <w:rFonts w:ascii="Arial" w:hAnsi="Arial" w:cs="Arial"/>
                <w:sz w:val="20"/>
                <w:szCs w:val="20"/>
              </w:rPr>
              <w:t>.</w:t>
            </w:r>
          </w:p>
        </w:tc>
        <w:tc>
          <w:tcPr>
            <w:tcW w:w="1422" w:type="dxa"/>
            <w:tcBorders>
              <w:top w:val="single" w:sz="4" w:space="0" w:color="00000A"/>
              <w:left w:val="single" w:sz="4" w:space="0" w:color="00000A"/>
              <w:bottom w:val="single" w:sz="4" w:space="0" w:color="00000A"/>
              <w:right w:val="single" w:sz="4" w:space="0" w:color="00000A"/>
            </w:tcBorders>
          </w:tcPr>
          <w:p w:rsidR="00EB34BF" w:rsidRDefault="00EB34BF" w:rsidP="00336BB5">
            <w:pPr>
              <w:spacing w:after="0" w:line="240" w:lineRule="auto"/>
              <w:jc w:val="center"/>
              <w:rPr>
                <w:rFonts w:ascii="Arial" w:hAnsi="Arial" w:cs="Arial"/>
                <w:sz w:val="20"/>
                <w:szCs w:val="20"/>
              </w:rPr>
            </w:pPr>
          </w:p>
          <w:p w:rsidR="00EB34BF" w:rsidRPr="00805B92" w:rsidRDefault="00EB34BF" w:rsidP="00336BB5">
            <w:pPr>
              <w:spacing w:after="0" w:line="240" w:lineRule="auto"/>
              <w:jc w:val="center"/>
              <w:rPr>
                <w:rFonts w:ascii="Arial" w:hAnsi="Arial" w:cs="Arial"/>
                <w:sz w:val="20"/>
                <w:szCs w:val="20"/>
              </w:rPr>
            </w:pPr>
            <w:r>
              <w:rPr>
                <w:rFonts w:ascii="Arial" w:hAnsi="Arial" w:cs="Arial"/>
                <w:sz w:val="20"/>
                <w:szCs w:val="20"/>
              </w:rPr>
              <w:t>Versão modificada da MIF (validada no Japão)</w:t>
            </w:r>
          </w:p>
        </w:tc>
      </w:tr>
      <w:tr w:rsidR="00EB34BF" w:rsidRPr="00805B92" w:rsidTr="00336BB5">
        <w:trPr>
          <w:trHeight w:val="387"/>
        </w:trPr>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EB34BF" w:rsidRPr="00805B92" w:rsidRDefault="00EB34BF" w:rsidP="00336BB5">
            <w:pPr>
              <w:spacing w:after="0" w:line="240" w:lineRule="auto"/>
              <w:jc w:val="center"/>
              <w:rPr>
                <w:rFonts w:ascii="Arial" w:hAnsi="Arial" w:cs="Arial"/>
                <w:sz w:val="20"/>
                <w:szCs w:val="20"/>
              </w:rPr>
            </w:pPr>
          </w:p>
          <w:p w:rsidR="00EB34BF" w:rsidRPr="00805B92" w:rsidRDefault="00EB34BF" w:rsidP="00336BB5">
            <w:pPr>
              <w:spacing w:after="0" w:line="240" w:lineRule="auto"/>
              <w:jc w:val="center"/>
              <w:rPr>
                <w:rFonts w:ascii="Arial" w:hAnsi="Arial" w:cs="Arial"/>
                <w:sz w:val="20"/>
                <w:szCs w:val="20"/>
              </w:rPr>
            </w:pPr>
            <w:r w:rsidRPr="00805B92">
              <w:rPr>
                <w:rFonts w:ascii="Arial" w:hAnsi="Arial" w:cs="Arial"/>
                <w:sz w:val="20"/>
                <w:szCs w:val="20"/>
              </w:rPr>
              <w:t>Guarany NR et al.</w:t>
            </w:r>
          </w:p>
          <w:p w:rsidR="00EB34BF" w:rsidRPr="00805B92" w:rsidRDefault="00EB34BF" w:rsidP="001F649C">
            <w:pPr>
              <w:spacing w:after="0" w:line="240" w:lineRule="auto"/>
              <w:jc w:val="center"/>
              <w:rPr>
                <w:rFonts w:ascii="Arial" w:hAnsi="Arial" w:cs="Arial"/>
                <w:sz w:val="20"/>
                <w:szCs w:val="20"/>
              </w:rPr>
            </w:pPr>
            <w:r w:rsidRPr="00805B92">
              <w:rPr>
                <w:rFonts w:ascii="Arial" w:hAnsi="Arial" w:cs="Arial"/>
                <w:sz w:val="20"/>
                <w:szCs w:val="20"/>
              </w:rPr>
              <w:t>(2012)</w:t>
            </w:r>
            <w:r w:rsidRPr="00805B92">
              <w:rPr>
                <w:rFonts w:ascii="Arial" w:hAnsi="Arial" w:cs="Arial"/>
                <w:sz w:val="20"/>
                <w:szCs w:val="20"/>
              </w:rPr>
              <w:fldChar w:fldCharType="begin" w:fldLock="1"/>
            </w:r>
            <w:r w:rsidR="005C2E82">
              <w:rPr>
                <w:rFonts w:ascii="Arial" w:hAnsi="Arial" w:cs="Arial"/>
                <w:sz w:val="20"/>
                <w:szCs w:val="20"/>
              </w:rPr>
              <w:instrText>ADDIN CSL_CITATION { "citationItems" : [ { "id" : "ITEM-1", "itemData" : { "DOI" : "10.3233/PRM-2012-0194", "ISSN" : "18745393", "PMID" : "22543891", "abstract" : "The mucopolysaccharidoses (MPS) are rare genetic disorders caused by a deficiency in lysosomal enzymes that affect the catabolism of glycosaminoglycans and cause their accumulation, resulting in a multisystemic clinical picture. Their clinical manifestations result in limited ability to perform daily life tasks.", "author" : [ { "dropping-particle" : "", "family" : "Guarany", "given" : "Nicole Ruas", "non-dropping-particle" : "", "parse-names" : false, "suffix" : "" }, { "dropping-particle" : "", "family" : "Schwartz", "given" : "Ida Vanessa D", "non-dropping-particle" : "", "parse-names" : false, "suffix" : "" }, { "dropping-particle" : "", "family" : "Guarany", "given" : "F\u00e1bio Coelho", "non-dropping-particle" : "", "parse-names" : false, "suffix" : "" }, { "dropping-particle" : "", "family" : "Giugliani", "given" : "Roberto", "non-dropping-particle" : "", "parse-names" : false, "suffix" : "" } ], "container-title" : "Journal of Pediatric Rehabilitation Medicine", "id" : "ITEM-1", "issue" : "1", "issued" : { "date-parts" : [ [ "2012" ] ] }, "page" : "37-46", "title" : "Functional capacity evaluation of patients with mucopolysaccharidosis", "type" : "article-journal", "volume" : "5" }, "uris" : [ "http://www.mendeley.com/documents/?uuid=4129becd-066a-4258-a413-78a5846e72a7" ] } ], "mendeley" : { "formattedCitation" : "&lt;sup&gt;32&lt;/sup&gt;", "plainTextFormattedCitation" : "32", "previouslyFormattedCitation" : "&lt;sup&gt;32&lt;/sup&gt;" }, "properties" : { "noteIndex" : 0 }, "schema" : "https://github.com/citation-style-language/schema/raw/master/csl-citation.json" }</w:instrText>
            </w:r>
            <w:r w:rsidRPr="00805B92">
              <w:rPr>
                <w:rFonts w:ascii="Arial" w:hAnsi="Arial" w:cs="Arial"/>
                <w:sz w:val="20"/>
                <w:szCs w:val="20"/>
              </w:rPr>
              <w:fldChar w:fldCharType="separate"/>
            </w:r>
            <w:r w:rsidR="001F649C" w:rsidRPr="001F649C">
              <w:rPr>
                <w:rFonts w:ascii="Arial" w:hAnsi="Arial" w:cs="Arial"/>
                <w:noProof/>
                <w:sz w:val="20"/>
                <w:szCs w:val="20"/>
                <w:vertAlign w:val="superscript"/>
              </w:rPr>
              <w:t>32</w:t>
            </w:r>
            <w:r w:rsidRPr="00805B92">
              <w:rPr>
                <w:rFonts w:ascii="Arial" w:hAnsi="Arial" w:cs="Arial"/>
                <w:sz w:val="20"/>
                <w:szCs w:val="20"/>
              </w:rPr>
              <w:fldChar w:fldCharType="end"/>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EB34BF" w:rsidRPr="00FF1F37" w:rsidRDefault="00EB34BF" w:rsidP="00336BB5">
            <w:pPr>
              <w:spacing w:after="0" w:line="240" w:lineRule="auto"/>
              <w:jc w:val="both"/>
              <w:rPr>
                <w:rFonts w:ascii="Arial" w:hAnsi="Arial" w:cs="Arial"/>
                <w:sz w:val="20"/>
                <w:szCs w:val="20"/>
                <w:lang w:val="en-US"/>
              </w:rPr>
            </w:pPr>
          </w:p>
          <w:p w:rsidR="00EB34BF" w:rsidRPr="00FF1F37" w:rsidRDefault="00EB34BF" w:rsidP="00336BB5">
            <w:pPr>
              <w:spacing w:after="0" w:line="240" w:lineRule="auto"/>
              <w:jc w:val="both"/>
              <w:rPr>
                <w:rFonts w:ascii="Arial" w:hAnsi="Arial" w:cs="Arial"/>
                <w:sz w:val="20"/>
                <w:szCs w:val="20"/>
                <w:shd w:val="clear" w:color="auto" w:fill="00FFFF"/>
                <w:lang w:val="en-US"/>
              </w:rPr>
            </w:pPr>
            <w:r w:rsidRPr="00FF1F37">
              <w:rPr>
                <w:rFonts w:ascii="Arial" w:hAnsi="Arial" w:cs="Arial"/>
                <w:sz w:val="20"/>
                <w:szCs w:val="20"/>
                <w:lang w:val="en-US"/>
              </w:rPr>
              <w:t>Functional capacity evaluation of patients with mucopolysaccharidosis</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EB34BF" w:rsidRPr="00FF1F37" w:rsidRDefault="00EB34BF" w:rsidP="00336BB5">
            <w:pPr>
              <w:spacing w:after="0" w:line="240" w:lineRule="auto"/>
              <w:jc w:val="both"/>
              <w:rPr>
                <w:rFonts w:ascii="Arial" w:hAnsi="Arial" w:cs="Arial"/>
                <w:sz w:val="20"/>
                <w:szCs w:val="20"/>
                <w:shd w:val="clear" w:color="auto" w:fill="00FFFF"/>
                <w:lang w:val="en-US"/>
              </w:rPr>
            </w:pPr>
          </w:p>
          <w:p w:rsidR="00EB34BF" w:rsidRPr="00805B92" w:rsidRDefault="00EB34BF" w:rsidP="00336BB5">
            <w:pPr>
              <w:spacing w:after="0" w:line="240" w:lineRule="auto"/>
              <w:jc w:val="center"/>
              <w:rPr>
                <w:rFonts w:ascii="Arial" w:hAnsi="Arial" w:cs="Arial"/>
                <w:sz w:val="20"/>
                <w:szCs w:val="20"/>
              </w:rPr>
            </w:pPr>
            <w:r>
              <w:rPr>
                <w:rFonts w:ascii="Arial" w:hAnsi="Arial" w:cs="Arial"/>
                <w:sz w:val="20"/>
                <w:szCs w:val="20"/>
              </w:rPr>
              <w:t xml:space="preserve">Brasil / </w:t>
            </w:r>
            <w:r w:rsidRPr="00805B92">
              <w:rPr>
                <w:rFonts w:ascii="Arial" w:hAnsi="Arial" w:cs="Arial"/>
                <w:sz w:val="20"/>
                <w:szCs w:val="20"/>
              </w:rPr>
              <w:t>Estudo longitudinal, prospectivo</w:t>
            </w:r>
          </w:p>
        </w:tc>
        <w:tc>
          <w:tcPr>
            <w:tcW w:w="2268" w:type="dxa"/>
            <w:tcBorders>
              <w:top w:val="single" w:sz="4" w:space="0" w:color="00000A"/>
              <w:left w:val="single" w:sz="4" w:space="0" w:color="00000A"/>
              <w:bottom w:val="single" w:sz="4" w:space="0" w:color="00000A"/>
              <w:right w:val="single" w:sz="4" w:space="0" w:color="00000A"/>
            </w:tcBorders>
          </w:tcPr>
          <w:p w:rsidR="00EB34BF" w:rsidRPr="00805B92" w:rsidRDefault="00EB34BF" w:rsidP="00336BB5">
            <w:pPr>
              <w:spacing w:after="0" w:line="240" w:lineRule="auto"/>
              <w:jc w:val="both"/>
              <w:rPr>
                <w:rFonts w:ascii="Arial" w:hAnsi="Arial" w:cs="Arial"/>
                <w:sz w:val="20"/>
                <w:szCs w:val="20"/>
              </w:rPr>
            </w:pPr>
          </w:p>
          <w:p w:rsidR="00EB34BF" w:rsidRPr="00805B92" w:rsidRDefault="00EB34BF" w:rsidP="00336BB5">
            <w:pPr>
              <w:spacing w:after="0" w:line="240" w:lineRule="auto"/>
              <w:jc w:val="both"/>
              <w:rPr>
                <w:rFonts w:ascii="Arial" w:hAnsi="Arial" w:cs="Arial"/>
                <w:sz w:val="20"/>
                <w:szCs w:val="20"/>
              </w:rPr>
            </w:pPr>
            <w:r w:rsidRPr="00805B92">
              <w:rPr>
                <w:rFonts w:ascii="Arial" w:hAnsi="Arial" w:cs="Arial"/>
                <w:sz w:val="20"/>
                <w:szCs w:val="20"/>
              </w:rPr>
              <w:t>Avaliar a capacidade funcional e amplitude de movimento articular em pacientes com MPS.</w:t>
            </w:r>
          </w:p>
        </w:tc>
        <w:tc>
          <w:tcPr>
            <w:tcW w:w="1422" w:type="dxa"/>
            <w:tcBorders>
              <w:top w:val="single" w:sz="4" w:space="0" w:color="00000A"/>
              <w:left w:val="single" w:sz="4" w:space="0" w:color="00000A"/>
              <w:bottom w:val="single" w:sz="4" w:space="0" w:color="00000A"/>
              <w:right w:val="single" w:sz="4" w:space="0" w:color="00000A"/>
            </w:tcBorders>
          </w:tcPr>
          <w:p w:rsidR="00EB34BF" w:rsidRDefault="00EB34BF" w:rsidP="00336BB5">
            <w:pPr>
              <w:spacing w:after="0" w:line="240" w:lineRule="auto"/>
              <w:jc w:val="center"/>
              <w:rPr>
                <w:rFonts w:ascii="Arial" w:hAnsi="Arial" w:cs="Arial"/>
                <w:sz w:val="20"/>
                <w:szCs w:val="20"/>
              </w:rPr>
            </w:pPr>
          </w:p>
          <w:p w:rsidR="00EB34BF" w:rsidRPr="00805B92" w:rsidRDefault="00EB34BF" w:rsidP="00336BB5">
            <w:pPr>
              <w:spacing w:after="0" w:line="240" w:lineRule="auto"/>
              <w:jc w:val="center"/>
              <w:rPr>
                <w:rFonts w:ascii="Arial" w:hAnsi="Arial" w:cs="Arial"/>
                <w:sz w:val="20"/>
                <w:szCs w:val="20"/>
              </w:rPr>
            </w:pPr>
            <w:r>
              <w:rPr>
                <w:rFonts w:ascii="Arial" w:hAnsi="Arial" w:cs="Arial"/>
                <w:sz w:val="20"/>
                <w:szCs w:val="20"/>
              </w:rPr>
              <w:t>PEDI / MIF / Goniometria</w:t>
            </w:r>
          </w:p>
        </w:tc>
      </w:tr>
      <w:tr w:rsidR="00EB34BF" w:rsidRPr="00805B92" w:rsidTr="00336BB5">
        <w:trPr>
          <w:trHeight w:val="387"/>
        </w:trPr>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EB34BF" w:rsidRDefault="00EB34BF" w:rsidP="00336BB5">
            <w:pPr>
              <w:spacing w:after="0" w:line="240" w:lineRule="auto"/>
              <w:jc w:val="center"/>
              <w:rPr>
                <w:rFonts w:ascii="Arial" w:hAnsi="Arial" w:cs="Arial"/>
                <w:sz w:val="20"/>
                <w:szCs w:val="20"/>
              </w:rPr>
            </w:pPr>
          </w:p>
          <w:p w:rsidR="00EB34BF" w:rsidRPr="00805B92" w:rsidRDefault="00EB34BF" w:rsidP="00412B48">
            <w:pPr>
              <w:spacing w:after="0" w:line="240" w:lineRule="auto"/>
              <w:jc w:val="center"/>
              <w:rPr>
                <w:rFonts w:ascii="Arial" w:hAnsi="Arial" w:cs="Arial"/>
                <w:sz w:val="20"/>
                <w:szCs w:val="20"/>
              </w:rPr>
            </w:pPr>
            <w:r>
              <w:rPr>
                <w:rFonts w:ascii="Arial" w:hAnsi="Arial" w:cs="Arial"/>
                <w:sz w:val="20"/>
                <w:szCs w:val="20"/>
              </w:rPr>
              <w:t>Hendriksz et al. (2015)</w:t>
            </w:r>
            <w:r>
              <w:rPr>
                <w:rFonts w:ascii="Arial" w:hAnsi="Arial" w:cs="Arial"/>
                <w:sz w:val="20"/>
                <w:szCs w:val="20"/>
              </w:rPr>
              <w:fldChar w:fldCharType="begin" w:fldLock="1"/>
            </w:r>
            <w:r w:rsidR="00195481">
              <w:rPr>
                <w:rFonts w:ascii="Arial" w:hAnsi="Arial" w:cs="Arial"/>
                <w:sz w:val="20"/>
                <w:szCs w:val="20"/>
              </w:rPr>
              <w:instrText>ADDIN CSL_CITATION { "citationItems" : [ { "id" : "ITEM-1", "itemData" : { "DOI" : "10.1016/j.ymgme.2014.08.012", "ISSN" : "10967206", "PMID" : "25284089", "abstract" : "Objective: To report and discuss the multi-domain impact of elosulfase alfa, with focus on tertiary and composite endpoints, in the 24-week, randomized, double-blind, placebo-controlled phase 3 trial in patients with Morquio A syndrome (mucopolysaccharidosis IVA). Methods: Patients with Morquio A syndrome aged ???. 5. years were randomized 1:1:1 to elosulfase alfa 2.0. mg/kg/week (qw; N. = 58), elosulfase alfa 2.0. mg/kg/every other week (qow; N. = 59), or placebo (N. = 59) for 24. weeks. Primary and secondary efficacy measures were 6-minute walk test (6MWT; primary), 3-minute stair climb test (3-MSCT) and urinary keratan sulfate (KS). Safety was also evaluated. Tertiary efficacy measures included respiratory function measures, activities of daily living (MPS Health Assessment Questionnaire [MPS-HAQ]), anthropometric, echocardiographic and radiographic measures, hearing and corneal clouding assessment. In order to fully characterize treatment impact in this heterogeneous disorder, the effect of elosulfase alfa on composite efficacy measures was evaluated as well. Results: The study was not designed to have sufficient power for any of the tertiary outcomes. For most tertiary endpoints, subjects treated with the weekly dose of elosulfase alfa improved more than those receiving placebo. The largest treatment effects were seen in maximal voluntary ventilation (MVV), MPS-HAQ, height, and growth rate. The qow group appeared similar to placebo. The analysis of a pre-specified composite endpoint (combining changes from baseline in 6MWT, 3MSCT and MVV z-scores equally weighted) showed a modest positive impact of elosulfase alfa qw versus placebo group (P= 0.053). As a pre-specified supportive analysis, the O'Brien Rank Sum composite endpoint (changes from baseline in 6MWT, 3MSC, and MVV), analysis also showed that the qw group performed better than the placebo group (P= 0.011). In post-hoc analyses, combinations of other endpoints were also explored using the O'Brien Rank Sum test and showed statistically significant differences between elosulfase alfa qw and placebo favoring elosulfase alfa qw. Differences between elosulfase alfa qow and placebo were not statistically significant. Positive changes were observed in most tertiary variables, demonstrating the efficacy of weekly treatment with elosulfase alfa. Conclusions: Treatment with weekly elosulfase alfa led to improvements across most efficacy measures, resulting in clinically meaningful benefits in a hetero\u2026", "author" : [ { "dropping-particle" : "", "family" : "Hendriksz", "given" : "Christian J.", "non-dropping-particle" : "", "parse-names" : false, "suffix" : "" }, { "dropping-particle" : "", "family" : "Giugliani", "given" : "Roberto", "non-dropping-particle" : "", "parse-names" : false, "suffix" : "" }, { "dropping-particle" : "", "family" : "Harmatz", "given" : "Paul", "non-dropping-particle" : "", "parse-names" : false, "suffix" : "" }, { "dropping-particle" : "", "family" : "Mengel", "given" : "Eugen", "non-dropping-particle" : "", "parse-names" : false, "suffix" : "" }, { "dropping-particle" : "", "family" : "Guffon", "given" : "Nathalie", "non-dropping-particle" : "", "parse-names" : false, "suffix" : "" }, { "dropping-particle" : "", "family" : "Valayannopoulos", "given" : "Vassili", "non-dropping-particle" : "", "parse-names" : false, "suffix" : "" }, { "dropping-particle" : "", "family" : "Parini", "given" : "Rossella", "non-dropping-particle" : "", "parse-names" : false, "suffix" : "" }, { "dropping-particle" : "", "family" : "Hughes", "given" : "Derralynn A.", "non-dropping-particle" : "", "parse-names" : false, "suffix" : "" }, { "dropping-particle" : "", "family" : "Pastores", "given" : "Gregory M.", "non-dropping-particle" : "", "parse-names" : false, "suffix" : "" }, { "dropping-particle" : "", "family" : "Lau", "given" : "Heather A.", "non-dropping-particle" : "", "parse-names" : false, "suffix" : "" }, { "dropping-particle" : "", "family" : "Al-Sayed", "given" : "Moeenaldeen D.", "non-dropping-particle" : "", "parse-names" : false, "suffix" : "" }, { "dropping-particle" : "", "family" : "Raiman", "given" : "Julian", "non-dropping-particle" : "", "parse-names" : false, "suffix" : "" }, { "dropping-particle" : "", "family" : "Ben-Omran", "given" : "Tawfeg", "non-dropping-particle" : "", "parse-names" : false, "suffix" : "" }, { "dropping-particle" : "", "family" : "Bober", "given" : "Michael B.", "non-dropping-particle" : "", "parse-names" : false, "suffix" : "" }, { "dropping-particle" : "", "family" : "Burton", "given" : "Barbara K.", "non-dropping-particle" : "", "parse-names" : false, "suffix" : "" }, { "dropping-particle" : "", "family" : "Cleary", "given" : "Maureen A.", "non-dropping-particle" : "", "parse-names" : false, "suffix" : "" }, { "dropping-particle" : "", "family" : "Dali", "given" : "Christine I.", "non-dropping-particle" : "", "parse-names" : false, "suffix" : "" }, { "dropping-particle" : "", "family" : "Medeiros", "given" : "Paula Frassinetti Vasconcelos", "non-dropping-particle" : "de", "parse-names" : false, "suffix" : "" }, { "dropping-particle" : "", "family" : "Guelbert", "given" : "Norberto B.", "non-dropping-particle" : "", "parse-names" : false, "suffix" : "" }, { "dropping-particle" : "", "family" : "Hiwot", "given" : "Tarekegn G.", "non-dropping-particle" : "", "parse-names" : false, "suffix" : "" }, { "dropping-particle" : "", "family" : "Jin", "given" : "Dong Kyu", "non-dropping-particle" : "", "parse-names" : false, "suffix" : "" }, { "dropping-particle" : "", "family" : "Jones", "given" : "Simon A.", "non-dropping-particle" : "", "parse-names" : false, "suffix" : "" }, { "dropping-particle" : "", "family" : "Lin", "given" : "Shuan Pei", "non-dropping-particle" : "", "parse-names" : false, "suffix" : "" }, { "dropping-particle" : "", "family" : "Maranda", "given" : "Bruno", "non-dropping-particle" : "", "parse-names" : false, "suffix" : "" }, { "dropping-particle" : "", "family" : "Mitchell", "given" : "John J.", "non-dropping-particle" : "", "parse-names" : false, "suffix" : "" }, { "dropping-particle" : "", "family" : "Murphy", "given" : "Elaine Mary", "non-dropping-particle" : "", "parse-names" : false, "suffix" : "" }, { "dropping-particle" : "", "family" : "Muschol", "given" : "Nicole", "non-dropping-particle" : "", "parse-names" : false, "suffix" : "" }, { "dropping-particle" : "", "family" : "Okuyama", "given" : "Torayuki", "non-dropping-particle" : "", "parse-names" : false, "suffix" : "" }, { "dropping-particle" : "", "family" : "Santra", "given" : "Saikat", "non-dropping-particle" : "", "parse-names" : false, "suffix" : "" }, { "dropping-particle" : "", "family" : "Villarreal", "given" : "Martha L Solano", "non-dropping-particle" : "", "parse-names" : false, "suffix" : "" }, { "dropping-particle" : "", "family" : "Steiner", "given" : "Robert", "non-dropping-particle" : "", "parse-names" : false, "suffix" : "" }, { "dropping-particle" : "", "family" : "Tanpaiboon", "given" : "Pranoot", "non-dropping-particle" : "", "parse-names" : false, "suffix" : "" }, { "dropping-particle" : "", "family" : "Valente", "given" : "Paula Cristina", "non-dropping-particle" : "", "parse-names" : false, "suffix" : "" }, { "dropping-particle" : "", "family" : "Matos", "given" : "Santos Baptista Garcia", "non-dropping-particle" : "", "parse-names" : false, "suffix" : "" }, { "dropping-particle" : "", "family" : "Vellodi", "given" : "Ashok", "non-dropping-particle" : "", "parse-names" : false, "suffix" : "" }, { "dropping-particle" : "", "family" : "White", "given" : "Klane K.", "non-dropping-particle" : "", "parse-names" : false, "suffix" : "" }, { "dropping-particle" : "", "family" : "Wijburg", "given" : "Frits A.", "non-dropping-particle" : "", "parse-names" : false, "suffix" : "" }, { "dropping-particle" : "", "family" : "Yang", "given" : "Ke", "non-dropping-particle" : "", "parse-names" : false, "suffix" : "" }, { "dropping-particle" : "", "family" : "Mealiffe", "given" : "Matthew", "non-dropping-particle" : "", "parse-names" : false, "suffix" : "" }, { "dropping-particle" : "", "family" : "Haller", "given" : "Christine", "non-dropping-particle" : "", "parse-names" : false, "suffix" : "" } ], "container-title" : "Molecular Genetics and Metabolism", "id" : "ITEM-1", "issue" : "2", "issued" : { "date-parts" : [ [ "2015" ] ] }, "page" : "178-185", "publisher" : "Elsevier B.V.", "title" : "Multi-domain impact of elosufase alfa in Morquio A syndrome in the pivotal phase III trial", "type" : "article-journal", "volume" : "114" }, "uris" : [ "http://www.mendeley.com/documents/?uuid=b27e6abd-0284-4dea-ac8a-6284a37ce568" ] } ], "mendeley" : { "formattedCitation" : "&lt;sup&gt;80&lt;/sup&gt;", "plainTextFormattedCitation" : "80", "previouslyFormattedCitation" : "&lt;sup&gt;80&lt;/sup&gt;" }, "properties" : { "noteIndex" : 0 }, "schema" : "https://github.com/citation-style-language/schema/raw/master/csl-citation.json" }</w:instrText>
            </w:r>
            <w:r>
              <w:rPr>
                <w:rFonts w:ascii="Arial" w:hAnsi="Arial" w:cs="Arial"/>
                <w:sz w:val="20"/>
                <w:szCs w:val="20"/>
              </w:rPr>
              <w:fldChar w:fldCharType="separate"/>
            </w:r>
            <w:r w:rsidR="00412B48" w:rsidRPr="00412B48">
              <w:rPr>
                <w:rFonts w:ascii="Arial" w:hAnsi="Arial" w:cs="Arial"/>
                <w:noProof/>
                <w:sz w:val="20"/>
                <w:szCs w:val="20"/>
                <w:vertAlign w:val="superscript"/>
              </w:rPr>
              <w:t>80</w:t>
            </w:r>
            <w:r>
              <w:rPr>
                <w:rFonts w:ascii="Arial" w:hAnsi="Arial" w:cs="Arial"/>
                <w:sz w:val="20"/>
                <w:szCs w:val="20"/>
              </w:rPr>
              <w:fldChar w:fldCharType="end"/>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EB34BF" w:rsidRDefault="00EB34BF" w:rsidP="00336BB5">
            <w:pPr>
              <w:spacing w:after="0" w:line="240" w:lineRule="auto"/>
              <w:jc w:val="both"/>
              <w:rPr>
                <w:rFonts w:ascii="Arial" w:hAnsi="Arial" w:cs="Arial"/>
                <w:color w:val="222222"/>
                <w:sz w:val="20"/>
                <w:szCs w:val="20"/>
                <w:shd w:val="clear" w:color="auto" w:fill="FFFFFF"/>
              </w:rPr>
            </w:pPr>
          </w:p>
          <w:p w:rsidR="00EB34BF" w:rsidRPr="00086B57" w:rsidRDefault="00EB34BF" w:rsidP="00336BB5">
            <w:pPr>
              <w:spacing w:after="0" w:line="240" w:lineRule="auto"/>
              <w:jc w:val="both"/>
              <w:rPr>
                <w:rFonts w:ascii="Arial" w:hAnsi="Arial" w:cs="Arial"/>
                <w:sz w:val="20"/>
                <w:szCs w:val="20"/>
              </w:rPr>
            </w:pPr>
            <w:proofErr w:type="spellStart"/>
            <w:r>
              <w:rPr>
                <w:rFonts w:ascii="Arial" w:hAnsi="Arial" w:cs="Arial"/>
                <w:color w:val="222222"/>
                <w:sz w:val="20"/>
                <w:szCs w:val="20"/>
                <w:shd w:val="clear" w:color="auto" w:fill="FFFFFF"/>
              </w:rPr>
              <w:t>Multi-domain</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impact</w:t>
            </w:r>
            <w:proofErr w:type="spellEnd"/>
            <w:r>
              <w:rPr>
                <w:rFonts w:ascii="Arial" w:hAnsi="Arial" w:cs="Arial"/>
                <w:color w:val="222222"/>
                <w:sz w:val="20"/>
                <w:szCs w:val="20"/>
                <w:shd w:val="clear" w:color="auto" w:fill="FFFFFF"/>
              </w:rPr>
              <w:t xml:space="preserve"> of elosulfase alfa in Morquio A </w:t>
            </w:r>
            <w:proofErr w:type="spellStart"/>
            <w:r>
              <w:rPr>
                <w:rFonts w:ascii="Arial" w:hAnsi="Arial" w:cs="Arial"/>
                <w:color w:val="222222"/>
                <w:sz w:val="20"/>
                <w:szCs w:val="20"/>
                <w:shd w:val="clear" w:color="auto" w:fill="FFFFFF"/>
              </w:rPr>
              <w:t>syndrome</w:t>
            </w:r>
            <w:proofErr w:type="spellEnd"/>
            <w:r>
              <w:rPr>
                <w:rFonts w:ascii="Arial" w:hAnsi="Arial" w:cs="Arial"/>
                <w:color w:val="222222"/>
                <w:sz w:val="20"/>
                <w:szCs w:val="20"/>
                <w:shd w:val="clear" w:color="auto" w:fill="FFFFFF"/>
              </w:rPr>
              <w:t xml:space="preserve"> in </w:t>
            </w:r>
            <w:proofErr w:type="spellStart"/>
            <w:r>
              <w:rPr>
                <w:rFonts w:ascii="Arial" w:hAnsi="Arial" w:cs="Arial"/>
                <w:color w:val="222222"/>
                <w:sz w:val="20"/>
                <w:szCs w:val="20"/>
                <w:shd w:val="clear" w:color="auto" w:fill="FFFFFF"/>
              </w:rPr>
              <w:t>the</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pivotal</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phase</w:t>
            </w:r>
            <w:proofErr w:type="spellEnd"/>
            <w:r>
              <w:rPr>
                <w:rFonts w:ascii="Arial" w:hAnsi="Arial" w:cs="Arial"/>
                <w:color w:val="222222"/>
                <w:sz w:val="20"/>
                <w:szCs w:val="20"/>
                <w:shd w:val="clear" w:color="auto" w:fill="FFFFFF"/>
              </w:rPr>
              <w:t xml:space="preserve"> III </w:t>
            </w:r>
            <w:proofErr w:type="spellStart"/>
            <w:r>
              <w:rPr>
                <w:rFonts w:ascii="Arial" w:hAnsi="Arial" w:cs="Arial"/>
                <w:color w:val="222222"/>
                <w:sz w:val="20"/>
                <w:szCs w:val="20"/>
                <w:shd w:val="clear" w:color="auto" w:fill="FFFFFF"/>
              </w:rPr>
              <w:t>trial</w:t>
            </w:r>
            <w:proofErr w:type="spellEnd"/>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EB34BF" w:rsidRDefault="00EB34BF" w:rsidP="00336BB5">
            <w:pPr>
              <w:spacing w:after="0" w:line="240" w:lineRule="auto"/>
              <w:jc w:val="center"/>
              <w:rPr>
                <w:rFonts w:ascii="Arial" w:hAnsi="Arial" w:cs="Arial"/>
                <w:sz w:val="20"/>
                <w:szCs w:val="20"/>
              </w:rPr>
            </w:pPr>
          </w:p>
          <w:p w:rsidR="00EB34BF" w:rsidRPr="00805B92" w:rsidRDefault="00EB34BF" w:rsidP="00336BB5">
            <w:pPr>
              <w:spacing w:after="0" w:line="240" w:lineRule="auto"/>
              <w:jc w:val="center"/>
              <w:rPr>
                <w:rFonts w:ascii="Arial" w:hAnsi="Arial" w:cs="Arial"/>
                <w:sz w:val="20"/>
                <w:szCs w:val="20"/>
              </w:rPr>
            </w:pPr>
            <w:r>
              <w:rPr>
                <w:rFonts w:ascii="Arial" w:hAnsi="Arial" w:cs="Arial"/>
                <w:sz w:val="20"/>
                <w:szCs w:val="20"/>
              </w:rPr>
              <w:t>Multicêntrico (17 países) / Estudo duplo-cego, randomizado, controlado com placebo</w:t>
            </w:r>
          </w:p>
        </w:tc>
        <w:tc>
          <w:tcPr>
            <w:tcW w:w="2268" w:type="dxa"/>
            <w:tcBorders>
              <w:top w:val="single" w:sz="4" w:space="0" w:color="00000A"/>
              <w:left w:val="single" w:sz="4" w:space="0" w:color="00000A"/>
              <w:bottom w:val="single" w:sz="4" w:space="0" w:color="00000A"/>
              <w:right w:val="single" w:sz="4" w:space="0" w:color="00000A"/>
            </w:tcBorders>
          </w:tcPr>
          <w:p w:rsidR="00EB34BF" w:rsidRDefault="00EB34BF" w:rsidP="00336BB5">
            <w:pPr>
              <w:spacing w:after="0" w:line="240" w:lineRule="auto"/>
              <w:jc w:val="both"/>
              <w:rPr>
                <w:rFonts w:ascii="Arial" w:hAnsi="Arial" w:cs="Arial"/>
                <w:sz w:val="20"/>
                <w:szCs w:val="20"/>
              </w:rPr>
            </w:pPr>
          </w:p>
          <w:p w:rsidR="00EB34BF" w:rsidRPr="00805B92" w:rsidRDefault="00EB34BF" w:rsidP="00336BB5">
            <w:pPr>
              <w:spacing w:after="0" w:line="240" w:lineRule="auto"/>
              <w:jc w:val="both"/>
              <w:rPr>
                <w:rFonts w:ascii="Arial" w:hAnsi="Arial" w:cs="Arial"/>
                <w:sz w:val="20"/>
                <w:szCs w:val="20"/>
              </w:rPr>
            </w:pPr>
            <w:r>
              <w:rPr>
                <w:rFonts w:ascii="Arial" w:hAnsi="Arial" w:cs="Arial"/>
                <w:sz w:val="20"/>
                <w:szCs w:val="20"/>
              </w:rPr>
              <w:t>Discutir o impacto da TRE (enzima elosulfase alfa) nos diferentes domínios (medidas de eficácia terciária, incluindo AVD) em pacientes com MPS tipo IV-A.</w:t>
            </w:r>
          </w:p>
        </w:tc>
        <w:tc>
          <w:tcPr>
            <w:tcW w:w="1422" w:type="dxa"/>
            <w:tcBorders>
              <w:top w:val="single" w:sz="4" w:space="0" w:color="00000A"/>
              <w:left w:val="single" w:sz="4" w:space="0" w:color="00000A"/>
              <w:bottom w:val="single" w:sz="4" w:space="0" w:color="00000A"/>
              <w:right w:val="single" w:sz="4" w:space="0" w:color="00000A"/>
            </w:tcBorders>
          </w:tcPr>
          <w:p w:rsidR="00EB34BF" w:rsidRDefault="00EB34BF" w:rsidP="00336BB5">
            <w:pPr>
              <w:spacing w:after="0" w:line="240" w:lineRule="auto"/>
              <w:jc w:val="center"/>
              <w:rPr>
                <w:rFonts w:ascii="Arial" w:hAnsi="Arial" w:cs="Arial"/>
                <w:sz w:val="20"/>
                <w:szCs w:val="20"/>
              </w:rPr>
            </w:pPr>
          </w:p>
          <w:p w:rsidR="00EB34BF" w:rsidRPr="00805B92" w:rsidRDefault="00EB34BF" w:rsidP="00336BB5">
            <w:pPr>
              <w:spacing w:after="0" w:line="240" w:lineRule="auto"/>
              <w:jc w:val="center"/>
              <w:rPr>
                <w:rFonts w:ascii="Arial" w:hAnsi="Arial" w:cs="Arial"/>
                <w:sz w:val="20"/>
                <w:szCs w:val="20"/>
              </w:rPr>
            </w:pPr>
            <w:r>
              <w:rPr>
                <w:rFonts w:ascii="Arial" w:hAnsi="Arial" w:cs="Arial"/>
                <w:sz w:val="20"/>
                <w:szCs w:val="20"/>
              </w:rPr>
              <w:t>MPS-HAQ</w:t>
            </w:r>
          </w:p>
        </w:tc>
      </w:tr>
    </w:tbl>
    <w:p w:rsidR="00EB34BF" w:rsidRDefault="00EB34BF" w:rsidP="00EB34BF">
      <w:pPr>
        <w:spacing w:after="0" w:line="360" w:lineRule="auto"/>
        <w:jc w:val="both"/>
        <w:rPr>
          <w:rFonts w:ascii="Arial" w:hAnsi="Arial" w:cs="Arial"/>
          <w:sz w:val="24"/>
          <w:szCs w:val="24"/>
        </w:rPr>
      </w:pPr>
    </w:p>
    <w:p w:rsidR="00344ED2" w:rsidRDefault="00344ED2" w:rsidP="00344ED2">
      <w:pPr>
        <w:spacing w:after="0" w:line="240" w:lineRule="auto"/>
        <w:jc w:val="both"/>
        <w:rPr>
          <w:rFonts w:ascii="Arial" w:hAnsi="Arial" w:cs="Arial"/>
          <w:sz w:val="24"/>
          <w:szCs w:val="24"/>
        </w:rPr>
      </w:pPr>
      <w:r w:rsidRPr="00344ED2">
        <w:rPr>
          <w:rFonts w:ascii="Arial" w:hAnsi="Arial" w:cs="Arial"/>
          <w:b/>
          <w:sz w:val="24"/>
          <w:szCs w:val="24"/>
        </w:rPr>
        <w:lastRenderedPageBreak/>
        <w:t>Quadro 3 –</w:t>
      </w:r>
      <w:r>
        <w:rPr>
          <w:rFonts w:ascii="Arial" w:hAnsi="Arial" w:cs="Arial"/>
          <w:sz w:val="24"/>
          <w:szCs w:val="24"/>
        </w:rPr>
        <w:t xml:space="preserve"> Resumo de estudos sobre avaliação funcional de pacientes com mucopolissacaridoses (continuação).</w:t>
      </w:r>
    </w:p>
    <w:tbl>
      <w:tblPr>
        <w:tblW w:w="9077" w:type="dxa"/>
        <w:tblInd w:w="113" w:type="dxa"/>
        <w:tblLayout w:type="fixed"/>
        <w:tblCellMar>
          <w:left w:w="113" w:type="dxa"/>
        </w:tblCellMar>
        <w:tblLook w:val="0000" w:firstRow="0" w:lastRow="0" w:firstColumn="0" w:lastColumn="0" w:noHBand="0" w:noVBand="0"/>
      </w:tblPr>
      <w:tblGrid>
        <w:gridCol w:w="1276"/>
        <w:gridCol w:w="2410"/>
        <w:gridCol w:w="1701"/>
        <w:gridCol w:w="2268"/>
        <w:gridCol w:w="1422"/>
      </w:tblGrid>
      <w:tr w:rsidR="00344ED2" w:rsidRPr="00805B92" w:rsidTr="00412B48">
        <w:trPr>
          <w:trHeight w:val="808"/>
        </w:trPr>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344ED2" w:rsidRPr="00805B92" w:rsidRDefault="00344ED2" w:rsidP="00412B48">
            <w:pPr>
              <w:spacing w:after="0" w:line="360" w:lineRule="auto"/>
              <w:jc w:val="center"/>
              <w:rPr>
                <w:rFonts w:ascii="Arial" w:hAnsi="Arial" w:cs="Arial"/>
                <w:sz w:val="20"/>
                <w:szCs w:val="20"/>
              </w:rPr>
            </w:pPr>
            <w:r w:rsidRPr="00805B92">
              <w:rPr>
                <w:rFonts w:ascii="Arial" w:hAnsi="Arial" w:cs="Arial"/>
                <w:b/>
                <w:sz w:val="20"/>
                <w:szCs w:val="20"/>
              </w:rPr>
              <w:t>Autor / Ano de publicação</w:t>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344ED2" w:rsidRPr="00805B92" w:rsidRDefault="00344ED2" w:rsidP="00412B48">
            <w:pPr>
              <w:spacing w:after="0" w:line="240" w:lineRule="auto"/>
              <w:jc w:val="center"/>
              <w:rPr>
                <w:rFonts w:ascii="Arial" w:hAnsi="Arial" w:cs="Arial"/>
                <w:sz w:val="20"/>
                <w:szCs w:val="20"/>
              </w:rPr>
            </w:pPr>
          </w:p>
          <w:p w:rsidR="00344ED2" w:rsidRPr="00805B92" w:rsidRDefault="00344ED2" w:rsidP="00412B48">
            <w:pPr>
              <w:spacing w:after="0" w:line="240" w:lineRule="auto"/>
              <w:jc w:val="center"/>
              <w:rPr>
                <w:rFonts w:ascii="Arial" w:hAnsi="Arial" w:cs="Arial"/>
                <w:sz w:val="20"/>
                <w:szCs w:val="20"/>
              </w:rPr>
            </w:pPr>
            <w:r w:rsidRPr="00805B92">
              <w:rPr>
                <w:rFonts w:ascii="Arial" w:hAnsi="Arial" w:cs="Arial"/>
                <w:b/>
                <w:sz w:val="20"/>
                <w:szCs w:val="20"/>
              </w:rPr>
              <w:t>Título</w:t>
            </w:r>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44ED2" w:rsidRPr="00805B92" w:rsidRDefault="00344ED2" w:rsidP="00412B48">
            <w:pPr>
              <w:spacing w:after="0" w:line="240" w:lineRule="auto"/>
              <w:jc w:val="center"/>
              <w:rPr>
                <w:rFonts w:ascii="Arial" w:hAnsi="Arial" w:cs="Arial"/>
                <w:sz w:val="20"/>
                <w:szCs w:val="20"/>
              </w:rPr>
            </w:pPr>
          </w:p>
          <w:p w:rsidR="00344ED2" w:rsidRPr="00805B92" w:rsidRDefault="00344ED2" w:rsidP="00412B48">
            <w:pPr>
              <w:spacing w:after="0" w:line="240" w:lineRule="auto"/>
              <w:jc w:val="center"/>
              <w:rPr>
                <w:rFonts w:ascii="Arial" w:hAnsi="Arial" w:cs="Arial"/>
                <w:sz w:val="20"/>
                <w:szCs w:val="20"/>
              </w:rPr>
            </w:pPr>
            <w:r w:rsidRPr="00071DB1">
              <w:rPr>
                <w:rFonts w:ascii="Arial" w:hAnsi="Arial" w:cs="Arial"/>
                <w:b/>
                <w:sz w:val="20"/>
                <w:szCs w:val="20"/>
              </w:rPr>
              <w:t>Local</w:t>
            </w:r>
            <w:r w:rsidRPr="00805B92">
              <w:rPr>
                <w:rFonts w:ascii="Arial" w:hAnsi="Arial" w:cs="Arial"/>
                <w:b/>
                <w:sz w:val="20"/>
                <w:szCs w:val="20"/>
              </w:rPr>
              <w:t xml:space="preserve"> e Tipo de estudo</w:t>
            </w:r>
          </w:p>
        </w:tc>
        <w:tc>
          <w:tcPr>
            <w:tcW w:w="2268" w:type="dxa"/>
            <w:tcBorders>
              <w:top w:val="single" w:sz="4" w:space="0" w:color="00000A"/>
              <w:left w:val="single" w:sz="4" w:space="0" w:color="00000A"/>
              <w:bottom w:val="single" w:sz="4" w:space="0" w:color="00000A"/>
              <w:right w:val="single" w:sz="4" w:space="0" w:color="00000A"/>
            </w:tcBorders>
          </w:tcPr>
          <w:p w:rsidR="00344ED2" w:rsidRPr="00805B92" w:rsidRDefault="00344ED2" w:rsidP="00412B48">
            <w:pPr>
              <w:spacing w:after="0" w:line="240" w:lineRule="auto"/>
              <w:jc w:val="center"/>
              <w:rPr>
                <w:rFonts w:ascii="Arial" w:hAnsi="Arial" w:cs="Arial"/>
                <w:sz w:val="20"/>
                <w:szCs w:val="20"/>
              </w:rPr>
            </w:pPr>
          </w:p>
          <w:p w:rsidR="00344ED2" w:rsidRPr="00805B92" w:rsidRDefault="00344ED2" w:rsidP="00412B48">
            <w:pPr>
              <w:spacing w:after="0" w:line="240" w:lineRule="auto"/>
              <w:jc w:val="center"/>
              <w:rPr>
                <w:rFonts w:ascii="Arial" w:hAnsi="Arial" w:cs="Arial"/>
                <w:sz w:val="20"/>
                <w:szCs w:val="20"/>
              </w:rPr>
            </w:pPr>
            <w:r w:rsidRPr="00805B92">
              <w:rPr>
                <w:rFonts w:ascii="Arial" w:hAnsi="Arial" w:cs="Arial"/>
                <w:b/>
                <w:sz w:val="20"/>
                <w:szCs w:val="20"/>
              </w:rPr>
              <w:t>Objetivo</w:t>
            </w:r>
          </w:p>
        </w:tc>
        <w:tc>
          <w:tcPr>
            <w:tcW w:w="1422" w:type="dxa"/>
            <w:tcBorders>
              <w:top w:val="single" w:sz="4" w:space="0" w:color="00000A"/>
              <w:left w:val="single" w:sz="4" w:space="0" w:color="00000A"/>
              <w:bottom w:val="single" w:sz="4" w:space="0" w:color="00000A"/>
              <w:right w:val="single" w:sz="4" w:space="0" w:color="00000A"/>
            </w:tcBorders>
          </w:tcPr>
          <w:p w:rsidR="00344ED2" w:rsidRDefault="00344ED2" w:rsidP="00412B48">
            <w:pPr>
              <w:spacing w:after="0" w:line="240" w:lineRule="auto"/>
              <w:jc w:val="center"/>
              <w:rPr>
                <w:rFonts w:ascii="Arial" w:hAnsi="Arial" w:cs="Arial"/>
                <w:sz w:val="20"/>
                <w:szCs w:val="20"/>
              </w:rPr>
            </w:pPr>
          </w:p>
          <w:p w:rsidR="00344ED2" w:rsidRPr="00805B92" w:rsidRDefault="00344ED2" w:rsidP="00412B48">
            <w:pPr>
              <w:spacing w:after="0" w:line="240" w:lineRule="auto"/>
              <w:jc w:val="center"/>
              <w:rPr>
                <w:rFonts w:ascii="Arial" w:hAnsi="Arial" w:cs="Arial"/>
                <w:b/>
                <w:sz w:val="20"/>
                <w:szCs w:val="20"/>
              </w:rPr>
            </w:pPr>
            <w:r w:rsidRPr="00805B92">
              <w:rPr>
                <w:rFonts w:ascii="Arial" w:hAnsi="Arial" w:cs="Arial"/>
                <w:b/>
                <w:sz w:val="20"/>
                <w:szCs w:val="20"/>
              </w:rPr>
              <w:t>Instrumento utilizado</w:t>
            </w:r>
          </w:p>
        </w:tc>
      </w:tr>
      <w:tr w:rsidR="00344ED2" w:rsidRPr="00805B92" w:rsidTr="00412B48">
        <w:trPr>
          <w:trHeight w:val="387"/>
        </w:trPr>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344ED2" w:rsidRPr="00805B92" w:rsidRDefault="00344ED2" w:rsidP="00412B48">
            <w:pPr>
              <w:spacing w:after="0" w:line="240" w:lineRule="auto"/>
              <w:jc w:val="center"/>
              <w:rPr>
                <w:rFonts w:ascii="Arial" w:hAnsi="Arial" w:cs="Arial"/>
                <w:sz w:val="20"/>
                <w:szCs w:val="20"/>
              </w:rPr>
            </w:pPr>
          </w:p>
          <w:p w:rsidR="00344ED2" w:rsidRPr="00805B92" w:rsidRDefault="00344ED2" w:rsidP="00412B48">
            <w:pPr>
              <w:spacing w:after="0" w:line="240" w:lineRule="auto"/>
              <w:jc w:val="center"/>
              <w:rPr>
                <w:rFonts w:ascii="Arial" w:hAnsi="Arial" w:cs="Arial"/>
                <w:sz w:val="20"/>
                <w:szCs w:val="20"/>
              </w:rPr>
            </w:pPr>
            <w:r w:rsidRPr="00805B92">
              <w:rPr>
                <w:rFonts w:ascii="Arial" w:hAnsi="Arial" w:cs="Arial"/>
                <w:sz w:val="20"/>
                <w:szCs w:val="20"/>
              </w:rPr>
              <w:t>Yasuda E et al.</w:t>
            </w:r>
          </w:p>
          <w:p w:rsidR="00344ED2" w:rsidRPr="00805B92" w:rsidRDefault="00344ED2" w:rsidP="00412B48">
            <w:pPr>
              <w:spacing w:after="0" w:line="240" w:lineRule="auto"/>
              <w:jc w:val="center"/>
              <w:rPr>
                <w:rFonts w:ascii="Arial" w:hAnsi="Arial" w:cs="Arial"/>
                <w:sz w:val="20"/>
                <w:szCs w:val="20"/>
              </w:rPr>
            </w:pPr>
            <w:r w:rsidRPr="00805B92">
              <w:rPr>
                <w:rFonts w:ascii="Arial" w:hAnsi="Arial" w:cs="Arial"/>
                <w:sz w:val="20"/>
                <w:szCs w:val="20"/>
              </w:rPr>
              <w:t>(2016)</w:t>
            </w:r>
            <w:r w:rsidRPr="00805B92">
              <w:rPr>
                <w:rFonts w:ascii="Arial" w:hAnsi="Arial" w:cs="Arial"/>
                <w:sz w:val="20"/>
                <w:szCs w:val="20"/>
              </w:rPr>
              <w:fldChar w:fldCharType="begin" w:fldLock="1"/>
            </w:r>
            <w:r>
              <w:rPr>
                <w:rFonts w:ascii="Arial" w:hAnsi="Arial" w:cs="Arial"/>
                <w:sz w:val="20"/>
                <w:szCs w:val="20"/>
              </w:rPr>
              <w:instrText>ADDIN CSL_CITATION { "citationItems" : [ { "id" : "ITEM-1", "itemData" : { "DOI" : "10.1016/j.ymgme.2016.04.005.Activity", "author" : [ { "dropping-particle" : "", "family" : "Yasuda", "given" : "Eriko", "non-dropping-particle" : "", "parse-names" : false, "suffix" : "" }, { "dropping-particle" : "", "family" : "Suzuki", "given" : "Yasuyuki", "non-dropping-particle" : "", "parse-names" : false, "suffix" : "" }, { "dropping-particle" : "", "family" : "Shimada", "given" : "Tsutomu", "non-dropping-particle" : "", "parse-names" : false, "suffix" : "" }, { "dropping-particle" : "", "family" : "Sawamoto", "given" : "Kazuki", "non-dropping-particle" : "", "parse-names" : false, "suffix" : "" }, { "dropping-particle" : "", "family" : "William", "given" : "G", "non-dropping-particle" : "", "parse-names" : false, "suffix" : "" }, { "dropping-particle" : "", "family" : "Theroux", "given" : "Mary C", "non-dropping-particle" : "", "parse-names" : false, "suffix" : "" }, { "dropping-particle" : "", "family" : "Pizarro", "given" : "Christian", "non-dropping-particle" : "", "parse-names" : false, "suffix" : "" }, { "dropping-particle" : "", "family" : "Xie", "given" : "Li", "non-dropping-particle" : "", "parse-names" : false, "suffix" : "" }, { "dropping-particle" : "", "family" : "Miller", "given" : "Freeman", "non-dropping-particle" : "", "parse-names" : false, "suffix" : "" }, { "dropping-particle" : "", "family" : "Rahman", "given" : "Tariq", "non-dropping-particle" : "", "parse-names" : false, "suffix" : "" }, { "dropping-particle" : "", "family" : "Kecskemethy", "given" : "Heidi H", "non-dropping-particle" : "", "parse-names" : false, "suffix" : "" }, { "dropping-particle" : "", "family" : "Nagao", "given" : "Kyoko", "non-dropping-particle" : "", "parse-names" : false, "suffix" : "" }, { "dropping-particle" : "", "family" : "Morlet", "given" : "Thierry", "non-dropping-particle" : "", "parse-names" : false, "suffix" : "" }, { "dropping-particle" : "", "family" : "Shaffer", "given" : "Thomas H", "non-dropping-particle" : "", "parse-names" : false, "suffix" : "" }, { "dropping-particle" : "", "family" : "Yabe", "given" : "Hiromasa", "non-dropping-particle" : "", "parse-names" : false, "suffix" : "" }, { "dropping-particle" : "", "family" : "Tanaka", "given" : "Akemi", "non-dropping-particle" : "", "parse-names" : false, "suffix" : "" }, { "dropping-particle" : "", "family" : "Shintaku", "given" : "Haruo", "non-dropping-particle" : "", "parse-names" : false, "suffix" : "" }, { "dropping-particle" : "", "family" : "Orii", "given" : "Kenji E", "non-dropping-particle" : "", "parse-names" : false, "suffix" : "" }, { "dropping-particle" : "", "family" : "Orii", "given" : "Koji O", "non-dropping-particle" : "", "parse-names" : false, "suffix" : "" }, { "dropping-particle" : "", "family" : "Mason", "given" : "Robert W", "non-dropping-particle" : "", "parse-names" : false, "suffix" : "" }, { "dropping-particle" : "", "family" : "Fukao", "given" : "Toshiyuki", "non-dropping-particle" : "", "parse-names" : false, "suffix" : "" }, { "dropping-particle" : "", "family" : "Orii", "given" : "Tadao", "non-dropping-particle" : "", "parse-names" : false, "suffix" : "" } ], "container-title" : "Mol Genet Metab", "id" : "ITEM-1", "issue" : "2", "issued" : { "date-parts" : [ [ "2016" ] ] }, "page" : "111-122", "title" : "Activity of daily living for Morquio A syndrome", "type" : "article-journal", "volume" : "118" }, "uris" : [ "http://www.mendeley.com/documents/?uuid=0b22010b-6f58-466a-938c-19b4cc158254" ] } ], "mendeley" : { "formattedCitation" : "&lt;sup&gt;29&lt;/sup&gt;", "plainTextFormattedCitation" : "29", "previouslyFormattedCitation" : "&lt;sup&gt;29&lt;/sup&gt;" }, "properties" : { "noteIndex" : 0 }, "schema" : "https://github.com/citation-style-language/schema/raw/master/csl-citation.json" }</w:instrText>
            </w:r>
            <w:r w:rsidRPr="00805B92">
              <w:rPr>
                <w:rFonts w:ascii="Arial" w:hAnsi="Arial" w:cs="Arial"/>
                <w:sz w:val="20"/>
                <w:szCs w:val="20"/>
              </w:rPr>
              <w:fldChar w:fldCharType="separate"/>
            </w:r>
            <w:r w:rsidRPr="001F649C">
              <w:rPr>
                <w:rFonts w:ascii="Arial" w:hAnsi="Arial" w:cs="Arial"/>
                <w:noProof/>
                <w:sz w:val="20"/>
                <w:szCs w:val="20"/>
                <w:vertAlign w:val="superscript"/>
              </w:rPr>
              <w:t>29</w:t>
            </w:r>
            <w:r w:rsidRPr="00805B92">
              <w:rPr>
                <w:rFonts w:ascii="Arial" w:hAnsi="Arial" w:cs="Arial"/>
                <w:sz w:val="20"/>
                <w:szCs w:val="20"/>
              </w:rPr>
              <w:fldChar w:fldCharType="end"/>
            </w:r>
          </w:p>
        </w:tc>
        <w:tc>
          <w:tcPr>
            <w:tcW w:w="2410" w:type="dxa"/>
            <w:tcBorders>
              <w:top w:val="single" w:sz="4" w:space="0" w:color="00000A"/>
              <w:left w:val="single" w:sz="4" w:space="0" w:color="00000A"/>
              <w:bottom w:val="single" w:sz="4" w:space="0" w:color="00000A"/>
              <w:right w:val="single" w:sz="4" w:space="0" w:color="00000A"/>
            </w:tcBorders>
            <w:shd w:val="clear" w:color="auto" w:fill="auto"/>
          </w:tcPr>
          <w:p w:rsidR="00344ED2" w:rsidRPr="00805B92" w:rsidRDefault="00344ED2" w:rsidP="00412B48">
            <w:pPr>
              <w:spacing w:after="0" w:line="240" w:lineRule="auto"/>
              <w:jc w:val="both"/>
              <w:rPr>
                <w:rFonts w:ascii="Arial" w:hAnsi="Arial" w:cs="Arial"/>
                <w:sz w:val="20"/>
                <w:szCs w:val="20"/>
              </w:rPr>
            </w:pPr>
          </w:p>
          <w:p w:rsidR="00344ED2" w:rsidRPr="009D790B" w:rsidRDefault="00344ED2" w:rsidP="00412B48">
            <w:pPr>
              <w:spacing w:after="0" w:line="240" w:lineRule="auto"/>
              <w:jc w:val="both"/>
              <w:rPr>
                <w:rFonts w:ascii="Arial" w:hAnsi="Arial" w:cs="Arial"/>
                <w:sz w:val="20"/>
                <w:szCs w:val="20"/>
                <w:shd w:val="clear" w:color="auto" w:fill="00FFFF"/>
              </w:rPr>
            </w:pPr>
            <w:proofErr w:type="spellStart"/>
            <w:r w:rsidRPr="009D790B">
              <w:rPr>
                <w:rFonts w:ascii="Arial" w:hAnsi="Arial" w:cs="Arial"/>
                <w:sz w:val="20"/>
                <w:szCs w:val="20"/>
              </w:rPr>
              <w:t>Activity</w:t>
            </w:r>
            <w:proofErr w:type="spellEnd"/>
            <w:r w:rsidRPr="009D790B">
              <w:rPr>
                <w:rFonts w:ascii="Arial" w:hAnsi="Arial" w:cs="Arial"/>
                <w:sz w:val="20"/>
                <w:szCs w:val="20"/>
              </w:rPr>
              <w:t xml:space="preserve"> of daily living for Morquio A </w:t>
            </w:r>
            <w:proofErr w:type="spellStart"/>
            <w:r w:rsidRPr="009D790B">
              <w:rPr>
                <w:rFonts w:ascii="Arial" w:hAnsi="Arial" w:cs="Arial"/>
                <w:sz w:val="20"/>
                <w:szCs w:val="20"/>
              </w:rPr>
              <w:t>syndrome</w:t>
            </w:r>
            <w:proofErr w:type="spellEnd"/>
          </w:p>
        </w:tc>
        <w:tc>
          <w:tcPr>
            <w:tcW w:w="1701" w:type="dxa"/>
            <w:tcBorders>
              <w:top w:val="single" w:sz="4" w:space="0" w:color="00000A"/>
              <w:left w:val="single" w:sz="4" w:space="0" w:color="00000A"/>
              <w:bottom w:val="single" w:sz="4" w:space="0" w:color="00000A"/>
              <w:right w:val="single" w:sz="4" w:space="0" w:color="00000A"/>
            </w:tcBorders>
            <w:shd w:val="clear" w:color="auto" w:fill="auto"/>
          </w:tcPr>
          <w:p w:rsidR="00344ED2" w:rsidRPr="009D790B" w:rsidRDefault="00344ED2" w:rsidP="00412B48">
            <w:pPr>
              <w:spacing w:after="0" w:line="240" w:lineRule="auto"/>
              <w:jc w:val="both"/>
              <w:rPr>
                <w:rFonts w:ascii="Arial" w:hAnsi="Arial" w:cs="Arial"/>
                <w:sz w:val="20"/>
                <w:szCs w:val="20"/>
                <w:shd w:val="clear" w:color="auto" w:fill="00FFFF"/>
              </w:rPr>
            </w:pPr>
          </w:p>
          <w:p w:rsidR="00344ED2" w:rsidRDefault="00344ED2" w:rsidP="00412B48">
            <w:pPr>
              <w:spacing w:after="0" w:line="240" w:lineRule="auto"/>
              <w:jc w:val="center"/>
              <w:rPr>
                <w:rFonts w:ascii="Arial" w:hAnsi="Arial" w:cs="Arial"/>
                <w:sz w:val="20"/>
                <w:szCs w:val="20"/>
              </w:rPr>
            </w:pPr>
            <w:r>
              <w:rPr>
                <w:rFonts w:ascii="Arial" w:hAnsi="Arial" w:cs="Arial"/>
                <w:sz w:val="20"/>
                <w:szCs w:val="20"/>
              </w:rPr>
              <w:t xml:space="preserve">Japão, EUA / </w:t>
            </w:r>
            <w:r w:rsidRPr="00805B92">
              <w:rPr>
                <w:rFonts w:ascii="Arial" w:hAnsi="Arial" w:cs="Arial"/>
                <w:sz w:val="20"/>
                <w:szCs w:val="20"/>
              </w:rPr>
              <w:t>Estudo longitudinal, prospectivo</w:t>
            </w:r>
          </w:p>
          <w:p w:rsidR="00344ED2" w:rsidRPr="00805B92" w:rsidRDefault="00344ED2" w:rsidP="00412B48">
            <w:pPr>
              <w:spacing w:after="0" w:line="240" w:lineRule="auto"/>
              <w:jc w:val="center"/>
              <w:rPr>
                <w:rFonts w:ascii="Arial" w:hAnsi="Arial" w:cs="Arial"/>
                <w:sz w:val="20"/>
                <w:szCs w:val="20"/>
              </w:rPr>
            </w:pPr>
            <w:r>
              <w:rPr>
                <w:rFonts w:ascii="Arial" w:hAnsi="Arial" w:cs="Arial"/>
                <w:sz w:val="20"/>
                <w:szCs w:val="20"/>
              </w:rPr>
              <w:t>(coorte)</w:t>
            </w:r>
          </w:p>
        </w:tc>
        <w:tc>
          <w:tcPr>
            <w:tcW w:w="2268" w:type="dxa"/>
            <w:tcBorders>
              <w:top w:val="single" w:sz="4" w:space="0" w:color="00000A"/>
              <w:left w:val="single" w:sz="4" w:space="0" w:color="00000A"/>
              <w:bottom w:val="single" w:sz="4" w:space="0" w:color="00000A"/>
              <w:right w:val="single" w:sz="4" w:space="0" w:color="00000A"/>
            </w:tcBorders>
          </w:tcPr>
          <w:p w:rsidR="00344ED2" w:rsidRPr="00805B92" w:rsidRDefault="00344ED2" w:rsidP="00412B48">
            <w:pPr>
              <w:spacing w:after="0" w:line="240" w:lineRule="auto"/>
              <w:jc w:val="both"/>
              <w:rPr>
                <w:rFonts w:ascii="Arial" w:hAnsi="Arial" w:cs="Arial"/>
                <w:sz w:val="20"/>
                <w:szCs w:val="20"/>
              </w:rPr>
            </w:pPr>
          </w:p>
          <w:p w:rsidR="00344ED2" w:rsidRPr="00805B92" w:rsidRDefault="00344ED2" w:rsidP="00412B48">
            <w:pPr>
              <w:spacing w:after="0" w:line="240" w:lineRule="auto"/>
              <w:jc w:val="both"/>
              <w:rPr>
                <w:rFonts w:ascii="Arial" w:hAnsi="Arial" w:cs="Arial"/>
                <w:sz w:val="20"/>
                <w:szCs w:val="20"/>
              </w:rPr>
            </w:pPr>
            <w:r w:rsidRPr="00805B92">
              <w:rPr>
                <w:rFonts w:ascii="Arial" w:hAnsi="Arial" w:cs="Arial"/>
                <w:sz w:val="20"/>
                <w:szCs w:val="20"/>
              </w:rPr>
              <w:t>Avaliar a atividade de vida diária e ocorrência de intervenções cirúrgicas em pacientes com MPS tipo IV-A.</w:t>
            </w:r>
          </w:p>
          <w:p w:rsidR="00344ED2" w:rsidRPr="00805B92" w:rsidRDefault="00344ED2" w:rsidP="00412B48">
            <w:pPr>
              <w:spacing w:after="0" w:line="240" w:lineRule="auto"/>
              <w:jc w:val="both"/>
              <w:rPr>
                <w:rFonts w:ascii="Arial" w:hAnsi="Arial" w:cs="Arial"/>
                <w:sz w:val="20"/>
                <w:szCs w:val="20"/>
              </w:rPr>
            </w:pPr>
          </w:p>
        </w:tc>
        <w:tc>
          <w:tcPr>
            <w:tcW w:w="1422" w:type="dxa"/>
            <w:tcBorders>
              <w:top w:val="single" w:sz="4" w:space="0" w:color="00000A"/>
              <w:left w:val="single" w:sz="4" w:space="0" w:color="00000A"/>
              <w:bottom w:val="single" w:sz="4" w:space="0" w:color="00000A"/>
              <w:right w:val="single" w:sz="4" w:space="0" w:color="00000A"/>
            </w:tcBorders>
          </w:tcPr>
          <w:p w:rsidR="00344ED2" w:rsidRDefault="00344ED2" w:rsidP="00412B48">
            <w:pPr>
              <w:spacing w:after="0" w:line="240" w:lineRule="auto"/>
              <w:jc w:val="center"/>
              <w:rPr>
                <w:rFonts w:ascii="Arial" w:hAnsi="Arial" w:cs="Arial"/>
                <w:sz w:val="20"/>
                <w:szCs w:val="20"/>
              </w:rPr>
            </w:pPr>
          </w:p>
          <w:p w:rsidR="00344ED2" w:rsidRPr="00805B92" w:rsidRDefault="00344ED2" w:rsidP="00412B48">
            <w:pPr>
              <w:spacing w:after="0" w:line="240" w:lineRule="auto"/>
              <w:jc w:val="center"/>
              <w:rPr>
                <w:rFonts w:ascii="Arial" w:hAnsi="Arial" w:cs="Arial"/>
                <w:sz w:val="20"/>
                <w:szCs w:val="20"/>
              </w:rPr>
            </w:pPr>
            <w:r>
              <w:rPr>
                <w:rFonts w:ascii="Arial" w:hAnsi="Arial" w:cs="Arial"/>
                <w:sz w:val="20"/>
                <w:szCs w:val="20"/>
              </w:rPr>
              <w:t>Questionário ADL</w:t>
            </w:r>
          </w:p>
        </w:tc>
      </w:tr>
    </w:tbl>
    <w:p w:rsidR="00344ED2" w:rsidRDefault="00344ED2" w:rsidP="00344ED2">
      <w:pPr>
        <w:spacing w:after="0" w:line="240" w:lineRule="auto"/>
        <w:jc w:val="both"/>
        <w:rPr>
          <w:rFonts w:ascii="Arial" w:hAnsi="Arial" w:cs="Arial"/>
          <w:sz w:val="24"/>
          <w:szCs w:val="24"/>
        </w:rPr>
      </w:pPr>
      <w:r w:rsidRPr="00071DB1">
        <w:rPr>
          <w:rFonts w:ascii="Arial" w:hAnsi="Arial" w:cs="Arial"/>
          <w:b/>
          <w:sz w:val="20"/>
          <w:szCs w:val="20"/>
        </w:rPr>
        <w:t>Legenda:</w:t>
      </w:r>
      <w:r w:rsidRPr="00071DB1">
        <w:rPr>
          <w:rFonts w:ascii="Arial" w:hAnsi="Arial" w:cs="Arial"/>
          <w:sz w:val="20"/>
          <w:szCs w:val="20"/>
        </w:rPr>
        <w:t xml:space="preserve"> </w:t>
      </w:r>
      <w:r>
        <w:rPr>
          <w:rFonts w:ascii="Arial" w:hAnsi="Arial" w:cs="Arial"/>
          <w:sz w:val="20"/>
          <w:szCs w:val="20"/>
        </w:rPr>
        <w:t xml:space="preserve">ADL – </w:t>
      </w:r>
      <w:r w:rsidRPr="00071DB1">
        <w:rPr>
          <w:rFonts w:ascii="Arial" w:hAnsi="Arial" w:cs="Arial"/>
          <w:i/>
          <w:sz w:val="20"/>
          <w:szCs w:val="20"/>
        </w:rPr>
        <w:t>Activities of Daily Living</w:t>
      </w:r>
      <w:r w:rsidRPr="00071DB1">
        <w:rPr>
          <w:rFonts w:ascii="Arial" w:hAnsi="Arial" w:cs="Arial"/>
          <w:sz w:val="20"/>
          <w:szCs w:val="20"/>
        </w:rPr>
        <w:t xml:space="preserve">; </w:t>
      </w:r>
      <w:r>
        <w:rPr>
          <w:rFonts w:ascii="Arial" w:hAnsi="Arial" w:cs="Arial"/>
          <w:sz w:val="20"/>
          <w:szCs w:val="20"/>
        </w:rPr>
        <w:t xml:space="preserve">AVD – Atividades de Vida Diária; EUA – Estados Unidos da América; </w:t>
      </w:r>
      <w:r w:rsidRPr="00071DB1">
        <w:rPr>
          <w:rFonts w:ascii="Arial" w:hAnsi="Arial" w:cs="Arial"/>
          <w:sz w:val="20"/>
          <w:szCs w:val="20"/>
        </w:rPr>
        <w:t xml:space="preserve">FIM – </w:t>
      </w:r>
      <w:r w:rsidRPr="00071DB1">
        <w:rPr>
          <w:rFonts w:ascii="Arial" w:hAnsi="Arial" w:cs="Arial"/>
          <w:i/>
          <w:sz w:val="20"/>
          <w:szCs w:val="20"/>
        </w:rPr>
        <w:t>Functional Independence Measure</w:t>
      </w:r>
      <w:r w:rsidRPr="00071DB1">
        <w:rPr>
          <w:rFonts w:ascii="Arial" w:hAnsi="Arial" w:cs="Arial"/>
          <w:sz w:val="20"/>
          <w:szCs w:val="20"/>
        </w:rPr>
        <w:t>; MIF – Medida de Independência Funcional; MPS – Mucopolissacaridose;</w:t>
      </w:r>
      <w:r>
        <w:rPr>
          <w:rFonts w:ascii="Arial" w:hAnsi="Arial" w:cs="Arial"/>
          <w:sz w:val="20"/>
          <w:szCs w:val="20"/>
        </w:rPr>
        <w:t xml:space="preserve"> MPS-HAQ – Mucopolysaccharidosis </w:t>
      </w:r>
      <w:r w:rsidRPr="00EB6BA0">
        <w:rPr>
          <w:rFonts w:ascii="Arial" w:hAnsi="Arial" w:cs="Arial"/>
          <w:i/>
          <w:sz w:val="20"/>
          <w:szCs w:val="20"/>
        </w:rPr>
        <w:t xml:space="preserve">Health </w:t>
      </w:r>
      <w:proofErr w:type="spellStart"/>
      <w:r w:rsidRPr="00EB6BA0">
        <w:rPr>
          <w:rFonts w:ascii="Arial" w:hAnsi="Arial" w:cs="Arial"/>
          <w:i/>
          <w:sz w:val="20"/>
          <w:szCs w:val="20"/>
        </w:rPr>
        <w:t>Assessment</w:t>
      </w:r>
      <w:proofErr w:type="spellEnd"/>
      <w:r w:rsidRPr="00EB6BA0">
        <w:rPr>
          <w:rFonts w:ascii="Arial" w:hAnsi="Arial" w:cs="Arial"/>
          <w:i/>
          <w:sz w:val="20"/>
          <w:szCs w:val="20"/>
        </w:rPr>
        <w:t xml:space="preserve"> </w:t>
      </w:r>
      <w:proofErr w:type="spellStart"/>
      <w:r w:rsidRPr="00EB6BA0">
        <w:rPr>
          <w:rFonts w:ascii="Arial" w:hAnsi="Arial" w:cs="Arial"/>
          <w:i/>
          <w:sz w:val="20"/>
          <w:szCs w:val="20"/>
        </w:rPr>
        <w:t>Questionnaire</w:t>
      </w:r>
      <w:proofErr w:type="spellEnd"/>
      <w:r>
        <w:rPr>
          <w:rFonts w:ascii="Arial" w:hAnsi="Arial" w:cs="Arial"/>
          <w:i/>
          <w:sz w:val="20"/>
          <w:szCs w:val="20"/>
        </w:rPr>
        <w:t>;</w:t>
      </w:r>
      <w:r>
        <w:rPr>
          <w:rFonts w:ascii="Arial" w:hAnsi="Arial" w:cs="Arial"/>
          <w:sz w:val="20"/>
          <w:szCs w:val="20"/>
        </w:rPr>
        <w:t xml:space="preserve"> </w:t>
      </w:r>
      <w:r w:rsidRPr="00071DB1">
        <w:rPr>
          <w:rFonts w:ascii="Arial" w:hAnsi="Arial" w:cs="Arial"/>
          <w:sz w:val="20"/>
          <w:szCs w:val="20"/>
        </w:rPr>
        <w:t xml:space="preserve">PEDI – </w:t>
      </w:r>
      <w:r w:rsidRPr="00071DB1">
        <w:rPr>
          <w:rFonts w:ascii="Arial" w:hAnsi="Arial" w:cs="Arial"/>
          <w:i/>
          <w:sz w:val="20"/>
          <w:szCs w:val="20"/>
        </w:rPr>
        <w:t xml:space="preserve">Pediatric Evaluation of </w:t>
      </w:r>
      <w:proofErr w:type="spellStart"/>
      <w:r w:rsidRPr="00071DB1">
        <w:rPr>
          <w:rFonts w:ascii="Arial" w:hAnsi="Arial" w:cs="Arial"/>
          <w:i/>
          <w:sz w:val="20"/>
          <w:szCs w:val="20"/>
        </w:rPr>
        <w:t>Disability</w:t>
      </w:r>
      <w:proofErr w:type="spellEnd"/>
      <w:r w:rsidRPr="00071DB1">
        <w:rPr>
          <w:rFonts w:ascii="Arial" w:hAnsi="Arial" w:cs="Arial"/>
          <w:i/>
          <w:sz w:val="20"/>
          <w:szCs w:val="20"/>
        </w:rPr>
        <w:t xml:space="preserve"> Inventory</w:t>
      </w:r>
      <w:r w:rsidRPr="00071DB1">
        <w:rPr>
          <w:rFonts w:ascii="Arial" w:hAnsi="Arial" w:cs="Arial"/>
          <w:sz w:val="20"/>
          <w:szCs w:val="20"/>
        </w:rPr>
        <w:t xml:space="preserve">; </w:t>
      </w:r>
      <w:r>
        <w:rPr>
          <w:rFonts w:ascii="Arial" w:hAnsi="Arial" w:cs="Arial"/>
          <w:sz w:val="20"/>
          <w:szCs w:val="20"/>
        </w:rPr>
        <w:t>TRE – Terapia de Reposição Enzimática</w:t>
      </w:r>
      <w:r w:rsidRPr="00071DB1">
        <w:rPr>
          <w:rFonts w:ascii="Arial" w:hAnsi="Arial" w:cs="Arial"/>
          <w:sz w:val="20"/>
          <w:szCs w:val="20"/>
        </w:rPr>
        <w:t>.</w:t>
      </w:r>
    </w:p>
    <w:p w:rsidR="00344ED2" w:rsidRDefault="00344ED2" w:rsidP="00EB34BF">
      <w:pPr>
        <w:spacing w:after="0" w:line="360" w:lineRule="auto"/>
        <w:jc w:val="both"/>
        <w:rPr>
          <w:rFonts w:ascii="Arial" w:hAnsi="Arial" w:cs="Arial"/>
          <w:sz w:val="24"/>
          <w:szCs w:val="24"/>
        </w:rPr>
      </w:pPr>
    </w:p>
    <w:p w:rsidR="00EB34BF" w:rsidRPr="003F585B" w:rsidRDefault="00EB34BF" w:rsidP="00491682">
      <w:pPr>
        <w:spacing w:after="0" w:line="360" w:lineRule="auto"/>
        <w:jc w:val="both"/>
        <w:rPr>
          <w:rFonts w:ascii="Arial" w:hAnsi="Arial" w:cs="Arial"/>
          <w:sz w:val="24"/>
          <w:szCs w:val="24"/>
        </w:rPr>
      </w:pPr>
      <w:r w:rsidRPr="003349FC">
        <w:rPr>
          <w:rFonts w:ascii="Arial" w:hAnsi="Arial" w:cs="Arial"/>
          <w:sz w:val="24"/>
          <w:szCs w:val="24"/>
        </w:rPr>
        <w:t>Kato et al</w:t>
      </w:r>
      <w:r w:rsidR="00F150B0" w:rsidRPr="003349FC">
        <w:rPr>
          <w:rFonts w:ascii="Arial" w:hAnsi="Arial" w:cs="Arial"/>
          <w:sz w:val="24"/>
          <w:szCs w:val="24"/>
        </w:rPr>
        <w:t>.</w:t>
      </w:r>
      <w:r w:rsidR="00933BBE" w:rsidRPr="003349FC">
        <w:rPr>
          <w:rFonts w:ascii="Arial" w:hAnsi="Arial" w:cs="Arial"/>
          <w:sz w:val="24"/>
          <w:szCs w:val="24"/>
        </w:rPr>
        <w:fldChar w:fldCharType="begin" w:fldLock="1"/>
      </w:r>
      <w:r w:rsidR="005C2E82" w:rsidRPr="003349FC">
        <w:rPr>
          <w:rFonts w:ascii="Arial" w:hAnsi="Arial" w:cs="Arial"/>
          <w:sz w:val="24"/>
          <w:szCs w:val="24"/>
        </w:rPr>
        <w:instrText>ADDIN CSL_CITATION { "citationItems" : [ { "id" : "ITEM-1", "itemData" : { "DOI" : "10.1016/j.braindev.2006.08.015", "ISSN" : "03877604", "PMID" : "17307320", "abstract" : "MPS type II (Hunter disease) results from deficiency of the lysosomal enzyme iduronate-2-sulfate sulfatase. Two forms of the disease have been recognized, based on absence or presence of progressive intellectual deterioration. This study aimed to assess activities of daily life (ADL) in 27 Hunter disease-affected Japanese patients, using a modified version of the functional independence measure (FIM). Scores of ADL for patients with a severe phenotype were significantly lower than those of control children. Total scores were highest around 5-7 years old, then progressively decreased, and scores &lt;40 were obtained with patients aged 9 years or more. In contrast to motor scores, cognitive scores decreased rapidly, generally reaching a minimum score at around 7 years old. On the other hand, in children with attenuated phenotype, total scores increased progressively with age similar to control children. Two children who had the highest grades at elementary school showed maximum scores. However, all adult patients did not show maximum total scores, and 3 of 4 patients over 25 years old showed decreasing scores. Two children and two adults showed significant lower scores compared with other patients, suggesting an intermediate form from the view of ADL. This study elucidated the precise clinical state of Hunter disease with distinct numerical scores, in addition to previously described narrative data. To maintain the QOL of the patients better, they and their family need to know what specific difficulties they encounter, in which period they encounter them, and what support can fix them. Further ADL investigations with larger populations and/or long-term sequential examination could help the patients and family to understand them well. ?? 2007 Elsevier B.V. All rights reserved.", "author" : [ { "dropping-particle" : "", "family" : "Kato", "given" : "Tomomi", "non-dropping-particle" : "", "parse-names" : false, "suffix" : "" }, { "dropping-particle" : "", "family" : "Kato", "given" : "Zenichiro", "non-dropping-particle" : "", "parse-names" : false, "suffix" : "" }, { "dropping-particle" : "", "family" : "Kuratsubo", "given" : "Izumi", "non-dropping-particle" : "", "parse-names" : false, "suffix" : "" }, { "dropping-particle" : "", "family" : "Ota", "given" : "Tetsuo", "non-dropping-particle" : "", "parse-names" : false, "suffix" : "" }, { "dropping-particle" : "", "family" : "Orii", "given" : "Tadao", "non-dropping-particle" : "", "parse-names" : false, "suffix" : "" }, { "dropping-particle" : "", "family" : "Kondo", "given" : "Naomi", "non-dropping-particle" : "", "parse-names" : false, "suffix" : "" }, { "dropping-particle" : "", "family" : "Suzuki", "given" : "Yasuyuki", "non-dropping-particle" : "", "parse-names" : false, "suffix" : "" } ], "container-title" : "Brain and Development", "id" : "ITEM-1", "issue" : "5", "issued" : { "date-parts" : [ [ "2007" ] ] }, "page" : "298-305", "title" : "Evaluation of ADL in patients with Hunter disease using FIM score", "type" : "article-journal", "volume" : "29" }, "uris" : [ "http://www.mendeley.com/documents/?uuid=54fdccb9-1aea-4226-b380-1addec026e0d" ] } ], "mendeley" : { "formattedCitation" : "&lt;sup&gt;28&lt;/sup&gt;", "plainTextFormattedCitation" : "28", "previouslyFormattedCitation" : "&lt;sup&gt;28&lt;/sup&gt;" }, "properties" : { "noteIndex" : 0 }, "schema" : "https://github.com/citation-style-language/schema/raw/master/csl-citation.json" }</w:instrText>
      </w:r>
      <w:r w:rsidR="00933BBE" w:rsidRPr="003349FC">
        <w:rPr>
          <w:rFonts w:ascii="Arial" w:hAnsi="Arial" w:cs="Arial"/>
          <w:sz w:val="24"/>
          <w:szCs w:val="24"/>
        </w:rPr>
        <w:fldChar w:fldCharType="separate"/>
      </w:r>
      <w:r w:rsidR="001F649C" w:rsidRPr="003349FC">
        <w:rPr>
          <w:rFonts w:ascii="Arial" w:hAnsi="Arial" w:cs="Arial"/>
          <w:noProof/>
          <w:sz w:val="24"/>
          <w:szCs w:val="24"/>
          <w:vertAlign w:val="superscript"/>
        </w:rPr>
        <w:t>28</w:t>
      </w:r>
      <w:r w:rsidR="00933BBE" w:rsidRPr="003349FC">
        <w:rPr>
          <w:rFonts w:ascii="Arial" w:hAnsi="Arial" w:cs="Arial"/>
          <w:sz w:val="24"/>
          <w:szCs w:val="24"/>
        </w:rPr>
        <w:fldChar w:fldCharType="end"/>
      </w:r>
      <w:r w:rsidRPr="003349FC">
        <w:rPr>
          <w:rFonts w:ascii="Arial" w:hAnsi="Arial" w:cs="Arial"/>
          <w:sz w:val="24"/>
          <w:szCs w:val="24"/>
        </w:rPr>
        <w:t xml:space="preserve"> realizaram um estudo com a proposta de avaliar o desempenho funcional</w:t>
      </w:r>
      <w:r w:rsidR="000B7CC4" w:rsidRPr="003349FC">
        <w:rPr>
          <w:rFonts w:ascii="Arial" w:hAnsi="Arial" w:cs="Arial"/>
          <w:sz w:val="24"/>
          <w:szCs w:val="24"/>
        </w:rPr>
        <w:t>,</w:t>
      </w:r>
      <w:r w:rsidR="00E7306A" w:rsidRPr="003349FC">
        <w:rPr>
          <w:rFonts w:ascii="Arial" w:hAnsi="Arial" w:cs="Arial"/>
          <w:sz w:val="24"/>
          <w:szCs w:val="24"/>
        </w:rPr>
        <w:t xml:space="preserve"> durante a realização de AVD,</w:t>
      </w:r>
      <w:r w:rsidRPr="003349FC">
        <w:rPr>
          <w:rFonts w:ascii="Arial" w:hAnsi="Arial" w:cs="Arial"/>
          <w:sz w:val="24"/>
          <w:szCs w:val="24"/>
        </w:rPr>
        <w:t xml:space="preserve"> de 27 pacientes japoneses </w:t>
      </w:r>
      <w:r w:rsidR="000F623B" w:rsidRPr="003349FC">
        <w:rPr>
          <w:rFonts w:ascii="Arial" w:hAnsi="Arial" w:cs="Arial"/>
          <w:sz w:val="24"/>
          <w:szCs w:val="24"/>
        </w:rPr>
        <w:t>diagnosticados com a</w:t>
      </w:r>
      <w:r w:rsidRPr="003349FC">
        <w:rPr>
          <w:rFonts w:ascii="Arial" w:hAnsi="Arial" w:cs="Arial"/>
          <w:sz w:val="24"/>
          <w:szCs w:val="24"/>
        </w:rPr>
        <w:t xml:space="preserve"> S</w:t>
      </w:r>
      <w:r w:rsidR="00E7306A" w:rsidRPr="003349FC">
        <w:rPr>
          <w:rFonts w:ascii="Arial" w:hAnsi="Arial" w:cs="Arial"/>
          <w:sz w:val="24"/>
          <w:szCs w:val="24"/>
        </w:rPr>
        <w:t>índrome de Hunter (MPS tipo II)</w:t>
      </w:r>
      <w:r w:rsidRPr="003349FC">
        <w:rPr>
          <w:rFonts w:ascii="Arial" w:hAnsi="Arial" w:cs="Arial"/>
          <w:sz w:val="24"/>
          <w:szCs w:val="24"/>
        </w:rPr>
        <w:t>.</w:t>
      </w:r>
      <w:r w:rsidRPr="007B38A6">
        <w:rPr>
          <w:rFonts w:ascii="Arial" w:hAnsi="Arial" w:cs="Arial"/>
          <w:sz w:val="24"/>
          <w:szCs w:val="24"/>
        </w:rPr>
        <w:t xml:space="preserve"> </w:t>
      </w:r>
      <w:r w:rsidR="000F623B">
        <w:rPr>
          <w:rFonts w:ascii="Arial" w:hAnsi="Arial" w:cs="Arial"/>
          <w:sz w:val="24"/>
          <w:szCs w:val="24"/>
        </w:rPr>
        <w:t xml:space="preserve">Os pesquisadores utilizaram uma </w:t>
      </w:r>
      <w:r>
        <w:rPr>
          <w:rFonts w:ascii="Arial" w:hAnsi="Arial" w:cs="Arial"/>
          <w:sz w:val="24"/>
          <w:szCs w:val="24"/>
        </w:rPr>
        <w:t xml:space="preserve">versão modificada do instrumento MIF, validada no Japão, </w:t>
      </w:r>
      <w:r w:rsidR="000F623B">
        <w:rPr>
          <w:rFonts w:ascii="Arial" w:hAnsi="Arial" w:cs="Arial"/>
          <w:sz w:val="24"/>
          <w:szCs w:val="24"/>
        </w:rPr>
        <w:t>que incluía</w:t>
      </w:r>
      <w:r>
        <w:rPr>
          <w:rFonts w:ascii="Arial" w:hAnsi="Arial" w:cs="Arial"/>
          <w:sz w:val="24"/>
          <w:szCs w:val="24"/>
        </w:rPr>
        <w:t xml:space="preserve"> questões adequadas a crianças com idade inferior a sete anos. Os resultados evidenciaram que </w:t>
      </w:r>
      <w:r w:rsidRPr="003F585B">
        <w:rPr>
          <w:rFonts w:ascii="Arial" w:hAnsi="Arial" w:cs="Arial"/>
          <w:sz w:val="24"/>
          <w:szCs w:val="24"/>
        </w:rPr>
        <w:t xml:space="preserve">crianças com fenótipo grave </w:t>
      </w:r>
      <w:r>
        <w:rPr>
          <w:rFonts w:ascii="Arial" w:hAnsi="Arial" w:cs="Arial"/>
          <w:sz w:val="24"/>
          <w:szCs w:val="24"/>
        </w:rPr>
        <w:t>da doença</w:t>
      </w:r>
      <w:r w:rsidRPr="003F585B">
        <w:rPr>
          <w:rFonts w:ascii="Arial" w:hAnsi="Arial" w:cs="Arial"/>
          <w:sz w:val="24"/>
          <w:szCs w:val="24"/>
        </w:rPr>
        <w:t xml:space="preserve"> tiveram escores significativamente menores, comparados aos obtidos no grupo </w:t>
      </w:r>
      <w:r w:rsidR="009B7087">
        <w:rPr>
          <w:rFonts w:ascii="Arial" w:hAnsi="Arial" w:cs="Arial"/>
          <w:sz w:val="24"/>
          <w:szCs w:val="24"/>
        </w:rPr>
        <w:t xml:space="preserve">controle – </w:t>
      </w:r>
      <w:r>
        <w:rPr>
          <w:rFonts w:ascii="Arial" w:hAnsi="Arial" w:cs="Arial"/>
          <w:sz w:val="24"/>
          <w:szCs w:val="24"/>
        </w:rPr>
        <w:t>composto por</w:t>
      </w:r>
      <w:r w:rsidRPr="003F585B">
        <w:rPr>
          <w:rFonts w:ascii="Arial" w:hAnsi="Arial" w:cs="Arial"/>
          <w:sz w:val="24"/>
          <w:szCs w:val="24"/>
        </w:rPr>
        <w:t xml:space="preserve"> crianças saudáveis. </w:t>
      </w:r>
      <w:r w:rsidR="00E7306A">
        <w:rPr>
          <w:rFonts w:ascii="Arial" w:hAnsi="Arial" w:cs="Arial"/>
          <w:sz w:val="24"/>
          <w:szCs w:val="24"/>
        </w:rPr>
        <w:t>A</w:t>
      </w:r>
      <w:r w:rsidR="00522E0C">
        <w:rPr>
          <w:rFonts w:ascii="Arial" w:hAnsi="Arial" w:cs="Arial"/>
          <w:sz w:val="24"/>
          <w:szCs w:val="24"/>
        </w:rPr>
        <w:t>quela</w:t>
      </w:r>
      <w:r w:rsidR="00E7306A">
        <w:rPr>
          <w:rFonts w:ascii="Arial" w:hAnsi="Arial" w:cs="Arial"/>
          <w:sz w:val="24"/>
          <w:szCs w:val="24"/>
        </w:rPr>
        <w:t xml:space="preserve">s com </w:t>
      </w:r>
      <w:r w:rsidRPr="003F585B">
        <w:rPr>
          <w:rFonts w:ascii="Arial" w:hAnsi="Arial" w:cs="Arial"/>
          <w:sz w:val="24"/>
          <w:szCs w:val="24"/>
        </w:rPr>
        <w:t xml:space="preserve">fenótipo atenuado </w:t>
      </w:r>
      <w:r w:rsidR="00E7306A">
        <w:rPr>
          <w:rFonts w:ascii="Arial" w:hAnsi="Arial" w:cs="Arial"/>
          <w:sz w:val="24"/>
          <w:szCs w:val="24"/>
        </w:rPr>
        <w:t xml:space="preserve">da doença </w:t>
      </w:r>
      <w:r w:rsidRPr="003F585B">
        <w:rPr>
          <w:rFonts w:ascii="Arial" w:hAnsi="Arial" w:cs="Arial"/>
          <w:sz w:val="24"/>
          <w:szCs w:val="24"/>
        </w:rPr>
        <w:t>tiveram aumento progressivo do escore total com a idade, de for</w:t>
      </w:r>
      <w:r w:rsidR="00A57609">
        <w:rPr>
          <w:rFonts w:ascii="Arial" w:hAnsi="Arial" w:cs="Arial"/>
          <w:sz w:val="24"/>
          <w:szCs w:val="24"/>
        </w:rPr>
        <w:t xml:space="preserve">ma semelhante ao grupo saudável, porém, </w:t>
      </w:r>
      <w:r w:rsidRPr="003F585B">
        <w:rPr>
          <w:rFonts w:ascii="Arial" w:hAnsi="Arial" w:cs="Arial"/>
          <w:sz w:val="24"/>
          <w:szCs w:val="24"/>
        </w:rPr>
        <w:t xml:space="preserve">com dificuldade para executar algumas funções específicas, em virtude do comprometimento auditivo e </w:t>
      </w:r>
      <w:r w:rsidR="00522E0C">
        <w:rPr>
          <w:rFonts w:ascii="Arial" w:hAnsi="Arial" w:cs="Arial"/>
          <w:sz w:val="24"/>
          <w:szCs w:val="24"/>
        </w:rPr>
        <w:t xml:space="preserve">da </w:t>
      </w:r>
      <w:r w:rsidRPr="003F585B">
        <w:rPr>
          <w:rFonts w:ascii="Arial" w:hAnsi="Arial" w:cs="Arial"/>
          <w:sz w:val="24"/>
          <w:szCs w:val="24"/>
        </w:rPr>
        <w:t>restrição articular</w:t>
      </w:r>
      <w:r w:rsidR="00E7306A">
        <w:rPr>
          <w:rFonts w:ascii="Arial" w:hAnsi="Arial" w:cs="Arial"/>
          <w:sz w:val="24"/>
          <w:szCs w:val="24"/>
        </w:rPr>
        <w:t xml:space="preserve"> apresentados pelas mesmas</w:t>
      </w:r>
      <w:r w:rsidR="00933BBE">
        <w:rPr>
          <w:rFonts w:ascii="Arial" w:hAnsi="Arial" w:cs="Arial"/>
          <w:sz w:val="24"/>
          <w:szCs w:val="24"/>
        </w:rPr>
        <w:t>.</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"10.1016/j.braindev.2006.08.015", "ISSN" : "03877604", "PMID" : "17307320", "abstract" : "MPS type II (Hunter disease) results from deficiency of the lysosomal enzyme iduronate-2-sulfate sulfatase. Two forms of the disease have been recognized, based on absence or presence of progressive intellectual deterioration. This study aimed to assess activities of daily life (ADL) in 27 Hunter disease-affected Japanese patients, using a modified version of the functional independence measure (FIM). Scores of ADL for patients with a severe phenotype were significantly lower than those of control children. Total scores were highest around 5-7 years old, then progressively decreased, and scores &lt;40 were obtained with patients aged 9 years or more. In contrast to motor scores, cognitive scores decreased rapidly, generally reaching a minimum score at around 7 years old. On the other hand, in children with attenuated phenotype, total scores increased progressively with age similar to control children. Two children who had the highest grades at elementary school showed maximum scores. However, all adult patients did not show maximum total scores, and 3 of 4 patients over 25 years old showed decreasing scores. Two children and two adults showed significant lower scores compared with other patients, suggesting an intermediate form from the view of ADL. This study elucidated the precise clinical state of Hunter disease with distinct numerical scores, in addition to previously described narrative data. To maintain the QOL of the patients better, they and their family need to know what specific difficulties they encounter, in which period they encounter them, and what support can fix them. Further ADL investigations with larger populations and/or long-term sequential examination could help the patients and family to understand them well. ?? 2007 Elsevier B.V. All rights reserved.", "author" : [ { "dropping-particle" : "", "family" : "Kato", "given" : "Tomomi", "non-dropping-particle" : "", "parse-names" : false, "suffix" : "" }, { "dropping-particle" : "", "family" : "Kato", "given" : "Zenichiro", "non-dropping-particle" : "", "parse-names" : false, "suffix" : "" }, { "dropping-particle" : "", "family" : "Kuratsubo", "given" : "Izumi", "non-dropping-particle" : "", "parse-names" : false, "suffix" : "" }, { "dropping-particle" : "", "family" : "Ota", "given" : "Tetsuo", "non-dropping-particle" : "", "parse-names" : false, "suffix" : "" }, { "dropping-particle" : "", "family" : "Orii", "given" : "Tadao", "non-dropping-particle" : "", "parse-names" : false, "suffix" : "" }, { "dropping-particle" : "", "family" : "Kondo", "given" : "Naomi", "non-dropping-particle" : "", "parse-names" : false, "suffix" : "" }, { "dropping-particle" : "", "family" : "Suzuki", "given" : "Yasuyuki", "non-dropping-particle" : "", "parse-names" : false, "suffix" : "" } ], "container-title" : "Brain and Development", "id" : "ITEM-1", "issue" : "5", "issued" : { "date-parts" : [ [ "2007" ] ] }, "page" : "298-305", "title" : "Evaluation of ADL in patients with Hunter disease using FIM score", "type" : "article-journal", "volume" : "29" }, "uris" : [ "http://www.mendeley.com/documents/?uuid=54fdccb9-1aea-4226-b380-1addec026e0d" ] } ], "mendeley" : { "formattedCitation" : "&lt;sup&gt;28&lt;/sup&gt;", "plainTextFormattedCitation" : "28", "previouslyFormattedCitation" : "&lt;sup&gt;28&lt;/sup&gt;"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28</w:t>
      </w:r>
      <w:r w:rsidRPr="003F585B">
        <w:rPr>
          <w:rFonts w:ascii="Arial" w:hAnsi="Arial" w:cs="Arial"/>
          <w:sz w:val="24"/>
          <w:szCs w:val="24"/>
        </w:rPr>
        <w:fldChar w:fldCharType="end"/>
      </w:r>
    </w:p>
    <w:p w:rsidR="00A62F69" w:rsidRDefault="00A62F69" w:rsidP="00491682">
      <w:pPr>
        <w:spacing w:after="0" w:line="360" w:lineRule="auto"/>
        <w:jc w:val="both"/>
        <w:rPr>
          <w:rFonts w:ascii="Arial" w:hAnsi="Arial" w:cs="Arial"/>
          <w:sz w:val="24"/>
          <w:szCs w:val="24"/>
        </w:rPr>
      </w:pPr>
    </w:p>
    <w:p w:rsidR="00EB34BF" w:rsidRPr="00FF1F37" w:rsidRDefault="00EB34BF" w:rsidP="00491682">
      <w:pPr>
        <w:spacing w:after="0" w:line="360" w:lineRule="auto"/>
        <w:jc w:val="both"/>
        <w:rPr>
          <w:rFonts w:ascii="Arial" w:hAnsi="Arial" w:cs="Arial"/>
          <w:sz w:val="24"/>
          <w:szCs w:val="24"/>
          <w:lang w:val="en-US"/>
        </w:rPr>
      </w:pPr>
      <w:r w:rsidRPr="003F585B">
        <w:rPr>
          <w:rFonts w:ascii="Arial" w:hAnsi="Arial" w:cs="Arial"/>
          <w:sz w:val="24"/>
          <w:szCs w:val="24"/>
        </w:rPr>
        <w:t>Corroborand</w:t>
      </w:r>
      <w:r w:rsidR="00F150B0">
        <w:rPr>
          <w:rFonts w:ascii="Arial" w:hAnsi="Arial" w:cs="Arial"/>
          <w:sz w:val="24"/>
          <w:szCs w:val="24"/>
        </w:rPr>
        <w:t>o com os achados de Kato et al.</w:t>
      </w:r>
      <w:r w:rsidR="00933BBE">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"10.1016/j.braindev.2006.08.015", "ISSN" : "03877604", "PMID" : "17307320", "abstract" : "MPS type II (Hunter disease) results from deficiency of the lysosomal enzyme iduronate-2-sulfate sulfatase. Two forms of the disease have been recognized, based on absence or presence of progressive intellectual deterioration. This study aimed to assess activities of daily life (ADL) in 27 Hunter disease-affected Japanese patients, using a modified version of the functional independence measure (FIM). Scores of ADL for patients with a severe phenotype were significantly lower than those of control children. Total scores were highest around 5-7 years old, then progressively decreased, and scores &lt;40 were obtained with patients aged 9 years or more. In contrast to motor scores, cognitive scores decreased rapidly, generally reaching a minimum score at around 7 years old. On the other hand, in children with attenuated phenotype, total scores increased progressively with age similar to control children. Two children who had the highest grades at elementary school showed maximum scores. However, all adult patients did not show maximum total scores, and 3 of 4 patients over 25 years old showed decreasing scores. Two children and two adults showed significant lower scores compared with other patients, suggesting an intermediate form from the view of ADL. This study elucidated the precise clinical state of Hunter disease with distinct numerical scores, in addition to previously described narrative data. To maintain the QOL of the patients better, they and their family need to know what specific difficulties they encounter, in which period they encounter them, and what support can fix them. Further ADL investigations with larger populations and/or long-term sequential examination could help the patients and family to understand them well. ?? 2007 Elsevier B.V. All rights reserved.", "author" : [ { "dropping-particle" : "", "family" : "Kato", "given" : "Tomomi", "non-dropping-particle" : "", "parse-names" : false, "suffix" : "" }, { "dropping-particle" : "", "family" : "Kato", "given" : "Zenichiro", "non-dropping-particle" : "", "parse-names" : false, "suffix" : "" }, { "dropping-particle" : "", "family" : "Kuratsubo", "given" : "Izumi", "non-dropping-particle" : "", "parse-names" : false, "suffix" : "" }, { "dropping-particle" : "", "family" : "Ota", "given" : "Tetsuo", "non-dropping-particle" : "", "parse-names" : false, "suffix" : "" }, { "dropping-particle" : "", "family" : "Orii", "given" : "Tadao", "non-dropping-particle" : "", "parse-names" : false, "suffix" : "" }, { "dropping-particle" : "", "family" : "Kondo", "given" : "Naomi", "non-dropping-particle" : "", "parse-names" : false, "suffix" : "" }, { "dropping-particle" : "", "family" : "Suzuki", "given" : "Yasuyuki", "non-dropping-particle" : "", "parse-names" : false, "suffix" : "" } ], "container-title" : "Brain and Development", "id" : "ITEM-1", "issue" : "5", "issued" : { "date-parts" : [ [ "2007" ] ] }, "page" : "298-305", "title" : "Evaluation of ADL in patients with Hunter disease using FIM score", "type" : "article-journal", "volume" : "29" }, "uris" : [ "http://www.mendeley.com/documents/?uuid=54fdccb9-1aea-4226-b380-1addec026e0d" ] } ], "mendeley" : { "formattedCitation" : "&lt;sup&gt;28&lt;/sup&gt;", "plainTextFormattedCitation" : "28", "previouslyFormattedCitation" : "&lt;sup&gt;28&lt;/sup&gt;" }, "properties" : { "noteIndex" : 0 }, "schema" : "https://github.com/citation-style-language/schema/raw/master/csl-citation.json" }</w:instrText>
      </w:r>
      <w:r w:rsidR="00933BBE">
        <w:rPr>
          <w:rFonts w:ascii="Arial" w:hAnsi="Arial" w:cs="Arial"/>
          <w:sz w:val="24"/>
          <w:szCs w:val="24"/>
        </w:rPr>
        <w:fldChar w:fldCharType="separate"/>
      </w:r>
      <w:r w:rsidR="001F649C" w:rsidRPr="001F649C">
        <w:rPr>
          <w:rFonts w:ascii="Arial" w:hAnsi="Arial" w:cs="Arial"/>
          <w:noProof/>
          <w:sz w:val="24"/>
          <w:szCs w:val="24"/>
          <w:vertAlign w:val="superscript"/>
        </w:rPr>
        <w:t>28</w:t>
      </w:r>
      <w:r w:rsidR="00933BBE">
        <w:rPr>
          <w:rFonts w:ascii="Arial" w:hAnsi="Arial" w:cs="Arial"/>
          <w:sz w:val="24"/>
          <w:szCs w:val="24"/>
        </w:rPr>
        <w:fldChar w:fldCharType="end"/>
      </w:r>
      <w:r w:rsidR="00F150B0">
        <w:rPr>
          <w:rFonts w:ascii="Arial" w:hAnsi="Arial" w:cs="Arial"/>
          <w:sz w:val="24"/>
          <w:szCs w:val="24"/>
        </w:rPr>
        <w:t>, Shapiro et al.</w:t>
      </w:r>
      <w:r w:rsidR="00933BBE">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"10.1016/j.ymgmr.2016.03.005", "ISSN" : "22144269", "PMID" : "27114914", "abstract" : "Objectives The behavioral, adaptive and quality of life characteristics of attenuated mucopolysaccharidosis type II (MPS II) have not been well studied. Understanding changes over time in the attenuated phenotype may assist in helping achieve better outcomes in long-term function. This longitudinal study investigates these outcomes in relation to age, somatic disease burden, and IQ. Specifically, somatic disease burden is a major challenge for these patients, even with treatment with enzyme replacement therapy. Methods 15 patients, 10 between ages 6 and &lt; 12 and 5 between ages ??? 12 and 18, were selected who had at least 2 yearly visits. The occurrence of physical signs, the Physical Symptom Score, and IQ in these two groups was studied as well as the longitudinal association of age with standardized measures of quality of life, adaptive function, and behavioral symptoms as rated by parents and the child's self-report. Slopes by age across and within patients were calculated for these measures. Results All but one child had hearing loss, most had joint contractures and short stature. Somatic disease burden increased with age. IQ, although normal for most, also improved with age in those under 12 years of age. Physical quality of life decreased while psychosocial quality of life increased with age. Although other adaptive skills were in the broad average range, daily living skills were low at baseline relative to normative data and decreased over time. Behavior ratings indicated improvement in attention and hyperactivity over time. No patient had severe psychopathology, but older children reported an increasing sense of inadequacy and low self-esteem on self-report, presumably due to increasing awareness of differences from peers over time. Conclusions Attenuated MPS II patients have increasing somatic disease burden and poor physical quality of life as they develop as well as decreasing self-esteem and sense of adequacy. Psychosocial quality of life, adaptive skills, and attention improve. Recognition of and intervention around these issues will be beneficial to MPS II attenuated patients who have the resources to use such assistance to improve their long-term outcomes.", "author" : [ { "dropping-particle" : "", "family" : "Shapiro", "given" : "Elsa G.", "non-dropping-particle" : "", "parse-names" : false, "suffix" : "" }, { "dropping-particle" : "", "family" : "Rudser", "given" : "Kyle", "non-dropping-particle" : "", "parse-names" : false, "suffix" : "" }, { "dropping-particle" : "", "family" : "Ahmed", "given" : "Alia", "non-dropping-particle" : "", "parse-names" : false, "suffix" : "" }, { "dropping-particle" : "", "family" : "Steiner", "given" : "Robert D.", "non-dropping-particle" : "", "parse-names" : false, "suffix" : "" }, { "dropping-particle" : "", "family" : "Delaney", "given" : "Kathleen A.", "non-dropping-particle" : "", "parse-names" : false, "suffix" : "" }, { "dropping-particle" : "", "family" : "Yund", "given" : "Brianna", "non-dropping-particle" : "", "parse-names" : false, "suffix" : "" }, { "dropping-particle" : "", "family" : "King", "given" : "Kelly", "non-dropping-particle" : "", "parse-names" : false, "suffix" : "" }, { "dropping-particle" : "", "family" : "Kunin-Batson", "given" : "Alicia", "non-dropping-particle" : "", "parse-names" : false, "suffix" : "" }, { "dropping-particle" : "", "family" : "Eisengart", "given" : "Julie", "non-dropping-particle" : "", "parse-names" : false, "suffix" : "" }, { "dropping-particle" : "", "family" : "Whitley", "given" : "Chester B.", "non-dropping-particle" : "", "parse-names" : false, "suffix" : "" } ], "container-title" : "Mol Genet and Metab Rep", "id" : "ITEM-1", "issued" : { "date-parts" : [ [ "2016" ] ] }, "page" : "32-39", "publisher" : "The Authors", "title" : "A longitudinal study of emotional adjustment, quality of life and adaptive function in attenuated MPS II", "type" : "article-journal", "volume" : "7" }, "uris" : [ "http://www.mendeley.com/documents/?uuid=d9dc75ed-36d1-482c-907e-4f291c5b0c45" ] } ], "mendeley" : { "formattedCitation" : "&lt;sup&gt;13&lt;/sup&gt;", "plainTextFormattedCitation" : "13", "previouslyFormattedCitation" : "&lt;sup&gt;13&lt;/sup&gt;" }, "properties" : { "noteIndex" : 0 }, "schema" : "https://github.com/citation-style-language/schema/raw/master/csl-citation.json" }</w:instrText>
      </w:r>
      <w:r w:rsidR="00933BBE">
        <w:rPr>
          <w:rFonts w:ascii="Arial" w:hAnsi="Arial" w:cs="Arial"/>
          <w:sz w:val="24"/>
          <w:szCs w:val="24"/>
        </w:rPr>
        <w:fldChar w:fldCharType="separate"/>
      </w:r>
      <w:r w:rsidR="001F649C" w:rsidRPr="001F649C">
        <w:rPr>
          <w:rFonts w:ascii="Arial" w:hAnsi="Arial" w:cs="Arial"/>
          <w:noProof/>
          <w:sz w:val="24"/>
          <w:szCs w:val="24"/>
          <w:vertAlign w:val="superscript"/>
        </w:rPr>
        <w:t>13</w:t>
      </w:r>
      <w:r w:rsidR="00933BBE">
        <w:rPr>
          <w:rFonts w:ascii="Arial" w:hAnsi="Arial" w:cs="Arial"/>
          <w:sz w:val="24"/>
          <w:szCs w:val="24"/>
        </w:rPr>
        <w:fldChar w:fldCharType="end"/>
      </w:r>
      <w:r w:rsidRPr="003F585B">
        <w:rPr>
          <w:rFonts w:ascii="Arial" w:hAnsi="Arial" w:cs="Arial"/>
          <w:sz w:val="24"/>
          <w:szCs w:val="24"/>
        </w:rPr>
        <w:t xml:space="preserve"> relatam que</w:t>
      </w:r>
      <w:r w:rsidR="007D6ADC">
        <w:rPr>
          <w:rFonts w:ascii="Arial" w:hAnsi="Arial" w:cs="Arial"/>
          <w:sz w:val="24"/>
          <w:szCs w:val="24"/>
        </w:rPr>
        <w:t>,</w:t>
      </w:r>
      <w:r w:rsidRPr="003F585B">
        <w:rPr>
          <w:rFonts w:ascii="Arial" w:hAnsi="Arial" w:cs="Arial"/>
          <w:sz w:val="24"/>
          <w:szCs w:val="24"/>
        </w:rPr>
        <w:t xml:space="preserve"> na forma atenuada da MPS tipo II</w:t>
      </w:r>
      <w:r w:rsidR="007D6ADC">
        <w:rPr>
          <w:rFonts w:ascii="Arial" w:hAnsi="Arial" w:cs="Arial"/>
          <w:sz w:val="24"/>
          <w:szCs w:val="24"/>
        </w:rPr>
        <w:t>,</w:t>
      </w:r>
      <w:r w:rsidRPr="003F585B">
        <w:rPr>
          <w:rFonts w:ascii="Arial" w:hAnsi="Arial" w:cs="Arial"/>
          <w:sz w:val="24"/>
          <w:szCs w:val="24"/>
        </w:rPr>
        <w:t xml:space="preserve"> o desenvolvimento cognitivo tende a seguir um curso relativamente normal, sem comprometimento significativo. Entretanto, o acúmulo progressivo de GAG</w:t>
      </w:r>
      <w:r w:rsidR="00FD5655">
        <w:rPr>
          <w:rFonts w:ascii="Arial" w:hAnsi="Arial" w:cs="Arial"/>
          <w:sz w:val="24"/>
          <w:szCs w:val="24"/>
        </w:rPr>
        <w:t>s</w:t>
      </w:r>
      <w:r w:rsidRPr="003F585B">
        <w:rPr>
          <w:rFonts w:ascii="Arial" w:hAnsi="Arial" w:cs="Arial"/>
          <w:sz w:val="24"/>
          <w:szCs w:val="24"/>
        </w:rPr>
        <w:t xml:space="preserve"> nos lisossomos gera uma carga somática da doença</w:t>
      </w:r>
      <w:r w:rsidR="00CD75A1">
        <w:rPr>
          <w:rFonts w:ascii="Arial" w:hAnsi="Arial" w:cs="Arial"/>
          <w:sz w:val="24"/>
          <w:szCs w:val="24"/>
        </w:rPr>
        <w:t>, ocasionando</w:t>
      </w:r>
      <w:r w:rsidR="005672D3">
        <w:rPr>
          <w:rFonts w:ascii="Arial" w:hAnsi="Arial" w:cs="Arial"/>
          <w:sz w:val="24"/>
          <w:szCs w:val="24"/>
        </w:rPr>
        <w:t>,</w:t>
      </w:r>
      <w:r w:rsidR="00CD75A1">
        <w:rPr>
          <w:rFonts w:ascii="Arial" w:hAnsi="Arial" w:cs="Arial"/>
          <w:sz w:val="24"/>
          <w:szCs w:val="24"/>
        </w:rPr>
        <w:t xml:space="preserve"> por exemplo</w:t>
      </w:r>
      <w:r w:rsidR="005672D3">
        <w:rPr>
          <w:rFonts w:ascii="Arial" w:hAnsi="Arial" w:cs="Arial"/>
          <w:sz w:val="24"/>
          <w:szCs w:val="24"/>
        </w:rPr>
        <w:t>,</w:t>
      </w:r>
      <w:r w:rsidR="00CD75A1">
        <w:rPr>
          <w:rFonts w:ascii="Arial" w:hAnsi="Arial" w:cs="Arial"/>
          <w:sz w:val="24"/>
          <w:szCs w:val="24"/>
        </w:rPr>
        <w:t xml:space="preserve"> </w:t>
      </w:r>
      <w:r w:rsidRPr="003F585B">
        <w:rPr>
          <w:rFonts w:ascii="Arial" w:hAnsi="Arial" w:cs="Arial"/>
          <w:sz w:val="24"/>
          <w:szCs w:val="24"/>
        </w:rPr>
        <w:t>hipo</w:t>
      </w:r>
      <w:r w:rsidR="00CD75A1">
        <w:rPr>
          <w:rFonts w:ascii="Arial" w:hAnsi="Arial" w:cs="Arial"/>
          <w:sz w:val="24"/>
          <w:szCs w:val="24"/>
        </w:rPr>
        <w:t>acusia ou comprometimento físico. Condições como essas</w:t>
      </w:r>
      <w:r w:rsidRPr="003F585B">
        <w:rPr>
          <w:rFonts w:ascii="Arial" w:hAnsi="Arial" w:cs="Arial"/>
          <w:sz w:val="24"/>
          <w:szCs w:val="24"/>
        </w:rPr>
        <w:t>, mesmo</w:t>
      </w:r>
      <w:r w:rsidR="00CD75A1">
        <w:rPr>
          <w:rFonts w:ascii="Arial" w:hAnsi="Arial" w:cs="Arial"/>
          <w:sz w:val="24"/>
          <w:szCs w:val="24"/>
        </w:rPr>
        <w:t xml:space="preserve"> que</w:t>
      </w:r>
      <w:r w:rsidRPr="003F585B">
        <w:rPr>
          <w:rFonts w:ascii="Arial" w:hAnsi="Arial" w:cs="Arial"/>
          <w:sz w:val="24"/>
          <w:szCs w:val="24"/>
        </w:rPr>
        <w:t xml:space="preserve"> presentes de forma branda</w:t>
      </w:r>
      <w:r w:rsidR="00BD3B4A">
        <w:rPr>
          <w:rFonts w:ascii="Arial" w:hAnsi="Arial" w:cs="Arial"/>
          <w:sz w:val="24"/>
          <w:szCs w:val="24"/>
        </w:rPr>
        <w:t>, podem acarretar</w:t>
      </w:r>
      <w:r w:rsidR="007D6ADC">
        <w:rPr>
          <w:rFonts w:ascii="Arial" w:hAnsi="Arial" w:cs="Arial"/>
          <w:sz w:val="24"/>
          <w:szCs w:val="24"/>
        </w:rPr>
        <w:t xml:space="preserve"> ao indivíduo</w:t>
      </w:r>
      <w:r w:rsidR="00BD3B4A">
        <w:rPr>
          <w:rFonts w:ascii="Arial" w:hAnsi="Arial" w:cs="Arial"/>
          <w:sz w:val="24"/>
          <w:szCs w:val="24"/>
        </w:rPr>
        <w:t xml:space="preserve"> dificuldades para </w:t>
      </w:r>
      <w:r w:rsidRPr="003F585B">
        <w:rPr>
          <w:rFonts w:ascii="Arial" w:hAnsi="Arial" w:cs="Arial"/>
          <w:sz w:val="24"/>
          <w:szCs w:val="24"/>
        </w:rPr>
        <w:t>a execução de tarefas de vida diária</w:t>
      </w:r>
      <w:r w:rsidR="00933BBE">
        <w:rPr>
          <w:rFonts w:ascii="Arial" w:hAnsi="Arial" w:cs="Arial"/>
          <w:sz w:val="24"/>
          <w:szCs w:val="24"/>
        </w:rPr>
        <w:t>.</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"10.1016/j.ymgmr.2016.03.005", "ISSN" : "22144269", "PMID" : "27114914", "abstract" : "Objectives The behavioral, adaptive and quality of life characteristics of attenuated mucopolysaccharidosis type II (MPS II) have not been well studied. Understanding changes over time in the attenuated phenotype may assist in helping achieve better outcomes in long-term function. This longitudinal study investigates these outcomes in relation to age, somatic disease burden, and IQ. Specifically, somatic disease burden is a major challenge for these patients, even with treatment with enzyme replacement therapy. Methods 15 patients, 10 between ages 6 and &lt; 12 and 5 between ages ??? 12 and 18, were selected who had at least 2 yearly visits. The occurrence of physical signs, the Physical Symptom Score, and IQ in these two groups was studied as well as the longitudinal association of age with standardized measures of quality of life, adaptive function, and behavioral symptoms as rated by parents and the child's self-report. Slopes by age across and within patients were calculated for these measures. Results All but one child had hearing loss, most had joint contractures and short stature. Somatic disease burden increased with age. IQ, although normal for most, also improved with age in those under 12 years of age. Physical quality of life decreased while psychosocial quality of life increased with age. Although other adaptive skills were in the broad average range, daily living skills were low at baseline relative to normative data and decreased over time. Behavior ratings indicated improvement in attention and hyperactivity over time. No patient had severe psychopathology, but older children reported an increasing sense of inadequacy and low self-esteem on self-report, presumably due to increasing awareness of differences from peers over time. Conclusions Attenuated MPS II patients have increasing somatic disease burden and poor physical quality of life as they develop as well as decreasing self-esteem and sense of adequacy. Psychosocial quality of life, adaptive skills, and attention improve. Recognition of and intervention around these issues will be beneficial to MPS II attenuated patients who have the resources to use such assistance to improve their long-term outcomes.", "author" : [ { "dropping-particle" : "", "family" : "Shapiro", "given" : "Elsa G.", "non-dropping-particle" : "", "parse-names" : false, "suffix" : "" }, { "dropping-particle" : "", "family" : "Rudser", "given" : "Kyle", "non-dropping-particle" : "", "parse-names" : false, "suffix" : "" }, { "dropping-particle" : "", "family" : "Ahmed", "given" : "Alia", "non-dropping-particle" : "", "parse-names" : false, "suffix" : "" }, { "dropping-particle" : "", "family" : "Steiner", "given" : "Robert D.", "non-dropping-particle" : "", "parse-names" : false, "suffix" : "" }, { "dropping-particle" : "", "family" : "D</w:instrText>
      </w:r>
      <w:r w:rsidR="005C2E82" w:rsidRPr="00FF1F37">
        <w:rPr>
          <w:rFonts w:ascii="Arial" w:hAnsi="Arial" w:cs="Arial"/>
          <w:sz w:val="24"/>
          <w:szCs w:val="24"/>
          <w:lang w:val="en-US"/>
        </w:rPr>
        <w:instrText>elaney", "given" : "Kathleen A.", "non-dropping-particle" : "", "parse-names" : false, "suffix" : "" }, { "dropping-particle" : "", "family" : "Yund", "given" : "Brianna", "non-dropping-particle" : "", "parse-names" : false, "suffix" : "" }, { "dropping-particle" : "", "family" : "King", "given" : "Kelly", "non-dropping-particle" : "", "parse-names" : false, "suffix" : "" }, { "dropping-particle" : "", "family" : "Kunin-Batson", "given" : "Alicia", "non-dropping-particle" : "", "parse-names" : false, "suffix" : "" }, { "dropping-particle" : "", "family" : "Eisengart", "given" : "Julie", "non-dropping-particle" : "", "parse-names" : false, "suffix" : "" }, { "dropping-particle" : "", "family" : "Whitley", "given" : "Chester B.", "non-dropping-particle" : "", "parse-names" : false, "suffix" : "" } ], "container-title" : "Mol Genet and Metab Rep", "id" : "ITEM-1", "issued" : { "date-parts" : [ [ "2016" ] ] }, "page" : "32-39", "publisher" : "The Authors", "title" : "A longitudinal study of emotional adjustment, quality of life and adaptive function in attenuated MPS II", "type" : "article-journal", "volume" : "7" }, "uris" : [ "http://www.mendeley.com/documents/?uuid=d9dc75ed-36d1-482c-907e-4f291c5b0c45" ] } ], "mendeley" : { "formattedCitation" : "&lt;sup&gt;13&lt;/sup&gt;", "plainTextFormattedCitation" : "13", "previouslyFormattedCitation" : "&lt;sup&gt;13&lt;/sup&gt;"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FF1F37">
        <w:rPr>
          <w:rFonts w:ascii="Arial" w:hAnsi="Arial" w:cs="Arial"/>
          <w:noProof/>
          <w:sz w:val="24"/>
          <w:szCs w:val="24"/>
          <w:vertAlign w:val="superscript"/>
          <w:lang w:val="en-US"/>
        </w:rPr>
        <w:t>13</w:t>
      </w:r>
      <w:r w:rsidRPr="003F585B">
        <w:rPr>
          <w:rFonts w:ascii="Arial" w:hAnsi="Arial" w:cs="Arial"/>
          <w:sz w:val="24"/>
          <w:szCs w:val="24"/>
        </w:rPr>
        <w:fldChar w:fldCharType="end"/>
      </w:r>
      <w:r w:rsidRPr="00FF1F37">
        <w:rPr>
          <w:rFonts w:ascii="Arial" w:hAnsi="Arial" w:cs="Arial"/>
          <w:sz w:val="24"/>
          <w:szCs w:val="24"/>
          <w:lang w:val="en-US"/>
        </w:rPr>
        <w:t xml:space="preserve"> </w:t>
      </w:r>
    </w:p>
    <w:p w:rsidR="00A62F69" w:rsidRPr="00FF1F37" w:rsidRDefault="00A62F69" w:rsidP="00491682">
      <w:pPr>
        <w:spacing w:after="0" w:line="360" w:lineRule="auto"/>
        <w:jc w:val="both"/>
        <w:rPr>
          <w:rFonts w:ascii="Arial" w:hAnsi="Arial" w:cs="Arial"/>
          <w:sz w:val="24"/>
          <w:szCs w:val="24"/>
          <w:lang w:val="en-US"/>
        </w:rPr>
      </w:pPr>
    </w:p>
    <w:p w:rsidR="00EB34BF" w:rsidRDefault="00EB34BF" w:rsidP="00491682">
      <w:pPr>
        <w:spacing w:after="0" w:line="360" w:lineRule="auto"/>
        <w:jc w:val="both"/>
        <w:rPr>
          <w:rFonts w:ascii="Arial" w:hAnsi="Arial" w:cs="Arial"/>
          <w:sz w:val="24"/>
          <w:szCs w:val="24"/>
        </w:rPr>
      </w:pPr>
      <w:proofErr w:type="spellStart"/>
      <w:r w:rsidRPr="007015CE">
        <w:rPr>
          <w:rFonts w:ascii="Arial" w:hAnsi="Arial" w:cs="Arial"/>
          <w:sz w:val="24"/>
          <w:szCs w:val="24"/>
          <w:lang w:val="en-US"/>
        </w:rPr>
        <w:t>Guarany</w:t>
      </w:r>
      <w:proofErr w:type="spellEnd"/>
      <w:r w:rsidRPr="007015CE">
        <w:rPr>
          <w:rFonts w:ascii="Arial" w:hAnsi="Arial" w:cs="Arial"/>
          <w:sz w:val="24"/>
          <w:szCs w:val="24"/>
          <w:lang w:val="en-US"/>
        </w:rPr>
        <w:t xml:space="preserve"> et al.</w:t>
      </w:r>
      <w:r w:rsidR="0032698A" w:rsidRPr="00B421DD">
        <w:rPr>
          <w:rFonts w:ascii="Arial" w:hAnsi="Arial" w:cs="Arial"/>
          <w:sz w:val="24"/>
          <w:szCs w:val="24"/>
        </w:rPr>
        <w:fldChar w:fldCharType="begin" w:fldLock="1"/>
      </w:r>
      <w:r w:rsidR="005C2E82" w:rsidRPr="007015CE">
        <w:rPr>
          <w:rFonts w:ascii="Arial" w:hAnsi="Arial" w:cs="Arial"/>
          <w:sz w:val="24"/>
          <w:szCs w:val="24"/>
          <w:lang w:val="en-US"/>
        </w:rPr>
        <w:instrText>ADDIN CSL_CITATION { "citationItems" : [ { "id" : "ITEM-1", "itemData" : { "DOI" : "10.3233/PRM-2012-0194", "ISSN" : "18745393", "PMID" : "22543891", "abstract" : "The mucopolysaccharidoses (MPS) are rare genetic disorders caused by a deficiency in lysosomal enzymes that affect the catabolism of glycosaminoglycans and cause their accumulation, resulting in a multisystemic clinical picture. Their clinical manifestations result in limited ability to perform daily life tasks.", "author" : [ { "dropping-particle" : "", "family" : "Guarany", "given" : "Nicole Ruas", "non-dropping-particle" : "", "parse-names" : false, "suffix" : "" }, { "dropping-particle" : "", "family" : "Schwartz", "given" : "Ida Vanessa D", "non-dropping-particle" : "", "parse-names" : false, "suffix" : "" }, { "dropping-particle" : "", "family" : "Guarany", "given" : "F\u00e1bio Coelho", "non-dropping-particle" : "", "parse-names" : false, "suffix" : "" }, { "dropping-particle" : "", "family" : "Giugliani", "given" : "Roberto", "non-dropping-particle" : "", "parse-names" : false, "suffix" : "" } ], "container-title" : "Journal of Pediatric Rehabilitation Medicine", "id" : "ITEM-1", "issue" : "1", "issued" : { "date-parts" : [ [ "2012" ] ] }, "page" : "37-46", "title" : "Functional capacity evaluation of patients with mucopolysaccharidosis", "type" : "article-journal", "volume" : "5" }, "uris" : [ "http://www.mendeley.com/documents/?uuid=4129becd-066a-4258-a413-78a5846e72a7" ] } ], "mendeley" : { "formattedCitation" : "&lt;sup&gt;32&lt;/sup&gt;", "plainTextFormattedCitation" : "32", "previouslyFormattedCitation" : "&lt;sup&gt;32&lt;/sup&gt;" }, "properties" : { "noteIndex" : 0 }, "schema" : "https://github.com/citation-style-language/schema/raw/master/csl-citation.json" }</w:instrText>
      </w:r>
      <w:r w:rsidR="0032698A" w:rsidRPr="00B421DD">
        <w:rPr>
          <w:rFonts w:ascii="Arial" w:hAnsi="Arial" w:cs="Arial"/>
          <w:sz w:val="24"/>
          <w:szCs w:val="24"/>
        </w:rPr>
        <w:fldChar w:fldCharType="separate"/>
      </w:r>
      <w:r w:rsidR="001F649C" w:rsidRPr="007015CE">
        <w:rPr>
          <w:rFonts w:ascii="Arial" w:hAnsi="Arial" w:cs="Arial"/>
          <w:noProof/>
          <w:sz w:val="24"/>
          <w:szCs w:val="24"/>
          <w:vertAlign w:val="superscript"/>
          <w:lang w:val="en-US"/>
        </w:rPr>
        <w:t>32</w:t>
      </w:r>
      <w:r w:rsidR="0032698A" w:rsidRPr="00B421DD">
        <w:rPr>
          <w:rFonts w:ascii="Arial" w:hAnsi="Arial" w:cs="Arial"/>
          <w:sz w:val="24"/>
          <w:szCs w:val="24"/>
        </w:rPr>
        <w:fldChar w:fldCharType="end"/>
      </w:r>
      <w:r w:rsidRPr="007015CE">
        <w:rPr>
          <w:rFonts w:ascii="Arial" w:hAnsi="Arial" w:cs="Arial"/>
          <w:sz w:val="24"/>
          <w:szCs w:val="24"/>
          <w:lang w:val="en-US"/>
        </w:rPr>
        <w:t xml:space="preserve"> </w:t>
      </w:r>
      <w:proofErr w:type="spellStart"/>
      <w:r w:rsidRPr="007015CE">
        <w:rPr>
          <w:rFonts w:ascii="Arial" w:hAnsi="Arial" w:cs="Arial"/>
          <w:sz w:val="24"/>
          <w:szCs w:val="24"/>
          <w:lang w:val="en-US"/>
        </w:rPr>
        <w:t>utilizaram</w:t>
      </w:r>
      <w:proofErr w:type="spellEnd"/>
      <w:r w:rsidRPr="007015CE">
        <w:rPr>
          <w:rFonts w:ascii="Arial" w:hAnsi="Arial" w:cs="Arial"/>
          <w:sz w:val="24"/>
          <w:szCs w:val="24"/>
          <w:lang w:val="en-US"/>
        </w:rPr>
        <w:t xml:space="preserve"> </w:t>
      </w:r>
      <w:proofErr w:type="spellStart"/>
      <w:r w:rsidRPr="007015CE">
        <w:rPr>
          <w:rFonts w:ascii="Arial" w:hAnsi="Arial" w:cs="Arial"/>
          <w:sz w:val="24"/>
          <w:szCs w:val="24"/>
          <w:lang w:val="en-US"/>
        </w:rPr>
        <w:t>os</w:t>
      </w:r>
      <w:proofErr w:type="spellEnd"/>
      <w:r w:rsidRPr="007015CE">
        <w:rPr>
          <w:rFonts w:ascii="Arial" w:hAnsi="Arial" w:cs="Arial"/>
          <w:sz w:val="24"/>
          <w:szCs w:val="24"/>
          <w:lang w:val="en-US"/>
        </w:rPr>
        <w:t xml:space="preserve"> </w:t>
      </w:r>
      <w:proofErr w:type="spellStart"/>
      <w:r w:rsidRPr="007015CE">
        <w:rPr>
          <w:rFonts w:ascii="Arial" w:hAnsi="Arial" w:cs="Arial"/>
          <w:sz w:val="24"/>
          <w:szCs w:val="24"/>
          <w:lang w:val="en-US"/>
        </w:rPr>
        <w:t>instrumentos</w:t>
      </w:r>
      <w:proofErr w:type="spellEnd"/>
      <w:r w:rsidRPr="007015CE">
        <w:rPr>
          <w:rFonts w:ascii="Arial" w:hAnsi="Arial" w:cs="Arial"/>
          <w:sz w:val="24"/>
          <w:szCs w:val="24"/>
          <w:lang w:val="en-US"/>
        </w:rPr>
        <w:t xml:space="preserve"> PEDI e a MIF </w:t>
      </w:r>
      <w:proofErr w:type="spellStart"/>
      <w:r w:rsidRPr="007015CE">
        <w:rPr>
          <w:rFonts w:ascii="Arial" w:hAnsi="Arial" w:cs="Arial"/>
          <w:sz w:val="24"/>
          <w:szCs w:val="24"/>
          <w:lang w:val="en-US"/>
        </w:rPr>
        <w:t>para</w:t>
      </w:r>
      <w:proofErr w:type="spellEnd"/>
      <w:r w:rsidR="00F54699" w:rsidRPr="007015CE">
        <w:rPr>
          <w:rFonts w:ascii="Arial" w:hAnsi="Arial" w:cs="Arial"/>
          <w:sz w:val="24"/>
          <w:szCs w:val="24"/>
          <w:lang w:val="en-US"/>
        </w:rPr>
        <w:t xml:space="preserve"> </w:t>
      </w:r>
      <w:proofErr w:type="spellStart"/>
      <w:r w:rsidR="00F54699" w:rsidRPr="007015CE">
        <w:rPr>
          <w:rFonts w:ascii="Arial" w:hAnsi="Arial" w:cs="Arial"/>
          <w:sz w:val="24"/>
          <w:szCs w:val="24"/>
          <w:lang w:val="en-US"/>
        </w:rPr>
        <w:t>avaliar</w:t>
      </w:r>
      <w:proofErr w:type="spellEnd"/>
      <w:r w:rsidR="00F54699" w:rsidRPr="007015CE">
        <w:rPr>
          <w:rFonts w:ascii="Arial" w:hAnsi="Arial" w:cs="Arial"/>
          <w:sz w:val="24"/>
          <w:szCs w:val="24"/>
          <w:lang w:val="en-US"/>
        </w:rPr>
        <w:t xml:space="preserve"> a </w:t>
      </w:r>
      <w:proofErr w:type="spellStart"/>
      <w:r w:rsidR="00F54699" w:rsidRPr="007015CE">
        <w:rPr>
          <w:rFonts w:ascii="Arial" w:hAnsi="Arial" w:cs="Arial"/>
          <w:sz w:val="24"/>
          <w:szCs w:val="24"/>
          <w:lang w:val="en-US"/>
        </w:rPr>
        <w:t>capacidade</w:t>
      </w:r>
      <w:proofErr w:type="spellEnd"/>
      <w:r w:rsidR="00F54699" w:rsidRPr="007015CE">
        <w:rPr>
          <w:rFonts w:ascii="Arial" w:hAnsi="Arial" w:cs="Arial"/>
          <w:sz w:val="24"/>
          <w:szCs w:val="24"/>
          <w:lang w:val="en-US"/>
        </w:rPr>
        <w:t xml:space="preserve"> </w:t>
      </w:r>
      <w:proofErr w:type="spellStart"/>
      <w:r w:rsidR="00F54699" w:rsidRPr="007015CE">
        <w:rPr>
          <w:rFonts w:ascii="Arial" w:hAnsi="Arial" w:cs="Arial"/>
          <w:sz w:val="24"/>
          <w:szCs w:val="24"/>
          <w:lang w:val="en-US"/>
        </w:rPr>
        <w:t>funcional</w:t>
      </w:r>
      <w:proofErr w:type="spellEnd"/>
      <w:r w:rsidR="00F54699" w:rsidRPr="007015CE">
        <w:rPr>
          <w:rFonts w:ascii="Arial" w:hAnsi="Arial" w:cs="Arial"/>
          <w:sz w:val="24"/>
          <w:szCs w:val="24"/>
          <w:lang w:val="en-US"/>
        </w:rPr>
        <w:t>;</w:t>
      </w:r>
      <w:r w:rsidRPr="007015CE">
        <w:rPr>
          <w:rFonts w:ascii="Arial" w:hAnsi="Arial" w:cs="Arial"/>
          <w:sz w:val="24"/>
          <w:szCs w:val="24"/>
          <w:lang w:val="en-US"/>
        </w:rPr>
        <w:t xml:space="preserve"> e a goniometria </w:t>
      </w:r>
      <w:proofErr w:type="spellStart"/>
      <w:r w:rsidRPr="007015CE">
        <w:rPr>
          <w:rFonts w:ascii="Arial" w:hAnsi="Arial" w:cs="Arial"/>
          <w:sz w:val="24"/>
          <w:szCs w:val="24"/>
          <w:lang w:val="en-US"/>
        </w:rPr>
        <w:t>para</w:t>
      </w:r>
      <w:proofErr w:type="spellEnd"/>
      <w:r w:rsidRPr="007015CE">
        <w:rPr>
          <w:rFonts w:ascii="Arial" w:hAnsi="Arial" w:cs="Arial"/>
          <w:sz w:val="24"/>
          <w:szCs w:val="24"/>
          <w:lang w:val="en-US"/>
        </w:rPr>
        <w:t xml:space="preserve"> </w:t>
      </w:r>
      <w:proofErr w:type="spellStart"/>
      <w:r w:rsidRPr="007015CE">
        <w:rPr>
          <w:rFonts w:ascii="Arial" w:hAnsi="Arial" w:cs="Arial"/>
          <w:sz w:val="24"/>
          <w:szCs w:val="24"/>
          <w:lang w:val="en-US"/>
        </w:rPr>
        <w:t>avaliação</w:t>
      </w:r>
      <w:proofErr w:type="spellEnd"/>
      <w:r w:rsidRPr="007015CE">
        <w:rPr>
          <w:rFonts w:ascii="Arial" w:hAnsi="Arial" w:cs="Arial"/>
          <w:sz w:val="24"/>
          <w:szCs w:val="24"/>
          <w:lang w:val="en-US"/>
        </w:rPr>
        <w:t xml:space="preserve"> da </w:t>
      </w:r>
      <w:r w:rsidR="00F54699" w:rsidRPr="007015CE">
        <w:rPr>
          <w:rFonts w:ascii="Arial" w:hAnsi="Arial" w:cs="Arial"/>
          <w:sz w:val="24"/>
          <w:szCs w:val="24"/>
          <w:lang w:val="en-US"/>
        </w:rPr>
        <w:t>ADM de</w:t>
      </w:r>
      <w:r w:rsidRPr="007015CE">
        <w:rPr>
          <w:rFonts w:ascii="Arial" w:hAnsi="Arial" w:cs="Arial"/>
          <w:sz w:val="24"/>
          <w:szCs w:val="24"/>
          <w:lang w:val="en-US"/>
        </w:rPr>
        <w:t xml:space="preserve"> </w:t>
      </w:r>
      <w:proofErr w:type="spellStart"/>
      <w:r w:rsidRPr="007015CE">
        <w:rPr>
          <w:rFonts w:ascii="Arial" w:hAnsi="Arial" w:cs="Arial"/>
          <w:sz w:val="24"/>
          <w:szCs w:val="24"/>
          <w:lang w:val="en-US"/>
        </w:rPr>
        <w:t>pacientes</w:t>
      </w:r>
      <w:proofErr w:type="spellEnd"/>
      <w:r w:rsidRPr="0020580C">
        <w:rPr>
          <w:rFonts w:ascii="Arial" w:hAnsi="Arial" w:cs="Arial"/>
          <w:sz w:val="24"/>
          <w:szCs w:val="24"/>
          <w:lang w:val="en-US"/>
        </w:rPr>
        <w:t xml:space="preserve"> com MPS</w:t>
      </w:r>
      <w:r w:rsidR="00F54699" w:rsidRPr="0020580C">
        <w:rPr>
          <w:rFonts w:ascii="Arial" w:hAnsi="Arial" w:cs="Arial"/>
          <w:sz w:val="24"/>
          <w:szCs w:val="24"/>
          <w:lang w:val="en-US"/>
        </w:rPr>
        <w:t>,</w:t>
      </w:r>
      <w:r w:rsidRPr="0020580C">
        <w:rPr>
          <w:rFonts w:ascii="Arial" w:hAnsi="Arial" w:cs="Arial"/>
          <w:sz w:val="24"/>
          <w:szCs w:val="24"/>
          <w:lang w:val="en-US"/>
        </w:rPr>
        <w:t xml:space="preserve"> </w:t>
      </w:r>
      <w:proofErr w:type="spellStart"/>
      <w:r w:rsidRPr="007015CE">
        <w:rPr>
          <w:rFonts w:ascii="Arial" w:hAnsi="Arial" w:cs="Arial"/>
          <w:sz w:val="24"/>
          <w:szCs w:val="24"/>
          <w:lang w:val="en-US"/>
        </w:rPr>
        <w:lastRenderedPageBreak/>
        <w:t>acompanhados</w:t>
      </w:r>
      <w:proofErr w:type="spellEnd"/>
      <w:r w:rsidRPr="007015CE">
        <w:rPr>
          <w:rFonts w:ascii="Arial" w:hAnsi="Arial" w:cs="Arial"/>
          <w:sz w:val="24"/>
          <w:szCs w:val="24"/>
          <w:lang w:val="en-US"/>
        </w:rPr>
        <w:t xml:space="preserve"> no </w:t>
      </w:r>
      <w:proofErr w:type="spellStart"/>
      <w:r w:rsidRPr="007015CE">
        <w:rPr>
          <w:rFonts w:ascii="Arial" w:hAnsi="Arial" w:cs="Arial"/>
          <w:sz w:val="24"/>
          <w:szCs w:val="24"/>
          <w:lang w:val="en-US"/>
        </w:rPr>
        <w:t>centro</w:t>
      </w:r>
      <w:proofErr w:type="spellEnd"/>
      <w:r w:rsidRPr="007015CE">
        <w:rPr>
          <w:rFonts w:ascii="Arial" w:hAnsi="Arial" w:cs="Arial"/>
          <w:sz w:val="24"/>
          <w:szCs w:val="24"/>
          <w:lang w:val="en-US"/>
        </w:rPr>
        <w:t xml:space="preserve"> de </w:t>
      </w:r>
      <w:proofErr w:type="spellStart"/>
      <w:r w:rsidRPr="007015CE">
        <w:rPr>
          <w:rFonts w:ascii="Arial" w:hAnsi="Arial" w:cs="Arial"/>
          <w:sz w:val="24"/>
          <w:szCs w:val="24"/>
          <w:lang w:val="en-US"/>
        </w:rPr>
        <w:t>referência</w:t>
      </w:r>
      <w:proofErr w:type="spellEnd"/>
      <w:r w:rsidRPr="007015CE">
        <w:rPr>
          <w:rFonts w:ascii="Arial" w:hAnsi="Arial" w:cs="Arial"/>
          <w:sz w:val="24"/>
          <w:szCs w:val="24"/>
          <w:lang w:val="en-US"/>
        </w:rPr>
        <w:t xml:space="preserve"> </w:t>
      </w:r>
      <w:proofErr w:type="spellStart"/>
      <w:r w:rsidRPr="007015CE">
        <w:rPr>
          <w:rFonts w:ascii="Arial" w:hAnsi="Arial" w:cs="Arial"/>
          <w:sz w:val="24"/>
          <w:szCs w:val="24"/>
          <w:lang w:val="en-US"/>
        </w:rPr>
        <w:t>para</w:t>
      </w:r>
      <w:proofErr w:type="spellEnd"/>
      <w:r w:rsidRPr="007015CE">
        <w:rPr>
          <w:rFonts w:ascii="Arial" w:hAnsi="Arial" w:cs="Arial"/>
          <w:sz w:val="24"/>
          <w:szCs w:val="24"/>
          <w:lang w:val="en-US"/>
        </w:rPr>
        <w:t xml:space="preserve"> </w:t>
      </w:r>
      <w:proofErr w:type="spellStart"/>
      <w:r w:rsidRPr="007015CE">
        <w:rPr>
          <w:rFonts w:ascii="Arial" w:hAnsi="Arial" w:cs="Arial"/>
          <w:sz w:val="24"/>
          <w:szCs w:val="24"/>
          <w:lang w:val="en-US"/>
        </w:rPr>
        <w:t>distúrbios</w:t>
      </w:r>
      <w:proofErr w:type="spellEnd"/>
      <w:r w:rsidRPr="007015CE">
        <w:rPr>
          <w:rFonts w:ascii="Arial" w:hAnsi="Arial" w:cs="Arial"/>
          <w:sz w:val="24"/>
          <w:szCs w:val="24"/>
          <w:lang w:val="en-US"/>
        </w:rPr>
        <w:t xml:space="preserve"> </w:t>
      </w:r>
      <w:proofErr w:type="spellStart"/>
      <w:r w:rsidRPr="007015CE">
        <w:rPr>
          <w:rFonts w:ascii="Arial" w:hAnsi="Arial" w:cs="Arial"/>
          <w:sz w:val="24"/>
          <w:szCs w:val="24"/>
          <w:lang w:val="en-US"/>
        </w:rPr>
        <w:t>lisossômicos</w:t>
      </w:r>
      <w:proofErr w:type="spellEnd"/>
      <w:r w:rsidRPr="007015CE">
        <w:rPr>
          <w:rFonts w:ascii="Arial" w:hAnsi="Arial" w:cs="Arial"/>
          <w:sz w:val="24"/>
          <w:szCs w:val="24"/>
          <w:lang w:val="en-US"/>
        </w:rPr>
        <w:t xml:space="preserve"> no Hospital de </w:t>
      </w:r>
      <w:proofErr w:type="spellStart"/>
      <w:r w:rsidRPr="007015CE">
        <w:rPr>
          <w:rFonts w:ascii="Arial" w:hAnsi="Arial" w:cs="Arial"/>
          <w:sz w:val="24"/>
          <w:szCs w:val="24"/>
          <w:lang w:val="en-US"/>
        </w:rPr>
        <w:t>Clínicas</w:t>
      </w:r>
      <w:proofErr w:type="spellEnd"/>
      <w:r w:rsidRPr="007015CE">
        <w:rPr>
          <w:rFonts w:ascii="Arial" w:hAnsi="Arial" w:cs="Arial"/>
          <w:sz w:val="24"/>
          <w:szCs w:val="24"/>
          <w:lang w:val="en-US"/>
        </w:rPr>
        <w:t xml:space="preserve"> de Porto </w:t>
      </w:r>
      <w:proofErr w:type="spellStart"/>
      <w:r w:rsidRPr="007015CE">
        <w:rPr>
          <w:rFonts w:ascii="Arial" w:hAnsi="Arial" w:cs="Arial"/>
          <w:sz w:val="24"/>
          <w:szCs w:val="24"/>
          <w:lang w:val="en-US"/>
        </w:rPr>
        <w:t>Alegre</w:t>
      </w:r>
      <w:proofErr w:type="spellEnd"/>
      <w:r w:rsidRPr="0020580C">
        <w:rPr>
          <w:rFonts w:ascii="Arial" w:hAnsi="Arial" w:cs="Arial"/>
          <w:sz w:val="24"/>
          <w:szCs w:val="24"/>
          <w:lang w:val="en-US"/>
        </w:rPr>
        <w:t>.</w:t>
      </w:r>
      <w:r w:rsidR="000B7CC4" w:rsidRPr="007B38A6">
        <w:rPr>
          <w:rFonts w:ascii="Arial" w:hAnsi="Arial" w:cs="Arial"/>
          <w:sz w:val="24"/>
          <w:szCs w:val="24"/>
          <w:lang w:val="en-US"/>
        </w:rPr>
        <w:t xml:space="preserve"> </w:t>
      </w:r>
      <w:r w:rsidR="00F94309">
        <w:rPr>
          <w:rFonts w:ascii="Arial" w:hAnsi="Arial" w:cs="Arial"/>
          <w:sz w:val="24"/>
          <w:szCs w:val="24"/>
        </w:rPr>
        <w:t>Os achados da referida pesquisa evidenciaram comp</w:t>
      </w:r>
      <w:r w:rsidRPr="003F585B">
        <w:rPr>
          <w:rFonts w:ascii="Arial" w:hAnsi="Arial" w:cs="Arial"/>
          <w:sz w:val="24"/>
          <w:szCs w:val="24"/>
        </w:rPr>
        <w:t>rometimento dessas variáveis junto à população</w:t>
      </w:r>
      <w:r w:rsidR="000B07BC">
        <w:rPr>
          <w:rFonts w:ascii="Arial" w:hAnsi="Arial" w:cs="Arial"/>
          <w:sz w:val="24"/>
          <w:szCs w:val="24"/>
        </w:rPr>
        <w:t xml:space="preserve"> do</w:t>
      </w:r>
      <w:r w:rsidR="00F94309">
        <w:rPr>
          <w:rFonts w:ascii="Arial" w:hAnsi="Arial" w:cs="Arial"/>
          <w:sz w:val="24"/>
          <w:szCs w:val="24"/>
        </w:rPr>
        <w:t xml:space="preserve"> estudo</w:t>
      </w:r>
      <w:r w:rsidRPr="003F585B">
        <w:rPr>
          <w:rFonts w:ascii="Arial" w:hAnsi="Arial" w:cs="Arial"/>
          <w:sz w:val="24"/>
          <w:szCs w:val="24"/>
        </w:rPr>
        <w:t>, independente da idade, do tipo de MPS e d</w:t>
      </w:r>
      <w:r w:rsidR="00F94309">
        <w:rPr>
          <w:rFonts w:ascii="Arial" w:hAnsi="Arial" w:cs="Arial"/>
          <w:sz w:val="24"/>
          <w:szCs w:val="24"/>
        </w:rPr>
        <w:t>a realização de</w:t>
      </w:r>
      <w:r>
        <w:rPr>
          <w:rFonts w:ascii="Arial" w:hAnsi="Arial" w:cs="Arial"/>
          <w:sz w:val="24"/>
          <w:szCs w:val="24"/>
        </w:rPr>
        <w:t xml:space="preserve"> tratamento com </w:t>
      </w:r>
      <w:r w:rsidR="00B6518E">
        <w:rPr>
          <w:rFonts w:ascii="Arial" w:hAnsi="Arial" w:cs="Arial"/>
          <w:sz w:val="24"/>
          <w:szCs w:val="24"/>
        </w:rPr>
        <w:t>T</w:t>
      </w:r>
      <w:r>
        <w:rPr>
          <w:rFonts w:ascii="Arial" w:hAnsi="Arial" w:cs="Arial"/>
          <w:sz w:val="24"/>
          <w:szCs w:val="24"/>
        </w:rPr>
        <w:t>erapia de</w:t>
      </w:r>
      <w:r w:rsidRPr="003F585B">
        <w:rPr>
          <w:rFonts w:ascii="Arial" w:hAnsi="Arial" w:cs="Arial"/>
          <w:sz w:val="24"/>
          <w:szCs w:val="24"/>
        </w:rPr>
        <w:t xml:space="preserve"> </w:t>
      </w:r>
      <w:r w:rsidR="00B6518E">
        <w:rPr>
          <w:rFonts w:ascii="Arial" w:hAnsi="Arial" w:cs="Arial"/>
          <w:sz w:val="24"/>
          <w:szCs w:val="24"/>
        </w:rPr>
        <w:t>Reposição E</w:t>
      </w:r>
      <w:r w:rsidRPr="003F585B">
        <w:rPr>
          <w:rFonts w:ascii="Arial" w:hAnsi="Arial" w:cs="Arial"/>
          <w:sz w:val="24"/>
          <w:szCs w:val="24"/>
        </w:rPr>
        <w:t>nzimática (TRE), disponível até a data apenas para MPS tipo I, II, IV</w:t>
      </w:r>
      <w:r>
        <w:rPr>
          <w:rFonts w:ascii="Arial" w:hAnsi="Arial" w:cs="Arial"/>
          <w:sz w:val="24"/>
          <w:szCs w:val="24"/>
        </w:rPr>
        <w:t>-A</w:t>
      </w:r>
      <w:r w:rsidR="005540DC">
        <w:rPr>
          <w:rFonts w:ascii="Arial" w:hAnsi="Arial" w:cs="Arial"/>
          <w:sz w:val="24"/>
          <w:szCs w:val="24"/>
        </w:rPr>
        <w:t xml:space="preserve">, </w:t>
      </w:r>
      <w:r w:rsidRPr="003F585B">
        <w:rPr>
          <w:rFonts w:ascii="Arial" w:hAnsi="Arial" w:cs="Arial"/>
          <w:sz w:val="24"/>
          <w:szCs w:val="24"/>
        </w:rPr>
        <w:t>VI</w:t>
      </w:r>
      <w:r w:rsidR="005540DC">
        <w:rPr>
          <w:rFonts w:ascii="Arial" w:hAnsi="Arial" w:cs="Arial"/>
          <w:sz w:val="24"/>
          <w:szCs w:val="24"/>
        </w:rPr>
        <w:t xml:space="preserve"> e VII</w:t>
      </w:r>
      <w:r w:rsidR="00B7765E">
        <w:rPr>
          <w:rFonts w:ascii="Arial" w:hAnsi="Arial" w:cs="Arial"/>
          <w:sz w:val="24"/>
          <w:szCs w:val="24"/>
        </w:rPr>
        <w:t>.</w:t>
      </w:r>
      <w:r w:rsidR="00B7765E">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"10.3233/PRM-2012-0194", "ISSN" : "18745393", "PMID" : "22543891", "abstract" : "The mucopolysaccharidoses (MPS) are rare genetic disorders caused by a deficiency in lysosomal enzymes that affect the catabolism of glycosaminoglycans and cause their accumulation, resulting in a multisystemic clinical picture. Their clinical manifestations result in limited ability to perform daily life tasks.", "author" : [ { "dropping-particle" : "", "family" : "Guarany", "given" : "Nicole Ruas", "non-dropping-particle" : "", "parse-names" : false, "suffix" : "" }, { "dropping-particle" : "", "family" : "Schwartz", "given" : "Ida Vanessa D", "non-dropping-particle" : "", "parse-names" : false, "suffix" : "" }, { "dropping-particle" : "", "family" : "Guarany", "given" : "F\u00e1bio Coelho", "non-dropping-particle" : "", "parse-names" : false, "suffix" : "" }, { "dropping-particle" : "", "family" : "Giugliani", "given" : "Roberto", "non-dropping-particle" : "", "parse-names" : false, "suffix" : "" } ], "container-title" : "Journal of Pediatric Rehabilitation Medicine", "id" : "ITEM-1", "issue" : "1", "issued" : { "date-parts" : [ [ "2012" ] ] }, "page" : "37-46", "title" : "Functional capacity evaluation of patients with mucopolysaccharidosis", "type" : "article-journal", "volume" : "5" }, "uris" : [ "http://www.mendeley.com/documents/?uuid=4129becd-066a-4258-a413-78a5846e72a7" ] }, { "id" : "ITEM-2", "itemData" : { "DOI" : "10.1517/21678707.2015.1086640.Enzyme", "author" : [ { "dropping-particle" : "", "family" : "Tomatsu", "given" : "S", "non-dropping-particle" : "", "parse-names" : false, "suffix" : "" }, { "dropping-particle" : "", "family" : "Sawamoto", "given" : "K", "non-dropping-particle" : "", "parse-names" : false, "suffix" : "" }, { "dropping-particle" : "", "family" : "Shimada", "given" : "T", "non-dropping-particle" : "", "parse-names" : false, "suffix" : "" }, { "dropping-particle" : "", "family" : "Bober", "given" : "MB", "non-dropping-particle" : "", "parse-names" : false, "suffix" : "" }, { "dropping-particle" : "", "family" : "Kubaski", "given" : "F", "non-dropping-particle" : "", "parse-names" : false, "suffix" : "" }, { "dropping-particle" : "", "family" : "Yasuda", "given" : "E", "non-dropping-particle" : "", "parse-names" : false, "suffix" : "" }, { "dropping-particle" : "", "family" : "Mason", "given" : "RW", "non-dropping-particle" : "", "parse-names" : false, "suffix" : "" }, { "dropping-particle" : "", "family" : "Khan", "given" : "S", "non-dropping-particle" : "", "parse-names" : false, "suffix" : "" }, { "dropping-particle" : "", "family" : "Alm\u00e9ciga-D\u00edaz", "given" : "CJ", "non-dropping-particle" : "", "parse-names" : false, "suffix" : "" }, { "dropping-particle" : "", "family" : "Barrera", "given" : "LA", "non-dropping-particle" : "", "parse-names" : false, "suffix" : "" }, { "dropping-particle" : "", "family" : "Mackenzie", "given" : "WG", "non-dropping-particle" : "", "parse-names" : false, "suffix" : "" }, { "dropping-particle" : "", "family" : "Orii", "given" : "T", "non-dropping-particle" : "", "parse-names" : false, "suffix" : "" } ], "container-title" : "Expert Opin Orphan Drugs", "id" : "ITEM-2", "issue" : "11", "issued" : { "date-parts" : [ [ "2016" ] ] }, "page" : "1279-1290", "title" : "Enzyme replacement therapy for treating mucopolysaccharidosis type IVA (Morquio A syndrome): effect and limitations", "type" : "article-journal", "volume" : "3" }, "uris" : [ "http://www.mendeley.com/documents/?uuid=394fc293-b187-455b-85cc-a78ce204d219" ] }, { "id" : "ITEM-3", "itemData" : { "DOI" : "10.1007/s10545-015-9900-2", "ISBN" : "1054501599", "author" : [ { "dropping-particle" : "", "family" : "Tomatsu", "given" : "S", "non-dropping-particle" : "", "parse-names" : false, "suffix" : "" }, { "dropping-particle" : "", "family" : "Azario", "given" : "I", "non-dropping-particle" : "", "parse-names" : false, "suffix" : "" }, { "dropping-particle" : "", "family" : "Sawamoto", "given" : "K", "non-dropping-particle" : "", "parse-names" : false, "suffix" : "" }, { "dropping-particle" : "", "family" : "Pievani", "given" : "AS", "non-dropping-particle" : "", "parse-names" : false, "suffix" : "" }, { "dropping-particle" : "", "family" : "Biondi", "given" : "A", "non-dropping-particle" : "", "parse-names" : false, "suffix" : "" }, { "dropping-particle" : "", "family" : "Serafini", "given" : "M", "non-dropping-particle" : "", "parse-names" : false, "suffix" : "" } ], "container-title" : "J Inherit Metab Dis", "id" : "ITEM-3", "issued" : { "date-parts" : [ [ "2016" ] ] }, "page" : "189-202", "title" : "Neonatal cellular and gene therapies for mucopolysaccharidoses: the earlier the better?", "type" : "article-journal", "volume" : "39" }, "uris" : [ "http://www.mendeley.com/documents/?uuid=52ddadac-0382-4f5c-ad9d-3580e4619a5e" ] } ], "mendeley" : { "formattedCitation" : "&lt;sup&gt;32,81,82&lt;/sup&gt;", "plainTextFormattedCitation" : "32,81,82", "previouslyFormattedCitation" : "&lt;sup&gt;32,81,82&lt;/sup&gt;" }, "properties" : { "noteIndex" : 0 }, "schema" : "https://github.com/citation-style-language/schema/raw/master/csl-citation.json" }</w:instrText>
      </w:r>
      <w:r w:rsidR="00B7765E">
        <w:rPr>
          <w:rFonts w:ascii="Arial" w:hAnsi="Arial" w:cs="Arial"/>
          <w:sz w:val="24"/>
          <w:szCs w:val="24"/>
        </w:rPr>
        <w:fldChar w:fldCharType="separate"/>
      </w:r>
      <w:r w:rsidR="00412B48" w:rsidRPr="00412B48">
        <w:rPr>
          <w:rFonts w:ascii="Arial" w:hAnsi="Arial" w:cs="Arial"/>
          <w:noProof/>
          <w:sz w:val="24"/>
          <w:szCs w:val="24"/>
          <w:vertAlign w:val="superscript"/>
        </w:rPr>
        <w:t>32,81,82</w:t>
      </w:r>
      <w:r w:rsidR="00B7765E">
        <w:rPr>
          <w:rFonts w:ascii="Arial" w:hAnsi="Arial" w:cs="Arial"/>
          <w:sz w:val="24"/>
          <w:szCs w:val="24"/>
        </w:rPr>
        <w:fldChar w:fldCharType="end"/>
      </w:r>
      <w:r w:rsidR="00B7765E">
        <w:rPr>
          <w:rFonts w:ascii="Arial" w:hAnsi="Arial" w:cs="Arial"/>
          <w:sz w:val="24"/>
          <w:szCs w:val="24"/>
        </w:rPr>
        <w:t xml:space="preserve"> </w:t>
      </w:r>
      <w:r w:rsidRPr="003F585B">
        <w:rPr>
          <w:rFonts w:ascii="Arial" w:hAnsi="Arial" w:cs="Arial"/>
          <w:sz w:val="24"/>
          <w:szCs w:val="24"/>
        </w:rPr>
        <w:t>O</w:t>
      </w:r>
      <w:r w:rsidR="000B07BC">
        <w:rPr>
          <w:rFonts w:ascii="Arial" w:hAnsi="Arial" w:cs="Arial"/>
          <w:sz w:val="24"/>
          <w:szCs w:val="24"/>
        </w:rPr>
        <w:t xml:space="preserve"> </w:t>
      </w:r>
      <w:r w:rsidRPr="003F585B">
        <w:rPr>
          <w:rFonts w:ascii="Arial" w:hAnsi="Arial" w:cs="Arial"/>
          <w:sz w:val="24"/>
          <w:szCs w:val="24"/>
        </w:rPr>
        <w:t xml:space="preserve">comprometimento </w:t>
      </w:r>
      <w:r w:rsidR="00F150B0">
        <w:rPr>
          <w:rFonts w:ascii="Arial" w:hAnsi="Arial" w:cs="Arial"/>
          <w:sz w:val="24"/>
          <w:szCs w:val="24"/>
        </w:rPr>
        <w:t>da capacidade funcional e da mobilidade foram</w:t>
      </w:r>
      <w:r w:rsidRPr="003F585B">
        <w:rPr>
          <w:rFonts w:ascii="Arial" w:hAnsi="Arial" w:cs="Arial"/>
          <w:sz w:val="24"/>
          <w:szCs w:val="24"/>
        </w:rPr>
        <w:t xml:space="preserve"> mais evidente</w:t>
      </w:r>
      <w:r w:rsidR="00F150B0">
        <w:rPr>
          <w:rFonts w:ascii="Arial" w:hAnsi="Arial" w:cs="Arial"/>
          <w:sz w:val="24"/>
          <w:szCs w:val="24"/>
        </w:rPr>
        <w:t>s</w:t>
      </w:r>
      <w:r w:rsidR="000B07BC">
        <w:rPr>
          <w:rFonts w:ascii="Arial" w:hAnsi="Arial" w:cs="Arial"/>
          <w:sz w:val="24"/>
          <w:szCs w:val="24"/>
        </w:rPr>
        <w:t xml:space="preserve"> em pacientes que apresentavam</w:t>
      </w:r>
      <w:r w:rsidRPr="003F585B">
        <w:rPr>
          <w:rFonts w:ascii="Arial" w:hAnsi="Arial" w:cs="Arial"/>
          <w:sz w:val="24"/>
          <w:szCs w:val="24"/>
        </w:rPr>
        <w:t xml:space="preserve"> alteração cognitiva e</w:t>
      </w:r>
      <w:r w:rsidR="000B07BC">
        <w:rPr>
          <w:rFonts w:ascii="Arial" w:hAnsi="Arial" w:cs="Arial"/>
          <w:sz w:val="24"/>
          <w:szCs w:val="24"/>
        </w:rPr>
        <w:t xml:space="preserve"> o</w:t>
      </w:r>
      <w:r w:rsidRPr="003F585B">
        <w:rPr>
          <w:rFonts w:ascii="Arial" w:hAnsi="Arial" w:cs="Arial"/>
          <w:sz w:val="24"/>
          <w:szCs w:val="24"/>
        </w:rPr>
        <w:t xml:space="preserve"> fenótipo mais grave da doença</w:t>
      </w:r>
      <w:r w:rsidR="00081167">
        <w:rPr>
          <w:rFonts w:ascii="Arial" w:hAnsi="Arial" w:cs="Arial"/>
          <w:sz w:val="24"/>
          <w:szCs w:val="24"/>
        </w:rPr>
        <w:t>.</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"10.3233/PRM-2012-0194", "ISSN" : "18745393", "PMID" : "22543891", "abstract" : "The mucopolysaccharidoses (MPS) are rare genetic disorders caused by a deficiency in lysosomal enzymes that affect the catabolism of glycosaminoglycans and cause their accumulation, resulting in a multisystemic clinical picture. Their clinical manifestations result in limited ability to perform daily life tasks.", "author" : [ { "dropping-particle" : "", "family" : "Guarany", "given" : "Nicole Ruas", "non-dropping-particle" : "", "parse-names" : false, "suffix" : "" }, { "dropping-particle" : "", "family" : "Schwartz", "given" : "Ida Vanessa D", "non-dropping-particle" : "", "parse-names" : false, "suffix" : "" }, { "dropping-particle" : "", "family" : "Guarany", "given" : "F\u00e1bio Coelho", "non-dropping-particle" : "", "parse-names" : false, "suffix" : "" }, { "dropping-particle" : "", "family" : "Giugliani", "given" : "Roberto", "non-dropping-particle" : "", "parse-names" : false, "suffix" : "" } ], "container-title" : "Journal of Pediatric Rehabilitation Medicine", "id" : "ITEM-1", "issue" : "1", "issued" : { "date-parts" : [ [ "2012" ] ] }, "page" : "37-46", "title" : "Functional capacity evaluation of patients with mucopolysaccharidosis", "type" : "article-journal", "volume" : "5" }, "uris" : [ "http://www.mendeley.com/documents/?uuid=4129becd-066a-4258-a413-78a5846e72a7" ] } ], "mendeley" : { "formattedCitation" : "&lt;sup&gt;32&lt;/sup&gt;", "plainTextFormattedCitation" : "32", "previouslyFormattedCitation" : "&lt;sup&gt;32&lt;/sup&gt;"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32</w:t>
      </w:r>
      <w:r w:rsidRPr="003F585B">
        <w:rPr>
          <w:rFonts w:ascii="Arial" w:hAnsi="Arial" w:cs="Arial"/>
          <w:sz w:val="24"/>
          <w:szCs w:val="24"/>
        </w:rPr>
        <w:fldChar w:fldCharType="end"/>
      </w:r>
    </w:p>
    <w:p w:rsidR="00344ED2" w:rsidRDefault="00344ED2" w:rsidP="00491682">
      <w:pPr>
        <w:spacing w:after="0" w:line="360" w:lineRule="auto"/>
        <w:jc w:val="both"/>
        <w:rPr>
          <w:rFonts w:ascii="Arial" w:hAnsi="Arial" w:cs="Arial"/>
          <w:sz w:val="24"/>
          <w:szCs w:val="24"/>
        </w:rPr>
      </w:pPr>
    </w:p>
    <w:p w:rsidR="000632BA" w:rsidRDefault="00EB34BF" w:rsidP="00491682">
      <w:pPr>
        <w:spacing w:after="0" w:line="360" w:lineRule="auto"/>
        <w:jc w:val="both"/>
        <w:rPr>
          <w:rFonts w:ascii="Arial" w:hAnsi="Arial" w:cs="Arial"/>
          <w:sz w:val="24"/>
          <w:szCs w:val="24"/>
        </w:rPr>
      </w:pPr>
      <w:r>
        <w:rPr>
          <w:rFonts w:ascii="Arial" w:hAnsi="Arial" w:cs="Arial"/>
          <w:sz w:val="24"/>
          <w:szCs w:val="24"/>
        </w:rPr>
        <w:t>Hendriksz et al.</w:t>
      </w:r>
      <w:r w:rsidR="0032698A">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"10.1016/j.ymgme.2014.08.012", "ISSN" : "10967206", "PMID" : "25284089", "abstract" : "Objective: To report and discuss the multi-domain impact of elosulfase alfa, with focus on tertiary and composite endpoints, in the 24-week, randomized, double-blind, placebo-controlled phase 3 trial in patients with Morquio A syndrome (mucopolysaccharidosis IVA). Methods: Patients with Morquio A syndrome aged ???. 5. years were randomized 1:1:1 to elosulfase alfa 2.0. mg/kg/week (qw; N. = 58), elosulfase alfa 2.0. mg/kg/every other week (qow; N. = 59), or placebo (N. = 59) for 24. weeks. Primary and secondary efficacy measures were 6-minute walk test (6MWT; primary), 3-minute stair climb test (3-MSCT) and urinary keratan sulfate (KS). Safety was also evaluated. Tertiary efficacy measures included respiratory function measures, activities of daily living (MPS Health Assessment Questionnaire [MPS-HAQ]), anthropometric, echocardiographic and radiographic measures, hearing and corneal clouding assessment. In order to fully characterize treatment impact in this heterogeneous disorder, the effect of elosulfase alfa on composite efficacy measures was evaluated as well. Results: The study was not designed to have sufficient power for any of the tertiary outcomes. For most tertiary endpoints, subjects treated with the weekly dose of elosulfase alfa improved more than those receiving placebo. The largest treatment effects were seen in maximal voluntary ventilation (MVV), MPS-HAQ, height, and growth rate. The qow group appeared similar to placebo. The analysis of a pre-specified composite endpoint (combining changes from baseline in 6MWT, 3MSCT and MVV z-scores equally weighted) showed a modest positive impact of elosulfase alfa qw versus placebo group (P= 0.053). As a pre-specified supportive analysis, the O'Brien Rank Sum composite endpoint (changes from baseline in 6MWT, 3MSC, and MVV), analysis also showed that the qw group performed better than the placebo group (P= 0.011). In post-hoc analyses, combinations of other endpoints were also explored using the O'Brien Rank Sum test and showed statistically significant differences between elosulfase alfa qw and placebo favoring elosulfase alfa qw. Differences between elosulfase alfa qow and placebo were not statistically significant. Positive changes were observed in most tertiary variables, demonstrating the efficacy of weekly treatment with elosulfase alfa. Conclusions: Treatment with weekly elosulfase alfa led to improvements across most efficacy measures, resulting in clinically meaningful benefits in a hetero\u2026", "author" : [ { "dropping-particle" : "", "family" : "Hendriksz", "given" : "Christian J.", "non-dropping-particle" : "", "parse-names" : false, "suffix" : "" }, { "dropping-particle" : "", "family" : "Giugliani", "given" : "Roberto", "non-dropping-particle" : "", "parse-names" : false, "suffix" : "" }, { "dropping-particle" : "", "family" : "Harmatz", "given" : "Paul", "non-dropping-particle" : "", "parse-names" : false, "suffix" : "" }, { "dropping-particle" : "", "family" : "Mengel", "given" : "Eugen", "non-dropping-particle" : "", "parse-names" : false, "suffix" : "" }, { "dropping-particle" : "", "family" : "Guffon", "given" : "Nathalie", "non-dropping-particle" : "", "parse-names" : false, "suffix" : "" }, { "dropping-particle" : "", "family" : "Valayannopoulos", "given" : "Vassili", "non-dropping-particle" : "", "parse-names" : false, "suffix" : "" }, { "dropping-particle" : "", "family" : "Parini", "given" : "Rossella", "non-dropping-particle" : "", "parse-names" : false, "suffix" : "" }, { "dropping-particle" : "", "family" : "Hughes", "given" : "Derralynn A.", "non-dropping-particle" : "", "parse-names" : false, "suffix" : "" }, { "dropping-particle" : "", "family" : "Pastores", "given" : "Gregory M.", "non-dropping-particle" : "", "parse-names" : false, "suffix" : "" }, { "dropping-particle" : "", "family" : "Lau", "given" : "Heather A.", "non-dropping-particle" : "", "parse-names" : false, "suffix" : "" }, { "dropping-particle" : "", "family" : "Al-Sayed", "given" : "Moeenaldeen D.", "non-dropping-particle" : "", "parse-names" : false, "suffix" : "" }, { "dropping-particle" : "", "family" : "Raiman", "given" : "Julian", "non-dropping-particle" : "", "parse-names" : false, "suffix" : "" }, { "dropping-particle" : "", "family" : "Ben-Omran", "given" : "Tawfeg", "non-dropping-particle" : "", "parse-names" : false, "suffix" : "" }, { "dropping-particle" : "", "family" : "Bober", "given" : "Michael B.", "non-dropping-particle" : "", "parse-names" : false, "suffix" : "" }, { "dropping-particle" : "", "family" : "Burton", "given" : "Barbara K.", "non-dropping-particle" : "", "parse-names" : false, "suffix" : "" }, { "dropping-particle" : "", "family" : "Cleary", "given" : "Maureen A.", "non-dropping-particle" : "", "parse-names" : false, "suffix" : "" }, { "dropping-particle" : "", "family" : "Dali", "given" : "Christine I.", "non-dropping-particle" : "", "parse-names" : false, "suffix" : "" }, { "dropping-particle" : "", "family" : "Medeiros", "given" : "Paula Frassinetti Vasconcelos", "non-dropping-particle" : "de", "parse-names" : false, "suffix" : "" }, { "dropping-particle" : "", "family" : "Guelbert", "given" : "Norberto B.", "non-dropping-particle" : "", "parse-names" : false, "suffix" : "" }, { "dropping-particle" : "", "family" : "Hiwot", "given" : "Tarekegn G.", "non-dropping-particle" : "", "parse-names" : false, "suffix" : "" }, { "dropping-particle" : "", "family" : "Jin", "given" : "Dong Kyu", "non-dropping-particle" : "", "parse-names" : false, "suffix" : "" }, { "dropping-particle" : "", "family" : "Jones", "given" : "Simon A.", "non-dropping-particle" : "", "parse-names" : false, "suffix" : "" }, { "dropping-particle" : "", "family" : "Lin", "given" : "Shuan Pei", "non-dropping-particle" : "", "parse-names" : false, "suffix" : "" }, { "dropping-particle" : "", "family" : "Maranda", "given" : "Bruno", "non-dropping-particle" : "", "parse-names" : false, "suffix" : "" }, { "dropping-particle" : "", "family" : "Mitchell", "given" : "John J.", "non-dropping-particle" : "", "parse-names" : false, "suffix" : "" }, { "dropping-particle" : "", "family" : "Murphy", "given" : "Elaine Mary", "non-dropping-particle" : "", "parse-names" : false, "suffix" : "" }, { "dropping-particle" : "", "family" : "Muschol", "given" : "Nicole", "non-dropping-particle" : "", "parse-names" : false, "suffix" : "" }, { "dropping-particle" : "", "family" : "Okuyama", "given" : "Torayuki", "non-dropping-particle" : "", "parse-names" : false, "suffix" : "" }, { "dropping-particle" : "", "family" : "Santra", "given" : "Saikat", "non-dropping-particle" : "", "parse-names" : false, "suffix" : "" }, { "dropping-particle" : "", "family" : "Villarreal", "given" : "Martha L Solano", "non-dropping-particle" : "", "parse-names" : false, "suffix" : "" }, { "dropping-particle" : "", "family" : "Steiner", "given" : "Robert", "non-dropping-particle" : "", "parse-names" : false, "suffix" : "" }, { "dropping-particle" : "", "family" : "Tanpaiboon", "given" : "Pranoot", "non-dropping-particle" : "", "parse-names" : false, "suffix" : "" }, { "dropping-particle" : "", "family" : "Valente", "given" : "Paula Cristina", "non-dropping-particle" : "", "parse-names" : false, "suffix" : "" }, { "dropping-particle" : "", "family" : "Matos", "given" : "Santos Baptista Garcia", "non-dropping-particle" : "", "parse-names" : false, "suffix" : "" }, { "dropping-particle" : "", "family" : "Vellodi", "given" : "Ashok", "non-dropping-particle" : "", "parse-names" : false, "suffix" : "" }, { "dropping-particle" : "", "family" : "White", "given" : "Klane K.", "non-dropping-particle" : "", "parse-names" : false, "suffix" : "" }, { "dropping-particle" : "", "family" : "Wijburg", "given" : "Frits A.", "non-dropping-particle" : "", "parse-names" : false, "suffix" : "" }, { "dropping-particle" : "", "family" : "Yang", "given" : "Ke", "non-dropping-particle" : "", "parse-names" : false, "suffix" : "" }, { "dropping-particle" : "", "family" : "Mealiffe", "given" : "Matthew", "non-dropping-particle" : "", "parse-names" : false, "suffix" : "" }, { "dropping-particle" : "", "family" : "Haller", "given" : "Christine", "non-dropping-particle" : "", "parse-names" : false, "suffix" : "" } ], "container-title" : "Molecular Genetics and Metabolism", "id" : "ITEM-1", "issue" : "2", "issued" : { "date-parts" : [ [ "2015" ] ] }, "page" : "178-185", "publisher" : "Elsevier B.V.", "title" : "Multi-domain impact of elosufase alfa in Morquio A syndrome in the pivotal phase III trial", "type" : "article-journal", "volume" : "114" }, "uris" : [ "http://www.mendeley.com/documents/?uuid=b27e6abd-0284-4dea-ac8a-6284a37ce568" ] } ], "mendeley" : { "formattedCitation" : "&lt;sup&gt;80&lt;/sup&gt;", "plainTextFormattedCitation" : "80", "previouslyFormattedCitation" : "&lt;sup&gt;80&lt;/sup&gt;" }, "properties" : { "noteIndex" : 0 }, "schema" : "https://github.com/citation-style-language/schema/raw/master/csl-citation.json" }</w:instrText>
      </w:r>
      <w:r w:rsidR="0032698A">
        <w:rPr>
          <w:rFonts w:ascii="Arial" w:hAnsi="Arial" w:cs="Arial"/>
          <w:sz w:val="24"/>
          <w:szCs w:val="24"/>
        </w:rPr>
        <w:fldChar w:fldCharType="separate"/>
      </w:r>
      <w:r w:rsidR="00412B48" w:rsidRPr="00412B48">
        <w:rPr>
          <w:rFonts w:ascii="Arial" w:hAnsi="Arial" w:cs="Arial"/>
          <w:noProof/>
          <w:sz w:val="24"/>
          <w:szCs w:val="24"/>
          <w:vertAlign w:val="superscript"/>
        </w:rPr>
        <w:t>80</w:t>
      </w:r>
      <w:r w:rsidR="0032698A">
        <w:rPr>
          <w:rFonts w:ascii="Arial" w:hAnsi="Arial" w:cs="Arial"/>
          <w:sz w:val="24"/>
          <w:szCs w:val="24"/>
        </w:rPr>
        <w:fldChar w:fldCharType="end"/>
      </w:r>
      <w:r>
        <w:rPr>
          <w:rFonts w:ascii="Arial" w:hAnsi="Arial" w:cs="Arial"/>
          <w:sz w:val="24"/>
          <w:szCs w:val="24"/>
        </w:rPr>
        <w:t xml:space="preserve"> descreveram os resultados correspondentes à fase 3 de um estudo multicêntrico, duplo-cego, randomizado</w:t>
      </w:r>
      <w:r w:rsidR="006042F8">
        <w:rPr>
          <w:rFonts w:ascii="Arial" w:hAnsi="Arial" w:cs="Arial"/>
          <w:sz w:val="24"/>
          <w:szCs w:val="24"/>
        </w:rPr>
        <w:t xml:space="preserve"> e controlado</w:t>
      </w:r>
      <w:r>
        <w:rPr>
          <w:rFonts w:ascii="Arial" w:hAnsi="Arial" w:cs="Arial"/>
          <w:sz w:val="24"/>
          <w:szCs w:val="24"/>
        </w:rPr>
        <w:t>, realizado durante 24 semanas em pacientes com MPS tipo IV-A</w:t>
      </w:r>
      <w:r>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"10.1007/s10545-014-9715-6", "ISBN" : "1573-2665 (Electronic)\\r0141-8955 (Linking)", "ISSN" : "15732665", "PMID" : "24810369", "abstract" : "OBJECTIVE: To assess the efficacy and safety of enzyme replacement therapy (ERT) with BMN 110 (elosulfase alfa) in patients with Morquio A syndrome (mucopolysaccharidosis IVA).\\n\\nMETHODS: Patients with Morquio A aged \u22655\u00a0years (N\u2009=\u2009176) were randomised (1:1:1) to receive elosulfase alfa 2.0\u00a0mg/kg/every other week (qow), elosulfase alfa 2.0\u00a0mg/kg/week (weekly) or placebo for 24\u00a0weeks in this phase 3, double-blind, randomised study. The primary efficacy measure was 6-min walk test (6MWT) distance. Secondary efficacy measures were 3-min stair climb test (3MSCT) followed by change in urine keratan sulfate (KS). Various exploratory measures included respiratory function tests. Patient safety was also evaluated.\\n\\nRESULTS: At week 24, the estimated mean effect on the 6MWT versus placebo was 22.5 m (95\u00a0% CI 4.0, 40.9; P\u2009=\u20090.017) for weekly and 0.5 m (95\u00a0% CI -17.8, 18.9; P\u2009=\u20090.954) for qow. The estimated mean effect on 3MSCT was 1.1 stairs/min (95\u00a0% CI -2.1, 4.4; P\u2009=\u20090.494) for weekly and -0.5 stairs/min (95\u00a0% CI -3.7, 2.8; P\u2009=\u20090.778) for qow. Normalised urine KS was reduced at 24\u00a0weeks in both regimens. In the weekly dose group, 22.4\u00a0% of patients had adverse events leading to an infusion interruption/discontinuation requiring medical intervention (only 1.3\u00a0% of all infusions in this group) over 6\u00a0months. No adverse events led to permanent treatment discontinuation.\\n\\nCONCLUSIONS: Elosulfase alfa improved endurance as measured by the 6MWT in the weekly but not qow dose group, did not improve endurance on the 3MSCT, reduced urine KS, and had an acceptable safety profile.", "author" : [ { "dropping-particle" : "", "family" : "Hendriksz", "given" : "Christian J.", "non-dropping-particle" : "", "parse-names" : false, "suffix" : "" }, { "dropping-particle" : "", "family" : "Burton", "given" : "Barbara", "non-dropping-particle" : "", "parse-names" : false, "suffix" : "" }, { "dropping-particle" : "", "family" : "Fleming", "given" : "Thomas R.", "non-dropping-particle" : "", "parse-names" : false, "suffix" : "" }, { "dropping-particle" : "", "family" : "Harmatz", "given" : "Paul", "non-dropping-particle" : "", "parse-names" : false, "suffix" : "" }, { "dropping-particle" : "", "family" : "Hughes", "given" : "Derralynn", "non-dropping-particle" : "", "parse-names" : false, "suffix" : "" }, { "dropping-particle" : "", "family" : "Jones", "given" : "Simon A.", "non-dropping-particle" : "", "parse-names" : false, "suffix" : "" }, { "dropping-particle" : "", "family" : "Lin", "given" : "Shuan Pei", "non-dropping-particle" : "", "parse-names" : false, "suffix" : "" }, { "dropping-particle" : "", "family" : "Mengel", "given" : "Eugen", "non-dropping-particle" : "", "parse-names" : false, "suffix" : "" }, { "dropping-particle" : "", "family" : "Scarpa", "given" : "Maurizio", "non-dropping-particle" : "", "parse-names" : false, "suffix" : "" }, { "dropping-particle" : "", "family" : "Valayannopoulos", "given" : "Vassili", "non-dropping-particle" : "", "parse-names" : false, "suffix" : "" }, { "dropping-particle" : "", "family" : "Giugliani", "given" : "Roberto", "non-dropping-particle" : "", "parse-names" : false, "suffix" : "" }, { "dropping-particle" : "", "family" : "Slasor", "given" : "Peter", "non-dropping-particle" : "", "parse-names" : false, "suffix" : "" }, { "dropping-particle" : "", "family" : "Lounsbury", "given" : "Debra", "non-dropping-particle" : "", "parse-names" : false, "suffix" : "" }, { "dropping-particle" : "", "family" : "Dummer", "given" : "Wolfgang", "non-dropping-particle" : "", "parse-names" : false, "suffix" : "" } ], "container-title" : "Journal of Inherited Metabolic Disease", "id" : "ITEM-1", "issue" : "6", "issued" : { "date-parts" : [ [ "2014" ] ] }, "page" : "979-990", "title" : "Efficacy and safety of enzyme replacement therapy with BMN 110 (elosulfase alfa) for Morquio A syndrome (mucopolysaccharidosis IVA): a phase 3 randomised placebo-controlled study", "type" : "article-journal", "volume" : "37" }, "uris" : [ "http://www.mendeley.com/documents/?uuid=bf51db66-6920-4f8f-994e-79bc64695db8" ] } ], "mendeley" : { "formattedCitation" : "&lt;sup&gt;83&lt;/sup&gt;", "plainTextFormattedCitation" : "83", "previouslyFormattedCitation" : "&lt;sup&gt;83&lt;/sup&gt;" }, "properties" : { "noteIndex" : 0 }, "schema" : "https://github.com/citation-style-language/schema/raw/master/csl-citation.json" }</w:instrText>
      </w:r>
      <w:r>
        <w:rPr>
          <w:rFonts w:ascii="Arial" w:hAnsi="Arial" w:cs="Arial"/>
          <w:sz w:val="24"/>
          <w:szCs w:val="24"/>
        </w:rPr>
        <w:fldChar w:fldCharType="separate"/>
      </w:r>
      <w:r w:rsidR="00412B48" w:rsidRPr="00412B48">
        <w:rPr>
          <w:rFonts w:ascii="Arial" w:hAnsi="Arial" w:cs="Arial"/>
          <w:noProof/>
          <w:sz w:val="24"/>
          <w:szCs w:val="24"/>
          <w:vertAlign w:val="superscript"/>
        </w:rPr>
        <w:t>83</w:t>
      </w:r>
      <w:r>
        <w:rPr>
          <w:rFonts w:ascii="Arial" w:hAnsi="Arial" w:cs="Arial"/>
          <w:sz w:val="24"/>
          <w:szCs w:val="24"/>
        </w:rPr>
        <w:fldChar w:fldCharType="end"/>
      </w:r>
      <w:r>
        <w:rPr>
          <w:rFonts w:ascii="Arial" w:hAnsi="Arial" w:cs="Arial"/>
          <w:sz w:val="24"/>
          <w:szCs w:val="24"/>
        </w:rPr>
        <w:t xml:space="preserve">. O </w:t>
      </w:r>
      <w:r w:rsidR="006042F8">
        <w:rPr>
          <w:rFonts w:ascii="Arial" w:hAnsi="Arial" w:cs="Arial"/>
          <w:sz w:val="24"/>
          <w:szCs w:val="24"/>
        </w:rPr>
        <w:t xml:space="preserve">estudo </w:t>
      </w:r>
      <w:r w:rsidR="000632BA">
        <w:rPr>
          <w:rFonts w:ascii="Arial" w:hAnsi="Arial" w:cs="Arial"/>
          <w:sz w:val="24"/>
          <w:szCs w:val="24"/>
        </w:rPr>
        <w:t xml:space="preserve">tinha o objetivo de avaliar </w:t>
      </w:r>
      <w:r>
        <w:rPr>
          <w:rFonts w:ascii="Arial" w:hAnsi="Arial" w:cs="Arial"/>
          <w:sz w:val="24"/>
          <w:szCs w:val="24"/>
        </w:rPr>
        <w:t>os efeitos da terapia de reposição com a enzima elosulfase alfa (enzima funcional em substituição à enzima defic</w:t>
      </w:r>
      <w:r w:rsidR="006042F8">
        <w:rPr>
          <w:rFonts w:ascii="Arial" w:hAnsi="Arial" w:cs="Arial"/>
          <w:sz w:val="24"/>
          <w:szCs w:val="24"/>
        </w:rPr>
        <w:t xml:space="preserve">iente neste tipo de MPS) sobre </w:t>
      </w:r>
      <w:r>
        <w:rPr>
          <w:rFonts w:ascii="Arial" w:hAnsi="Arial" w:cs="Arial"/>
          <w:sz w:val="24"/>
          <w:szCs w:val="24"/>
        </w:rPr>
        <w:t>medidas de eficácia terciária, incluindo</w:t>
      </w:r>
      <w:r w:rsidR="004B2959">
        <w:rPr>
          <w:rFonts w:ascii="Arial" w:hAnsi="Arial" w:cs="Arial"/>
          <w:sz w:val="24"/>
          <w:szCs w:val="24"/>
        </w:rPr>
        <w:t xml:space="preserve"> variáveis como</w:t>
      </w:r>
      <w:r w:rsidR="004D627C">
        <w:rPr>
          <w:rFonts w:ascii="Arial" w:hAnsi="Arial" w:cs="Arial"/>
          <w:sz w:val="24"/>
          <w:szCs w:val="24"/>
        </w:rPr>
        <w:t>:</w:t>
      </w:r>
      <w:r w:rsidR="004B2959">
        <w:rPr>
          <w:rFonts w:ascii="Arial" w:hAnsi="Arial" w:cs="Arial"/>
          <w:sz w:val="24"/>
          <w:szCs w:val="24"/>
        </w:rPr>
        <w:t xml:space="preserve"> </w:t>
      </w:r>
      <w:r>
        <w:rPr>
          <w:rFonts w:ascii="Arial" w:hAnsi="Arial" w:cs="Arial"/>
          <w:sz w:val="24"/>
          <w:szCs w:val="24"/>
        </w:rPr>
        <w:t xml:space="preserve">função respiratória, dados antropométricos, </w:t>
      </w:r>
      <w:r w:rsidR="004119F1">
        <w:rPr>
          <w:rFonts w:ascii="Arial" w:hAnsi="Arial" w:cs="Arial"/>
          <w:sz w:val="24"/>
          <w:szCs w:val="24"/>
        </w:rPr>
        <w:t>radiográficos</w:t>
      </w:r>
      <w:r>
        <w:rPr>
          <w:rFonts w:ascii="Arial" w:hAnsi="Arial" w:cs="Arial"/>
          <w:sz w:val="24"/>
          <w:szCs w:val="24"/>
        </w:rPr>
        <w:t xml:space="preserve"> e de atividades de vida diária. Para avaliação da AVD</w:t>
      </w:r>
      <w:r w:rsidR="000632BA">
        <w:rPr>
          <w:rFonts w:ascii="Arial" w:hAnsi="Arial" w:cs="Arial"/>
          <w:sz w:val="24"/>
          <w:szCs w:val="24"/>
        </w:rPr>
        <w:t>,</w:t>
      </w:r>
      <w:r>
        <w:rPr>
          <w:rFonts w:ascii="Arial" w:hAnsi="Arial" w:cs="Arial"/>
          <w:sz w:val="24"/>
          <w:szCs w:val="24"/>
        </w:rPr>
        <w:t xml:space="preserve"> os pesquisadores utilizaram o instrumento MPS </w:t>
      </w:r>
      <w:r w:rsidRPr="00A21287">
        <w:rPr>
          <w:rFonts w:ascii="Arial" w:hAnsi="Arial" w:cs="Arial"/>
          <w:i/>
          <w:sz w:val="24"/>
          <w:szCs w:val="24"/>
        </w:rPr>
        <w:t xml:space="preserve">Health </w:t>
      </w:r>
      <w:proofErr w:type="spellStart"/>
      <w:r w:rsidRPr="00A21287">
        <w:rPr>
          <w:rFonts w:ascii="Arial" w:hAnsi="Arial" w:cs="Arial"/>
          <w:i/>
          <w:sz w:val="24"/>
          <w:szCs w:val="24"/>
        </w:rPr>
        <w:t>Assessment</w:t>
      </w:r>
      <w:proofErr w:type="spellEnd"/>
      <w:r w:rsidRPr="00A21287">
        <w:rPr>
          <w:rFonts w:ascii="Arial" w:hAnsi="Arial" w:cs="Arial"/>
          <w:i/>
          <w:sz w:val="24"/>
          <w:szCs w:val="24"/>
        </w:rPr>
        <w:t xml:space="preserve"> </w:t>
      </w:r>
      <w:proofErr w:type="spellStart"/>
      <w:r w:rsidRPr="00A21287">
        <w:rPr>
          <w:rFonts w:ascii="Arial" w:hAnsi="Arial" w:cs="Arial"/>
          <w:i/>
          <w:sz w:val="24"/>
          <w:szCs w:val="24"/>
        </w:rPr>
        <w:t>Questionnaire</w:t>
      </w:r>
      <w:proofErr w:type="spellEnd"/>
      <w:r>
        <w:rPr>
          <w:rFonts w:ascii="Arial" w:hAnsi="Arial" w:cs="Arial"/>
          <w:sz w:val="24"/>
          <w:szCs w:val="24"/>
        </w:rPr>
        <w:t xml:space="preserve"> (MPS-HAQ), </w:t>
      </w:r>
      <w:r w:rsidR="004119F1">
        <w:rPr>
          <w:rFonts w:ascii="Arial" w:hAnsi="Arial" w:cs="Arial"/>
          <w:sz w:val="24"/>
          <w:szCs w:val="24"/>
        </w:rPr>
        <w:t>e</w:t>
      </w:r>
      <w:r>
        <w:rPr>
          <w:rFonts w:ascii="Arial" w:hAnsi="Arial" w:cs="Arial"/>
          <w:sz w:val="24"/>
          <w:szCs w:val="24"/>
        </w:rPr>
        <w:t>laborado para avalia</w:t>
      </w:r>
      <w:r w:rsidR="004119F1">
        <w:rPr>
          <w:rFonts w:ascii="Arial" w:hAnsi="Arial" w:cs="Arial"/>
          <w:sz w:val="24"/>
          <w:szCs w:val="24"/>
        </w:rPr>
        <w:t>r o autocuidado e a mobilidade de</w:t>
      </w:r>
      <w:r>
        <w:rPr>
          <w:rFonts w:ascii="Arial" w:hAnsi="Arial" w:cs="Arial"/>
          <w:sz w:val="24"/>
          <w:szCs w:val="24"/>
        </w:rPr>
        <w:t xml:space="preserve"> pacientes acometidos pela MPS tipo I</w:t>
      </w:r>
      <w:r w:rsidR="00081167">
        <w:rPr>
          <w:rFonts w:ascii="Arial" w:hAnsi="Arial" w:cs="Arial"/>
          <w:sz w:val="24"/>
          <w:szCs w:val="24"/>
        </w:rPr>
        <w:t>.</w:t>
      </w:r>
      <w:r>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"10.1016/j.ymgme.2014.08.012", "ISSN" : "10967206", "PMID" : "25284089", "abstract" : "Objective: To report and discuss the multi-domain impact of elosulfase alfa, with focus on tertiary and composite endpoints, in the 24-week, randomized, double-blind, placebo-controlled phase 3 trial in patients with Morquio A syndrome (mucopolysaccharidosis IVA). Methods: Patients with Morquio A syndrome aged ???. 5. years were randomized 1:1:1 to elosulfase alfa 2.0. mg/kg/week (qw; N. = 58), elosulfase alfa 2.0. mg/kg/every other week (qow; N. = 59), or placebo (N. = 59) for 24. weeks. Primary and secondary efficacy measures were 6-minute walk test (6MWT; primary), 3-minute stair climb test (3-MSCT) and urinary keratan sulfate (KS). Safety was also evaluated. Tertiary efficacy measures included respiratory function measures, activities of daily living (MPS Health Assessment Questionnaire [MPS-HAQ]), anthropometric, echocardiographic and radiographic measures, hearing and corneal clouding assessment. In order to fully characterize treatment impact in this heterogeneous disorder, the effect of elosulfase alfa on composite efficacy measures was evaluated as well. Results: The study was not designed to have sufficient power for any of the tertiary outcomes. For most tertiary endpoints, subjects treated with the weekly dose of elosulfase alfa improved more than those receiving placebo. The largest treatment effects were seen in maximal voluntary ventilation (MVV), MPS-HAQ, height, and growth rate. The qow group appeared similar to placebo. The analysis of a pre-specified composite endpoint (combining changes from baseline in 6MWT, 3MSCT and MVV z-scores equally weighted) showed a modest positive impact of elosulfase alfa qw versus placebo group (P= 0.053). As a pre-specified supportive analysis, the O'Brien Rank Sum composite endpoint (changes from baseline in 6MWT, 3MSC, and MVV), analysis also showed that the qw group performed better than the placebo group (P= 0.011). In post-hoc analyses, combinations of other endpoints were also explored using the O'Brien Rank Sum test and showed statistically significant differences between elosulfase alfa qw and placebo favoring elosulfase alfa qw. Differences between elosulfase alfa qow and placebo were not statistically significant. Positive changes were observed in most tertiary variables, demonstrating the efficacy of weekly treatment with elosulfase alfa. Conclusions: Treatment with weekly elosulfase alfa led to improvements across most efficacy measures, resulting in clinically meaningful benefits in a hetero\u2026", "author" : [ { "dropping-particle" : "", "family" : "Hendriksz", "given" : "Christian J.", "non-dropping-particle" : "", "parse-names" : false, "suffix" : "" }, { "dropping-particle" : "", "family" : "Giugliani", "given" : "Roberto", "non-dropping-particle" : "", "parse-names" : false, "suffix" : "" }, { "dropping-particle" : "", "family" : "Harmatz", "given" : "Paul", "non-dropping-particle" : "", "parse-names" : false, "suffix" : "" }, { "dropping-particle" : "", "family" : "Mengel", "given" : "Eugen", "non-dropping-particle" : "", "parse-names" : false, "suffix" : "" }, { "dropping-particle" : "", "family" : "Guffon", "given" : "Nathalie", "non-dropping-particle" : "", "parse-names" : false, "suffix" : "" }, { "dropping-particle" : "", "family" : "Valayannopoulos", "given" : "Vassili", "non-dropping-particle" : "", "parse-names" : false, "suffix" : "" }, { "dropping-particle" : "", "family" : "Parini", "given" : "Rossella", "non-dropping-particle" : "", "parse-names" : false, "suffix" : "" }, { "dropping-particle" : "", "family" : "Hughes", "given" : "Derralynn A.", "non-dropping-particle" : "", "parse-names" : false, "suffix" : "" }, { "dropping-particle" : "", "family" : "Pastores", "given" : "Gregory M.", "non-dropping-particle" : "", "parse-names" : false, "suffix" : "" }, { "dropping-particle" : "", "family" : "Lau", "given" : "Heather A.", "non-dropping-particle" : "", "parse-names" : false, "suffix" : "" }, { "dropping-particle" : "", "family" : "Al-Sayed", "given" : "Moeenaldeen D.", "non-dropping-particle" : "", "parse-names" : false, "suffix" : "" }, { "dropping-particle" : "", "family" : "Raiman", "given" : "Julian", "non-dropping-particle" : "", "parse-names" : false, "suffix" : "" }, { "dropping-particle" : "", "family" : "Ben-Omran", "given" : "Tawfeg", "non-dropping-particle" : "", "parse-names" : false, "suffix" : "" }, { "dropping-particle" : "", "family" : "Bober", "given" : "Michael B.", "non-dropping-particle" : "", "parse-names" : false, "suffix" : "" }, { "dropping-particle" : "", "family" : "Burton", "given" : "Barbara K.", "non-dropping-particle" : "", "parse-names" : false, "suffix" : "" }, { "dropping-particle" : "", "family" : "Cleary", "given" : "Maureen A.", "non-dropping-particle" : "", "parse-names" : false, "suffix" : "" }, { "dropping-particle" : "", "family" : "Dali", "given" : "Christine I.", "non-dropping-particle" : "", "parse-names" : false, "suffix" : "" }, { "dropping-particle" : "", "family" : "Medeiros", "given" : "Paula Frassinetti Vasconcelos", "non-dropping-particle" : "de", "parse-names" : false, "suffix" : "" }, { "dropping-particle" : "", "family" : "Guelbert", "given" : "Norberto B.", "non-dropping-particle" : "", "parse-names" : false, "suffix" : "" }, { "dropping-particle" : "", "family" : "Hiwot", "given" : "Tarekegn G.", "non-dropping-particle" : "", "parse-names" : false, "suffix" : "" }, { "dropping-particle" : "", "family" : "Jin", "given" : "Dong Kyu", "non-dropping-particle" : "", "parse-names" : false, "suffix" : "" }, { "dropping-particle" : "", "family" : "Jones", "given" : "Simon A.", "non-dropping-particle" : "", "parse-names" : false, "suffix" : "" }, { "dropping-particle" : "", "family" : "Lin", "given" : "Shuan Pei", "non-dropping-particle" : "", "parse-names" : false, "suffix" : "" }, { "dropping-particle" : "", "family" : "Maranda", "given" : "Bruno", "non-dropping-particle" : "", "parse-names" : false, "suffix" : "" }, { "dropping-particle" : "", "family" : "Mitchell", "given" : "John J.", "non-dropping-particle" : "", "parse-names" : false, "suffix" : "" }, { "dropping-particle" : "", "family" : "Murphy", "given" : "Elaine Mary", "non-dropping-particle" : "", "parse-names" : false, "suffix" : "" }, { "dropping-particle" : "", "family" : "Muschol", "given" : "Nicole", "non-dropping-particle" : "", "parse-names" : false, "suffix" : "" }, { "dropping-particle" : "", "family" : "Okuyama", "given" : "Torayuki", "non-dropping-particle" : "", "parse-names" : false, "suffix" : "" }, { "dropping-particle" : "", "family" : "Santra", "given" : "Saikat", "non-dropping-particle" : "", "parse-names" : false, "suffix" : "" }, { "dropping-particle" : "", "family" : "Villarreal", "given" : "Martha L Solano", "non-dropping-particle" : "", "parse-names" : false, "suffix" : "" }, { "dropping-particle" : "", "family" : "Steiner", "given" : "Robert", "non-dropping-particle" : "", "parse-names" : false, "suffix" : "" }, { "dropping-particle" : "", "family" : "Tanpaiboon", "given" : "Pranoot", "non-dropping-particle" : "", "parse-names" : false, "suffix" : "" }, { "dropping-particle" : "", "family" : "Valente", "given" : "Paula Cristina", "non-dropping-particle" : "", "parse-names" : false, "suffix" : "" }, { "dropping-particle" : "", "family" : "Matos", "given" : "Santos Baptista Garcia", "non-dropping-particle" : "", "parse-names" : false, "suffix" : "" }, { "dropping-particle" : "", "family" : "Vellodi", "given" : "Ashok", "non-dropping-particle" : "", "parse-names" : false, "suffix" : "" }, { "dropping-particle" : "", "family" : "White", "given" : "Klane K.", "non-dropping-particle" : "", "parse-names" : false, "suffix" : "" }, { "dropping-particle" : "", "family" : "Wijburg", "given" : "Frits A.", "non-dropping-particle" : "", "parse-names" : false, "suffix" : "" }, { "dropping-particle" : "", "family" : "Yang", "given" : "Ke", "non-dropping-particle" : "", "parse-names" : false, "suffix" : "" }, { "dropping-particle" : "", "family" : "Mealiffe", "given" : "Matthew", "non-dropping-particle" : "", "parse-names" : false, "suffix" : "" }, { "dropping-particle" : "", "family" : "Haller", "given" : "Christine", "non-dropping-particle" : "", "parse-names" : false, "suffix" : "" } ], "container-title" : "Molecular Genetics and Metabolism", "id" : "ITEM-1", "issue" : "2", "issued" : { "date-parts" : [ [ "2015" ] ] }, "page" : "178-185", "publisher" : "Elsevier B.V.", "title" : "Multi-domain impact of elosufase alfa in Morquio A syndrome in the pivotal phase III trial", "type" : "article-journal", "volume" : "114" }, "uris" : [ "http://www.mendeley.com/documents/?uuid=b27e6abd-0284-4dea-ac8a-6284a37ce568" ] } ], "mendeley" : { "formattedCitation" : "&lt;sup&gt;80&lt;/sup&gt;", "plainTextFormattedCitation" : "80", "previouslyFormattedCitation" : "&lt;sup&gt;80&lt;/sup&gt;" }, "properties" : { "noteIndex" : 0 }, "schema" : "https://github.com/citation-style-language/schema/raw/master/csl-citation.json" }</w:instrText>
      </w:r>
      <w:r>
        <w:rPr>
          <w:rFonts w:ascii="Arial" w:hAnsi="Arial" w:cs="Arial"/>
          <w:sz w:val="24"/>
          <w:szCs w:val="24"/>
        </w:rPr>
        <w:fldChar w:fldCharType="separate"/>
      </w:r>
      <w:r w:rsidR="00412B48" w:rsidRPr="00412B48">
        <w:rPr>
          <w:rFonts w:ascii="Arial" w:hAnsi="Arial" w:cs="Arial"/>
          <w:noProof/>
          <w:sz w:val="24"/>
          <w:szCs w:val="24"/>
          <w:vertAlign w:val="superscript"/>
        </w:rPr>
        <w:t>80</w:t>
      </w:r>
      <w:r>
        <w:rPr>
          <w:rFonts w:ascii="Arial" w:hAnsi="Arial" w:cs="Arial"/>
          <w:sz w:val="24"/>
          <w:szCs w:val="24"/>
        </w:rPr>
        <w:fldChar w:fldCharType="end"/>
      </w:r>
      <w:r w:rsidR="000632BA">
        <w:rPr>
          <w:rFonts w:ascii="Arial" w:hAnsi="Arial" w:cs="Arial"/>
          <w:sz w:val="24"/>
          <w:szCs w:val="24"/>
        </w:rPr>
        <w:t xml:space="preserve"> Es</w:t>
      </w:r>
      <w:r w:rsidR="004D627C">
        <w:rPr>
          <w:rFonts w:ascii="Arial" w:hAnsi="Arial" w:cs="Arial"/>
          <w:sz w:val="24"/>
          <w:szCs w:val="24"/>
        </w:rPr>
        <w:t>t</w:t>
      </w:r>
      <w:r w:rsidR="000632BA">
        <w:rPr>
          <w:rFonts w:ascii="Arial" w:hAnsi="Arial" w:cs="Arial"/>
          <w:sz w:val="24"/>
          <w:szCs w:val="24"/>
        </w:rPr>
        <w:t xml:space="preserve">e instrumento é </w:t>
      </w:r>
      <w:r>
        <w:rPr>
          <w:rFonts w:ascii="Arial" w:hAnsi="Arial" w:cs="Arial"/>
          <w:sz w:val="24"/>
          <w:szCs w:val="24"/>
        </w:rPr>
        <w:t>composto por 52 questões</w:t>
      </w:r>
      <w:r w:rsidR="00543B03">
        <w:rPr>
          <w:rFonts w:ascii="Arial" w:hAnsi="Arial" w:cs="Arial"/>
          <w:sz w:val="24"/>
          <w:szCs w:val="24"/>
        </w:rPr>
        <w:t xml:space="preserve">, </w:t>
      </w:r>
      <w:r>
        <w:rPr>
          <w:rFonts w:ascii="Arial" w:hAnsi="Arial" w:cs="Arial"/>
          <w:sz w:val="24"/>
          <w:szCs w:val="24"/>
        </w:rPr>
        <w:t>relacionadas a</w:t>
      </w:r>
      <w:r w:rsidR="00543B03">
        <w:rPr>
          <w:rFonts w:ascii="Arial" w:hAnsi="Arial" w:cs="Arial"/>
          <w:sz w:val="24"/>
          <w:szCs w:val="24"/>
        </w:rPr>
        <w:t xml:space="preserve"> atividades de</w:t>
      </w:r>
      <w:r>
        <w:rPr>
          <w:rFonts w:ascii="Arial" w:hAnsi="Arial" w:cs="Arial"/>
          <w:sz w:val="24"/>
          <w:szCs w:val="24"/>
        </w:rPr>
        <w:t xml:space="preserve"> autocuidado; mobilidade / habilidades motoras; e à extensão da assistência prestada</w:t>
      </w:r>
      <w:r w:rsidR="00543B03">
        <w:rPr>
          <w:rFonts w:ascii="Arial" w:hAnsi="Arial" w:cs="Arial"/>
          <w:sz w:val="24"/>
          <w:szCs w:val="24"/>
        </w:rPr>
        <w:t xml:space="preserve"> pelos cuidadores para auxiliar </w:t>
      </w:r>
      <w:r>
        <w:rPr>
          <w:rFonts w:ascii="Arial" w:hAnsi="Arial" w:cs="Arial"/>
          <w:sz w:val="24"/>
          <w:szCs w:val="24"/>
        </w:rPr>
        <w:t>a execução dessas</w:t>
      </w:r>
      <w:r w:rsidR="000632BA">
        <w:rPr>
          <w:rFonts w:ascii="Arial" w:hAnsi="Arial" w:cs="Arial"/>
          <w:sz w:val="24"/>
          <w:szCs w:val="24"/>
        </w:rPr>
        <w:t xml:space="preserve"> atividades.</w:t>
      </w:r>
      <w:r w:rsidR="000632BA">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"10.1016/j.ymgme.2014.08.012", "ISSN" : "10967206", "PMID" : "25284089", "abstract" : "Objective: To report and discuss the multi-domain impact of elosulfase alfa, with focus on tertiary and composite endpoints, in the 24-week, randomized, double-blind, placebo-controlled phase 3 trial in patients with Morquio A syndrome (mucopolysaccharidosis IVA). Methods: Patients with Morquio A syndrome aged ???. 5. years were randomized 1:1:1 to elosulfase alfa 2.0. mg/kg/week (qw; N. = 58), elosulfase alfa 2.0. mg/kg/every other week (qow; N. = 59), or placebo (N. = 59) for 24. weeks. Primary and secondary efficacy measures were 6-minute walk test (6MWT; primary), 3-minute stair climb test (3-MSCT) and urinary keratan sulfate (KS). Safety was also evaluated. Tertiary efficacy measures included respiratory function measures, activities of daily living (MPS Health Assessment Questionnaire [MPS-HAQ]), anthropometric, echocardiographic and radiographic measures, hearing and corneal clouding assessment. In order to fully characterize treatment impact in this heterogeneous disorder, the effect of elosulfase alfa on composite efficacy measures was evaluated as well. Results: The study was not designed to have sufficient power for any of the tertiary outcomes. For most tertiary endpoints, subjects treated with the weekly dose of elosulfase alfa improved more than those receiving placebo. The largest treatment effects were seen in maximal voluntary ventilation (MVV), MPS-HAQ, height, and growth rate. The qow group appeared similar to placebo. The analysis of a pre-specified composite endpoint (combining changes from baseline in 6MWT, 3MSCT and MVV z-scores equally weighted) showed a modest positive impact of elosulfase alfa qw versus placebo group (P= 0.053). As a pre-specified supportive analysis, the O'Brien Rank Sum composite endpoint (changes from baseline in 6MWT, 3MSC, and MVV), analysis also showed that the qw group performed better than the placebo group (P= 0.011). In post-hoc analyses, combinations of other endpoints were also explored using the O'Brien Rank Sum test and showed statistically significant differences between elosulfase alfa qw and placebo favoring elosulfase alfa qw. Differences between elosulfase alfa qow and placebo were not statistically significant. Positive changes were observed in most tertiary variables, demonstrating the efficacy of weekly treatment with elosulfase alfa. Conclusions: Treatment with weekly elosulfase alfa led to improvements across most efficacy measures, resulting in clinically meaningful benefits in a hetero\u2026", "author" : [ { "dropping-particle" : "", "family" : "Hendriksz", "given" : "Christian J.", "non-dropping-particle" : "", "parse-names" : false, "suffix" : "" }, { "dropping-particle" : "", "family" : "Giugliani", "given" : "Roberto", "non-dropping-particle" : "", "parse-names" : false, "suffix" : "" }, { "dropping-particle" : "", "family" : "Harmatz", "given" : "Paul", "non-dropping-particle" : "", "parse-names" : false, "suffix" : "" }, { "dropping-particle" : "", "family" : "Mengel", "given" : "Eugen", "non-dropping-particle" : "", "parse-names" : false, "suffix" : "" }, { "dropping-particle" : "", "family" : "Guffon", "given" : "Nathalie", "non-dropping-particle" : "", "parse-names" : false, "suffix" : "" }, { "dropping-particle" : "", "family" : "Valayannopoulos", "given" : "Vassili", "non-dropping-particle" : "", "parse-names" : false, "suffix" : "" }, { "dropping-particle" : "", "family" : "Parini", "given" : "Rossella", "non-dropping-particle" : "", "parse-names" : false, "suffix" : "" }, { "dropping-particle" : "", "family" : "Hughes", "given" : "Derralynn A.", "non-dropping-particle" : "", "parse-names" : false, "suffix" : "" }, { "dropping-particle" : "", "family" : "Pastores", "given" : "Gregory M.", "non-dropping-particle" : "", "parse-names" : false, "suffix" : "" }, { "dropping-particle" : "", "family" : "Lau", "given" : "Heather A.", "non-dropping-particle" : "", "parse-names" : false, "suffix" : "" }, { "dropping-particle" : "", "family" : "Al-Sayed", "given" : "Moeenaldeen D.", "non-dropping-particle" : "", "parse-names" : false, "suffix" : "" }, { "dropping-particle" : "", "family" : "Raiman", "given" : "Julian", "non-dropping-particle" : "", "parse-names" : false, "suffix" : "" }, { "dropping-particle" : "", "family" : "Ben-Omran", "given" : "Tawfeg", "non-dropping-particle" : "", "parse-names" : false, "suffix" : "" }, { "dropping-particle" : "", "family" : "Bober", "given" : "Michael B.", "non-dropping-particle" : "", "parse-names" : false, "suffix" : "" }, { "dropping-particle" : "", "family" : "Burton", "given" : "Barbara K.", "non-dropping-particle" : "", "parse-names" : false, "suffix" : "" }, { "dropping-particle" : "", "family" : "Cleary", "given" : "Maureen A.", "non-dropping-particle" : "", "parse-names" : false, "suffix" : "" }, { "dropping-particle" : "", "family" : "Dali", "given" : "Christine I.", "non-dropping-particle" : "", "parse-names" : false, "suffix" : "" }, { "dropping-particle" : "", "family" : "Medeiros", "given" : "Paula Frassinetti Vasconcelos", "non-dropping-particle" : "de", "parse-names" : false, "suffix" : "" }, { "dropping-particle" : "", "family" : "Guelbert", "given" : "Norberto B.", "non-dropping-particle" : "", "parse-names" : false, "suffix" : "" }, { "dropping-particle" : "", "family" : "Hiwot", "given" : "Tarekegn G.", "non-dropping-particle" : "", "parse-names" : false, "suffix" : "" }, { "dropping-particle" : "", "family" : "Jin", "given" : "Dong Kyu", "non-dropping-particle" : "", "parse-names" : false, "suffix" : "" }, { "dropping-particle" : "", "family" : "Jones", "given" : "Simon A.", "non-dropping-particle" : "", "parse-names" : false, "suffix" : "" }, { "dropping-particle" : "", "family" : "Lin", "given" : "Shuan Pei", "non-dropping-particle" : "", "parse-names" : false, "suffix" : "" }, { "dropping-particle" : "", "family" : "Maranda", "given" : "Bruno", "non-dropping-particle" : "", "parse-names" : false, "suffix" : "" }, { "dropping-particle" : "", "family" : "Mitchell", "given" : "John J.", "non-dropping-particle" : "", "parse-names" : false, "suffix" : "" }, { "dropping-particle" : "", "family" : "Murphy", "given" : "Elaine Mary", "non-dropping-particle" : "", "parse-names" : false, "suffix" : "" }, { "dropping-particle" : "", "family" : "Muschol", "given" : "Nicole", "non-dropping-particle" : "", "parse-names" : false, "suffix" : "" }, { "dropping-particle" : "", "family" : "Okuyama", "given" : "Torayuki", "non-dropping-particle" : "", "parse-names" : false, "suffix" : "" }, { "dropping-particle" : "", "family" : "Santra", "given" : "Saikat", "non-dropping-particle" : "", "parse-names" : false, "suffix" : "" }, { "dropping-particle" : "", "family" : "Villarreal", "given" : "Martha L Solano", "non-dropping-particle" : "", "parse-names" : false, "suffix" : "" }, { "dropping-particle" : "", "family" : "Steiner", "given" : "Robert", "non-dropping-particle" : "", "parse-names" : false, "suffix" : "" }, { "dropping-particle" : "", "family" : "Tanpaiboon", "given" : "Pranoot", "non-dropping-particle" : "", "parse-names" : false, "suffix" : "" }, { "dropping-particle" : "", "family" : "Valente", "given" : "Paula Cristina", "non-dropping-particle" : "", "parse-names" : false, "suffix" : "" }, { "dropping-particle" : "", "family" : "Matos", "given" : "Santos Baptista Garcia", "non-dropping-particle" : "", "parse-names" : false, "suffix" : "" }, { "dropping-particle" : "", "family" : "Vellodi", "given" : "Ashok", "non-dropping-particle" : "", "parse-names" : false, "suffix" : "" }, { "dropping-particle" : "", "family" : "White", "given" : "Klane K.", "non-dropping-particle" : "", "parse-names" : false, "suffix" : "" }, { "dropping-particle" : "", "family" : "Wijburg", "given" : "Frits A.", "non-dropping-particle" : "", "parse-names" : false, "suffix" : "" }, { "dropping-particle" : "", "family" : "Yang", "given" : "Ke", "non-dropping-particle" : "", "parse-names" : false, "suffix" : "" }, { "dropping-particle" : "", "family" : "Mealiffe", "given" : "Matthew", "non-dropping-particle" : "", "parse-names" : false, "suffix" : "" }, { "dropping-particle" : "", "family" : "Haller", "given" : "Christine", "non-dropping-particle" : "", "parse-names" : false, "suffix" : "" } ], "container-title" : "Molecular Genetics and Metabolism", "id" : "ITEM-1", "issue" : "2", "issued" : { "date-parts" : [ [ "2015" ] ] }, "page" : "178-185", "publisher" : "Elsevier B.V.", "title" : "Multi-domain impact of elosufase alfa in Morquio A syndrome in the pivotal phase III trial", "type" : "article-journal", "volume" : "114" }, "uris" : [ "http://www.mendeley.com/documents/?uuid=b27e6abd-0284-4dea-ac8a-6284a37ce568" ] } ], "mendeley" : { "formattedCitation" : "&lt;sup&gt;80&lt;/sup&gt;", "plainTextFormattedCitation" : "80", "previouslyFormattedCitation" : "&lt;sup&gt;80&lt;/sup&gt;" }, "properties" : { "noteIndex" : 0 }, "schema" : "https://github.com/citation-style-language/schema/raw/master/csl-citation.json" }</w:instrText>
      </w:r>
      <w:r w:rsidR="000632BA">
        <w:rPr>
          <w:rFonts w:ascii="Arial" w:hAnsi="Arial" w:cs="Arial"/>
          <w:sz w:val="24"/>
          <w:szCs w:val="24"/>
        </w:rPr>
        <w:fldChar w:fldCharType="separate"/>
      </w:r>
      <w:r w:rsidR="00412B48" w:rsidRPr="00412B48">
        <w:rPr>
          <w:rFonts w:ascii="Arial" w:hAnsi="Arial" w:cs="Arial"/>
          <w:noProof/>
          <w:sz w:val="24"/>
          <w:szCs w:val="24"/>
          <w:vertAlign w:val="superscript"/>
        </w:rPr>
        <w:t>80</w:t>
      </w:r>
      <w:r w:rsidR="000632BA">
        <w:rPr>
          <w:rFonts w:ascii="Arial" w:hAnsi="Arial" w:cs="Arial"/>
          <w:sz w:val="24"/>
          <w:szCs w:val="24"/>
        </w:rPr>
        <w:fldChar w:fldCharType="end"/>
      </w:r>
    </w:p>
    <w:p w:rsidR="00714FBA" w:rsidRDefault="00714FBA" w:rsidP="00491682">
      <w:pPr>
        <w:spacing w:after="0" w:line="360" w:lineRule="auto"/>
        <w:jc w:val="both"/>
        <w:rPr>
          <w:rFonts w:ascii="Arial" w:hAnsi="Arial" w:cs="Arial"/>
          <w:sz w:val="24"/>
          <w:szCs w:val="24"/>
        </w:rPr>
      </w:pPr>
    </w:p>
    <w:p w:rsidR="00EB34BF" w:rsidRPr="008F172C" w:rsidRDefault="001F6CF1" w:rsidP="00491682">
      <w:pPr>
        <w:spacing w:after="0" w:line="360" w:lineRule="auto"/>
        <w:jc w:val="both"/>
        <w:rPr>
          <w:rFonts w:ascii="Arial" w:hAnsi="Arial" w:cs="Arial"/>
          <w:sz w:val="24"/>
          <w:szCs w:val="24"/>
          <w:lang w:val="en-US"/>
        </w:rPr>
      </w:pPr>
      <w:r>
        <w:rPr>
          <w:rFonts w:ascii="Arial" w:hAnsi="Arial" w:cs="Arial"/>
          <w:sz w:val="24"/>
          <w:szCs w:val="24"/>
        </w:rPr>
        <w:t>Os achados da</w:t>
      </w:r>
      <w:r w:rsidR="004B2959">
        <w:rPr>
          <w:rFonts w:ascii="Arial" w:hAnsi="Arial" w:cs="Arial"/>
          <w:sz w:val="24"/>
          <w:szCs w:val="24"/>
        </w:rPr>
        <w:t xml:space="preserve"> referida pesquisa evidenci</w:t>
      </w:r>
      <w:r>
        <w:rPr>
          <w:rFonts w:ascii="Arial" w:hAnsi="Arial" w:cs="Arial"/>
          <w:sz w:val="24"/>
          <w:szCs w:val="24"/>
        </w:rPr>
        <w:t>aram</w:t>
      </w:r>
      <w:r w:rsidR="004B2959">
        <w:rPr>
          <w:rFonts w:ascii="Arial" w:hAnsi="Arial" w:cs="Arial"/>
          <w:sz w:val="24"/>
          <w:szCs w:val="24"/>
        </w:rPr>
        <w:t xml:space="preserve"> aumento dos escores relacionados </w:t>
      </w:r>
      <w:r w:rsidR="00AA6C4C">
        <w:rPr>
          <w:rFonts w:ascii="Arial" w:hAnsi="Arial" w:cs="Arial"/>
          <w:sz w:val="24"/>
          <w:szCs w:val="24"/>
        </w:rPr>
        <w:t>à</w:t>
      </w:r>
      <w:r w:rsidR="004B2959">
        <w:rPr>
          <w:rFonts w:ascii="Arial" w:hAnsi="Arial" w:cs="Arial"/>
          <w:sz w:val="24"/>
          <w:szCs w:val="24"/>
        </w:rPr>
        <w:t xml:space="preserve"> mobilidade e necessidade de assistência de cuidadores. A</w:t>
      </w:r>
      <w:r w:rsidR="00EB34BF">
        <w:rPr>
          <w:rFonts w:ascii="Arial" w:hAnsi="Arial" w:cs="Arial"/>
          <w:sz w:val="24"/>
          <w:szCs w:val="24"/>
        </w:rPr>
        <w:t xml:space="preserve"> proporção de pacientes com melhora em cada um dos itens do instrumento</w:t>
      </w:r>
      <w:r w:rsidR="004B2959">
        <w:rPr>
          <w:rFonts w:ascii="Arial" w:hAnsi="Arial" w:cs="Arial"/>
          <w:sz w:val="24"/>
          <w:szCs w:val="24"/>
        </w:rPr>
        <w:t xml:space="preserve"> aplicado</w:t>
      </w:r>
      <w:r w:rsidR="00EB34BF">
        <w:rPr>
          <w:rFonts w:ascii="Arial" w:hAnsi="Arial" w:cs="Arial"/>
          <w:sz w:val="24"/>
          <w:szCs w:val="24"/>
        </w:rPr>
        <w:t xml:space="preserve">, avaliados separadamente, foi maior no grupo submetido à TRE do que no grupo placebo. Sugere-se que esta alteração poderá repercutir de forma positiva sobre a qualidade de vida dos indivíduos </w:t>
      </w:r>
      <w:r>
        <w:rPr>
          <w:rFonts w:ascii="Arial" w:hAnsi="Arial" w:cs="Arial"/>
          <w:sz w:val="24"/>
          <w:szCs w:val="24"/>
        </w:rPr>
        <w:t>diagnosticados com</w:t>
      </w:r>
      <w:r w:rsidR="00EB34BF">
        <w:rPr>
          <w:rFonts w:ascii="Arial" w:hAnsi="Arial" w:cs="Arial"/>
          <w:sz w:val="24"/>
          <w:szCs w:val="24"/>
        </w:rPr>
        <w:t xml:space="preserve"> MPS tipo IV-A. No entanto, os autores destacam que o instrumento utilizado </w:t>
      </w:r>
      <w:r>
        <w:rPr>
          <w:rFonts w:ascii="Arial" w:hAnsi="Arial" w:cs="Arial"/>
          <w:sz w:val="24"/>
          <w:szCs w:val="24"/>
        </w:rPr>
        <w:t xml:space="preserve">para avaliação da AVD </w:t>
      </w:r>
      <w:r w:rsidR="00EB34BF">
        <w:rPr>
          <w:rFonts w:ascii="Arial" w:hAnsi="Arial" w:cs="Arial"/>
          <w:sz w:val="24"/>
          <w:szCs w:val="24"/>
        </w:rPr>
        <w:t>foi criado</w:t>
      </w:r>
      <w:r w:rsidR="00E66A55">
        <w:rPr>
          <w:rFonts w:ascii="Arial" w:hAnsi="Arial" w:cs="Arial"/>
          <w:sz w:val="24"/>
          <w:szCs w:val="24"/>
        </w:rPr>
        <w:t xml:space="preserve"> especificamente</w:t>
      </w:r>
      <w:r w:rsidR="00EB34BF">
        <w:rPr>
          <w:rFonts w:ascii="Arial" w:hAnsi="Arial" w:cs="Arial"/>
          <w:sz w:val="24"/>
          <w:szCs w:val="24"/>
        </w:rPr>
        <w:t xml:space="preserve"> para pacientes com MPS I e, portanto, pode não apresentar sensibilidade adequada para detectar alterações significativas em indivíduos </w:t>
      </w:r>
      <w:r>
        <w:rPr>
          <w:rFonts w:ascii="Arial" w:hAnsi="Arial" w:cs="Arial"/>
          <w:sz w:val="24"/>
          <w:szCs w:val="24"/>
        </w:rPr>
        <w:t>com</w:t>
      </w:r>
      <w:r w:rsidR="00EB34BF">
        <w:rPr>
          <w:rFonts w:ascii="Arial" w:hAnsi="Arial" w:cs="Arial"/>
          <w:sz w:val="24"/>
          <w:szCs w:val="24"/>
        </w:rPr>
        <w:t xml:space="preserve"> outro tipo de MPS</w:t>
      </w:r>
      <w:r w:rsidR="00081167">
        <w:rPr>
          <w:rFonts w:ascii="Arial" w:hAnsi="Arial" w:cs="Arial"/>
          <w:sz w:val="24"/>
          <w:szCs w:val="24"/>
        </w:rPr>
        <w:t>.</w:t>
      </w:r>
      <w:r w:rsidR="00EB34BF">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"10.1016/j.ymgme.2014.08.012", "ISSN" : "10967206", "PMID" : "25284089", "abstract" : "Objective: To report and discuss the multi-domain impact of elosulfase alfa, with focus on tertiary and composite endpoints, in the 24-week, randomized, double-blind, placebo-controlled phase 3 trial in patients with Morquio A syndrome (mucopolysaccharidosis IVA). Methods: Patients with Morquio A syndrome aged ???. 5. years were randomized 1:1:1 to elosulfase alfa 2.0. mg/kg/week (qw; N. = 58), elosulfase alfa 2.0. mg/kg/every other week (qow; N. = 59), or placebo (N. = 59) for 24. weeks. Primary and secondary efficacy measures were 6-minute walk test (6MWT; primary), 3-minute stair climb test (3-MSCT) and urinary keratan sulfate (KS). Safety was also evaluated. Tertiary efficacy measures included respiratory function measures, activities of daily living (MPS Health Assessment Questionnaire [MPS-HAQ]), anthropometric, echocardiographic and radiographic measures, hearing and corneal clouding assessment. In order to fully characterize treatment impact in this heterogeneous disorder, the effect of elosulfase alfa on composite efficacy measures was evaluated as well. Results: The study was not designed to have sufficient power for any of the tertiary outcomes. For most tertiary endpoints, subjects treated with the weekly dose of elosulfase alfa improved more than those receiving placebo. The largest treatment effects were seen in maximal voluntary ventilation (MVV), MPS-HAQ, height, and growth rate. The qow group appeared similar to placebo. The analysis of a pre-specified composite endpoint (combining changes from baseline in 6MWT, 3MSCT and MVV z-scores equally weighted) showed a modest positive impact of elosulfase alfa qw versus placebo group (P= 0.053). As a pre-specified supportive analysis, the O'Brien Rank Sum composite endpoint (changes from baseline in 6MWT, 3MSC, and MVV), analysis also showed that the qw group performed better than the placebo group (P= 0.011). In post-hoc analyses, combinations of other endpoints were also explored using the O'Brien Rank Sum test and showed statistically significant differences between elosulfase alfa qw and placebo favoring elosulfase alfa qw. Differences between elosulfase alfa qow and placebo were not statistically significant. Positive changes were observed in most tertiary variables, demonstrating the efficacy of weekly treatment with elosulfase alfa. Conclusions: Treatment with weekly elosulfase alfa led to improvements across most efficacy measures, resulting in clinically meaningful benefits in a hetero\u2026", "author" : [ { "dropping-particle" : "", "family" : "Hendriksz", "given" : "Christian J.", "non-dropping-particle" : "", "parse-names" : false, "suffix" : "" }, { "dropping-particle" : "", "family" : "Giugliani", "given" : "Roberto", "non-dropping-particle" : "", "parse-names" : false, "suffix" : "" }, { "dropping-particle" : "", "family" : "Harmatz", "given" : "Paul", "non-dropping-particle" : "", "parse-names" : false, "suffix" : "" }, { "dropping-particle" : "", "family" : "Mengel", "given" : "Eugen", "non-dropping-particle" : "", "parse-names" : false, "suffix" : "" }, { "dropping-particle" : "", "family" : "Guffon", "given" : "Nathalie", "non-dropping-particle" : "", "parse-names" : false, "suffix" : "" }, { "dropping-particle" : "", "family" : "Valayannopoulos", "given" : "Vassili", "non-dropping-particle" : "", "parse-names" : false, "suffix" : "" }, { "dropping-particle" : "", "family" : "Parini", "given" : "Rossella", "non-dropping-particle" : "", "parse-names" : false, "suffix" : "" }, { "dropping-particle" : "", "family" : "Hughes", "given" : "Derralynn A.", "non-dropping-particle" : "", "parse-names" : false, "suffix" : "" }, { "dropping-particle" : "", "family" : "Pastores", "given" : "Gregory M.", "non-dropping-particle" : "", "parse-names" : false, "suffix" : "" }, { "dropping-particle" : "", "family" : "Lau", "given" : "Heather A.", "non-dropping-particle" : "", "parse-names" : false, "suffix" : "" }, { "dropping-particle" : "", "family" : "Al-Sayed", "given" : "Moeenaldeen D.", "non-dropping-particle" : "", "parse-names" : false, "suffix" : "" }, { "dropping-particle" : "", "family" : "Raiman", "given" : "Julian", "non-dropping-particle" : "", "parse-names" : false, "suffix" : "" }, { "dropping-particle" : "", "family" : "Ben-Omran", "given" : "Tawfeg", "non-dropping-particle" : "", "parse-names" : false, "suffix" : "" }, { "dropping-particle" : "", "family" : "Bober", "given" : "Michael B.", "non-dropping-particle" : "", "parse-names" : false, "suffix" : "" }, { "dropping-particle" : "", "family" : "Burton", "given" : "Barbara K.", "non-dropping-particle" : "", "parse-names" : false, "suffix" : "" }, { "dropping-particle" : "", "family" : "Cleary", "given" : "Maureen A.", "non-dropping-particle" : "", "parse-names" : false, "suffix" : "" }, { "dropping-particle" : "", "family" : "Dali", "given" : "Christine I.", "non-dropping-particle" : "", "parse-names" : false, "suffix" : "" }, { "dropping-particle" : "", "family" : "Medeiros", "given" : "Paula Frassinetti Vasconcelos", "non-dropping-particle" : "de", "parse-names" : false, "suffix" : "" }, { "dropping-particle" : "", "family" : "Guelbert", "given" : "Norberto B.", "non-dropping-particle" : "", "parse-names" : false, "suffix" : "" }, { "dropping-particle" : "", "family" : "Hiwot", "given" : "Tarekegn G.", "non-dropping-particle" : "", "parse-names" : false, "suffix" : "" }, { "dropping-particle" : "", "family" : "Jin", "given" : "Dong Kyu", "non-dropping-particle" : "", "parse-names" : false, "suffix" : "" }, { "dropping-particle" : "", "family" : "Jones", "given" : "Simon A.", "non-dropping-particle" : "", "parse-names" : false, "suffix" : "" }, { "dropping-particle" : "", "family" : "Lin", "given" : "Shuan Pei", "non-dropping-particle" : "", "parse-names" : false, "suffix" : "" }, { "dropping-particle" : "", "family" : "Maranda", "given" : "Bruno", "non-dropping-particle" : "", "parse-names" : false, "suffix" : "" }, { "dropping-particle" : "", "family" : "Mitchell", "given" : "John J.", "non-dropping-particle" : "", "parse-names" : false, "suffix" : "" }, { "dropping-particle" : "", "family" : "Murphy", "given" : "Elaine Mary", "non-dropping-particle" : "", "parse-names" : false, "suffix" : "" }, { "dropping-particle" : "", "family" : "Muschol", "given" : "Nicole", "non-dropping-particle" : "", "parse-names" : false, "suffix" : "" }, { "dropping-particle" : "", "family" : "Okuyama", "given" : "Torayuki", "non-dropping-particle" : "", "parse-names" : false, "suffix" : "" }, { "dropping-particle" : "", "family" : "Santra", "given" : "Saikat", "non-dropping-particle" : "", "parse-names" : false, "suffix" : "" }, { "dropping-particle" : "", "family" : "Villarreal", "given" : "Martha L Solano", "non-dropping-particle" : "", "parse-names" : false, "suffix" : "" }, { "dropping-particle" : "", "family" : "Steiner", "given" : "Robert", "non-dropping-particle" : "", "parse-names" : false, "suffix" : "" }, { "dropping-particle" : "", "family" : "Tanpaiboon", "given" : "Pranoot", "non-dropping-particle" : "", "parse-names" : false, "suffix" : "" }, { "dropping-particle" : "", "family" : "Valente", "given" : "Paula Cristina", "non-dropping-particle" : "", "parse-names" : false, "suffix" : "" }, { "dropping-particle" : "", "family" : "Matos", "given" : "Santos Baptista Garcia", "non-dropping-particle" : "", "parse-names" : false, "suffix" : "" }, { "dropping-particle" : "", "family" : "Vellodi", "given" : "Ashok", "non-dropping-particle" : "", "parse-names" : false, "suffix" : "" }, { "dropping-particle" : "", "family" : "White", "given" : "Klane K.", "non-dropping-particle" : "", "parse-names" : false, "suffix" : "" }, { "dropping-particle" : "", "family" : "Wijburg", "given" : "Frits A.", "non-dropping-particle" : "", "parse-names" : false, "suffix" : "" }, { "dropping-particle" : "", "family" : "Yang", "given" : "Ke", "non-dropping-particle" : "", "parse-names" : false, "suffix" : "" }, { "dropping-particle" : "", "family" : "Mealiffe", "given" : "Matthew", "non-dropping-particle" : "", "parse-names" : false, "suffix" : "" }, { "dropping-particle" : "", "family" : "Haller", "given" : "Christine", "non-dropping-particle" : "", "parse-names" : false, "suffix" : "" } ], "container-title" : "Molecular Genetics and Metabolism", "id" : "ITEM-1", "issue" : "2", "issued" : { "date-parts" : [ [ "2015" ] ] }, "page" : "178-185", "publisher" : "Elsevier B.V.", "title" : "Multi-domain impact of elosufase alfa in Morquio A syndrome in the pivotal phase III trial", "type" : "article-journal", "volume" : "114" }, "uris" : [ "http://www.mendeley.com/documents/?uuid=b27e6abd-0284-4dea-ac8a-6284a37ce568" ] } ], "mendeley" : { "formattedCitation" : "&lt;sup&gt;80&lt;/sup&gt;", "plainTextFormattedCitation" : "80", "previouslyFormattedCitation" : "&lt;sup&gt;80&lt;/sup&gt;" }, "properties" : { "noteIndex" : 0 }, "schema" : "https://github.com/citation-style-language/schema/raw/master/csl-citation.json" }</w:instrText>
      </w:r>
      <w:r w:rsidR="00EB34BF">
        <w:rPr>
          <w:rFonts w:ascii="Arial" w:hAnsi="Arial" w:cs="Arial"/>
          <w:sz w:val="24"/>
          <w:szCs w:val="24"/>
        </w:rPr>
        <w:fldChar w:fldCharType="separate"/>
      </w:r>
      <w:r w:rsidR="00412B48" w:rsidRPr="00412B48">
        <w:rPr>
          <w:rFonts w:ascii="Arial" w:hAnsi="Arial" w:cs="Arial"/>
          <w:noProof/>
          <w:sz w:val="24"/>
          <w:szCs w:val="24"/>
          <w:vertAlign w:val="superscript"/>
          <w:lang w:val="en-US"/>
        </w:rPr>
        <w:t>80</w:t>
      </w:r>
      <w:r w:rsidR="00EB34BF">
        <w:rPr>
          <w:rFonts w:ascii="Arial" w:hAnsi="Arial" w:cs="Arial"/>
          <w:sz w:val="24"/>
          <w:szCs w:val="24"/>
        </w:rPr>
        <w:fldChar w:fldCharType="end"/>
      </w:r>
      <w:r w:rsidR="00FD6099" w:rsidRPr="008F172C">
        <w:rPr>
          <w:rFonts w:ascii="Arial" w:hAnsi="Arial" w:cs="Arial"/>
          <w:sz w:val="24"/>
          <w:szCs w:val="24"/>
          <w:lang w:val="en-US"/>
        </w:rPr>
        <w:t xml:space="preserve"> </w:t>
      </w:r>
    </w:p>
    <w:p w:rsidR="00A62F69" w:rsidRPr="008F172C" w:rsidRDefault="00A62F69" w:rsidP="00491682">
      <w:pPr>
        <w:spacing w:after="0" w:line="360" w:lineRule="auto"/>
        <w:jc w:val="both"/>
        <w:rPr>
          <w:rFonts w:ascii="Arial" w:hAnsi="Arial" w:cs="Arial"/>
          <w:sz w:val="24"/>
          <w:szCs w:val="24"/>
          <w:lang w:val="en-US"/>
        </w:rPr>
      </w:pPr>
    </w:p>
    <w:p w:rsidR="00EB34BF" w:rsidRPr="003F585B" w:rsidRDefault="00EB34BF" w:rsidP="00491682">
      <w:pPr>
        <w:spacing w:after="0" w:line="360" w:lineRule="auto"/>
        <w:jc w:val="both"/>
        <w:rPr>
          <w:rFonts w:ascii="Arial" w:hAnsi="Arial" w:cs="Arial"/>
          <w:sz w:val="24"/>
          <w:szCs w:val="24"/>
        </w:rPr>
      </w:pPr>
      <w:r w:rsidRPr="003349FC">
        <w:rPr>
          <w:rFonts w:ascii="Arial" w:hAnsi="Arial" w:cs="Arial"/>
          <w:sz w:val="24"/>
          <w:szCs w:val="24"/>
        </w:rPr>
        <w:lastRenderedPageBreak/>
        <w:t>Yasuda et al.</w:t>
      </w:r>
      <w:r w:rsidR="00081167" w:rsidRPr="003349FC">
        <w:rPr>
          <w:rFonts w:ascii="Arial" w:hAnsi="Arial" w:cs="Arial"/>
          <w:sz w:val="24"/>
          <w:szCs w:val="24"/>
        </w:rPr>
        <w:fldChar w:fldCharType="begin" w:fldLock="1"/>
      </w:r>
      <w:r w:rsidR="005C2E82" w:rsidRPr="003349FC">
        <w:rPr>
          <w:rFonts w:ascii="Arial" w:hAnsi="Arial" w:cs="Arial"/>
          <w:sz w:val="24"/>
          <w:szCs w:val="24"/>
        </w:rPr>
        <w:instrText>ADDIN CSL_CITATION { "citationItems" : [ { "id" : "ITEM-1", "itemData" : { "DOI" : "10.1016/j.ymgme.2016.04.005.Activity", "author" : [ { "dropping-particle" : "", "family" : "Yasuda", "given" : "Eriko", "non-dropping-particle" : "", "parse-names" : false, "suffix" : "" }, { "dropping-particle" : "", "family" : "Suzuki", "given" : "Yasuyuki", "non-dropping-particle" : "", "parse-names" : false, "suffix" : "" }, { "dropping-particle" : "", "family" : "Shimada", "given" : "Tsutomu", "non-dropping-particle" : "", "parse-names" : false, "suffix" : "" }, { "dropping-particle" : "", "family" : "Sawamoto", "given" : "Kazuki", "non-dropping-particle" : "", "parse-names" : false, "suffix" : "" }, { "dropping-particle" : "", "family" : "William", "given" : "G", "non-dropping-particle" : "", "parse-names" : false, "suffix" : "" }, { "dropping-particle" : "", "family" : "Theroux", "given" : "Mary C", "non-dropping-particle" : "", "parse-names" : false, "suffix" : "" }, { "dropping-particle" : "", "family" : "Pizarro", "given" : "Christian", "non-dropping-particle" : "", "parse-names" : false, "suffix" : "" }, { "dropping-particle" : "", "family" : "Xie", "given" : "Li", "non-dropping-particle" : "", "parse-names" : false, "suffix" : "" }, { "dropping-particle" : "", "family" : "Miller", "given" : "Freeman", "non-dropping-particle" : "", "parse-names" : false, "suffix" : "" }, { "dropping-particle" : "", "family" : "Rahman", "given" : "Tariq", "non-dropping-particle" : "", "parse-names" : false, "suffix" : "" }, { "dropping-particle" : "", "family" : "Kecskemethy", "given" : "Heidi H", "non-dropping-particle" : "", "parse-names" : false, "suffix" : "" }, { "dropping-particle" : "", "family" : "Nagao", "given" : "Kyoko", "non-dropping-particle" : "", "parse-names" : false, "suffix" : "" }, { "dropping-particle" : "", "family" : "Morlet", "given" : "Thierry", "non-dropping-particle" : "", "parse-names" : false, "suffix" : "" }, { "dropping-particle" : "", "family" : "Shaffer", "given" : "Thomas H", "non-dropping-particle" : "", "parse-names" : false, "suffix" : "" }, { "dropping-particle" : "", "family" : "Yabe", "given" : "Hiromasa", "non-dropping-particle" : "", "parse-names" : false, "suffix" : "" }, { "dropping-particle" : "", "family" : "Tanaka", "given" : "Akemi", "non-dropping-particle" : "", "parse-names" : false, "suffix" : "" }, { "dropping-particle" : "", "family" : "Shintaku", "given" : "Haruo", "non-dropping-particle" : "", "parse-names" : false, "suffix" : "" }, { "dropping-particle" : "", "family" : "Orii", "given" : "Kenji E", "non-dropping-particle" : "", "parse-names" : false, "suffix" : "" }, { "dropping-particle" : "", "family" : "Orii", "given" : "Koji O", "non-dropping-particle" : "", "parse-names" : false, "suffix" : "" }, { "dropping-particle" : "", "family" : "Mason", "given" : "Robert W", "non-dropping-particle" : "", "parse-names" : false, "suffix" : "" }, { "dropping-particle" : "", "family" : "Fukao", "given" : "Toshiyuki", "non-dropping-particle" : "", "parse-names" : false, "suffix" : "" }, { "dropping-particle" : "", "family" : "Orii", "given" : "Tadao", "non-dropping-particle" : "", "parse-names" : false, "suffix" : "" } ], "container-title" : "Mol Genet Metab", "id" : "ITEM-1", "issue" : "2", "issued" : { "date-parts" : [ [ "2016" ] ] }, "page" : "111-122", "title" : "Activity of daily living for Morquio A syndrome", "type" : "article-journal", "volume" : "118" }, "uris" : [ "http://www.mendeley.com/documents/?uuid=0b22010b-6f58-466a-938c-19b4cc158254" ] } ], "mendeley" : { "formattedCitation" : "&lt;sup&gt;29&lt;/sup&gt;", "plainTextFormattedCitation" : "29", "previouslyFormattedCitation" : "&lt;sup&gt;29&lt;/sup&gt;" }, "properties" : { "noteIndex" : 0 }, "schema" : "https://github.com/citation-style-language/schema/raw/master/csl-citation.json" }</w:instrText>
      </w:r>
      <w:r w:rsidR="00081167" w:rsidRPr="003349FC">
        <w:rPr>
          <w:rFonts w:ascii="Arial" w:hAnsi="Arial" w:cs="Arial"/>
          <w:sz w:val="24"/>
          <w:szCs w:val="24"/>
        </w:rPr>
        <w:fldChar w:fldCharType="separate"/>
      </w:r>
      <w:r w:rsidR="001F649C" w:rsidRPr="003349FC">
        <w:rPr>
          <w:rFonts w:ascii="Arial" w:hAnsi="Arial" w:cs="Arial"/>
          <w:noProof/>
          <w:sz w:val="24"/>
          <w:szCs w:val="24"/>
          <w:vertAlign w:val="superscript"/>
        </w:rPr>
        <w:t>29</w:t>
      </w:r>
      <w:r w:rsidR="00081167" w:rsidRPr="003349FC">
        <w:rPr>
          <w:rFonts w:ascii="Arial" w:hAnsi="Arial" w:cs="Arial"/>
          <w:sz w:val="24"/>
          <w:szCs w:val="24"/>
        </w:rPr>
        <w:fldChar w:fldCharType="end"/>
      </w:r>
      <w:r w:rsidRPr="003349FC">
        <w:rPr>
          <w:rFonts w:ascii="Arial" w:hAnsi="Arial" w:cs="Arial"/>
          <w:sz w:val="24"/>
          <w:szCs w:val="24"/>
        </w:rPr>
        <w:t xml:space="preserve"> </w:t>
      </w:r>
      <w:r w:rsidR="004F084D" w:rsidRPr="003349FC">
        <w:rPr>
          <w:rFonts w:ascii="Arial" w:hAnsi="Arial" w:cs="Arial"/>
          <w:sz w:val="24"/>
          <w:szCs w:val="24"/>
        </w:rPr>
        <w:t xml:space="preserve">desenvolveram um estudo para avaliar </w:t>
      </w:r>
      <w:r w:rsidRPr="003349FC">
        <w:rPr>
          <w:rFonts w:ascii="Arial" w:hAnsi="Arial" w:cs="Arial"/>
          <w:sz w:val="24"/>
          <w:szCs w:val="24"/>
        </w:rPr>
        <w:t>pacientes com MPS IV-A</w:t>
      </w:r>
      <w:r w:rsidR="004F084D" w:rsidRPr="003349FC">
        <w:rPr>
          <w:rFonts w:ascii="Arial" w:hAnsi="Arial" w:cs="Arial"/>
          <w:sz w:val="24"/>
          <w:szCs w:val="24"/>
        </w:rPr>
        <w:t>,</w:t>
      </w:r>
      <w:r w:rsidRPr="003349FC">
        <w:rPr>
          <w:rFonts w:ascii="Arial" w:hAnsi="Arial" w:cs="Arial"/>
          <w:sz w:val="24"/>
          <w:szCs w:val="24"/>
        </w:rPr>
        <w:t xml:space="preserve"> </w:t>
      </w:r>
      <w:r w:rsidR="004F084D" w:rsidRPr="003349FC">
        <w:rPr>
          <w:rFonts w:ascii="Arial" w:hAnsi="Arial" w:cs="Arial"/>
          <w:sz w:val="24"/>
          <w:szCs w:val="24"/>
        </w:rPr>
        <w:t>no que diz respeito</w:t>
      </w:r>
      <w:r w:rsidRPr="003349FC">
        <w:rPr>
          <w:rFonts w:ascii="Arial" w:hAnsi="Arial" w:cs="Arial"/>
          <w:sz w:val="24"/>
          <w:szCs w:val="24"/>
        </w:rPr>
        <w:t xml:space="preserve"> </w:t>
      </w:r>
      <w:r w:rsidR="004F084D" w:rsidRPr="003349FC">
        <w:rPr>
          <w:rFonts w:ascii="Arial" w:hAnsi="Arial" w:cs="Arial"/>
          <w:sz w:val="24"/>
          <w:szCs w:val="24"/>
        </w:rPr>
        <w:t>ao desempenho</w:t>
      </w:r>
      <w:r w:rsidRPr="003349FC">
        <w:rPr>
          <w:rFonts w:ascii="Arial" w:hAnsi="Arial" w:cs="Arial"/>
          <w:sz w:val="24"/>
          <w:szCs w:val="24"/>
        </w:rPr>
        <w:t xml:space="preserve"> de </w:t>
      </w:r>
      <w:r w:rsidR="004F084D" w:rsidRPr="003349FC">
        <w:rPr>
          <w:rFonts w:ascii="Arial" w:hAnsi="Arial" w:cs="Arial"/>
          <w:sz w:val="24"/>
          <w:szCs w:val="24"/>
        </w:rPr>
        <w:t>AVD</w:t>
      </w:r>
      <w:r w:rsidRPr="003349FC">
        <w:rPr>
          <w:rFonts w:ascii="Arial" w:hAnsi="Arial" w:cs="Arial"/>
          <w:sz w:val="24"/>
          <w:szCs w:val="24"/>
        </w:rPr>
        <w:t xml:space="preserve"> e </w:t>
      </w:r>
      <w:r w:rsidR="00D10FEF" w:rsidRPr="003349FC">
        <w:rPr>
          <w:rFonts w:ascii="Arial" w:hAnsi="Arial" w:cs="Arial"/>
          <w:sz w:val="24"/>
          <w:szCs w:val="24"/>
        </w:rPr>
        <w:t>à</w:t>
      </w:r>
      <w:r w:rsidRPr="003349FC">
        <w:rPr>
          <w:rFonts w:ascii="Arial" w:hAnsi="Arial" w:cs="Arial"/>
          <w:sz w:val="24"/>
          <w:szCs w:val="24"/>
        </w:rPr>
        <w:t xml:space="preserve"> frequê</w:t>
      </w:r>
      <w:r w:rsidR="004F084D" w:rsidRPr="003349FC">
        <w:rPr>
          <w:rFonts w:ascii="Arial" w:hAnsi="Arial" w:cs="Arial"/>
          <w:sz w:val="24"/>
          <w:szCs w:val="24"/>
        </w:rPr>
        <w:t xml:space="preserve">ncia de intervenções cirúrgicas. </w:t>
      </w:r>
      <w:r w:rsidR="006969CC" w:rsidRPr="003349FC">
        <w:rPr>
          <w:rFonts w:ascii="Arial" w:hAnsi="Arial" w:cs="Arial"/>
          <w:sz w:val="24"/>
          <w:szCs w:val="24"/>
        </w:rPr>
        <w:t>Os</w:t>
      </w:r>
      <w:r w:rsidR="004F084D" w:rsidRPr="003349FC">
        <w:rPr>
          <w:rFonts w:ascii="Arial" w:hAnsi="Arial" w:cs="Arial"/>
          <w:sz w:val="24"/>
          <w:szCs w:val="24"/>
        </w:rPr>
        <w:t xml:space="preserve"> pacientes foram comparados a </w:t>
      </w:r>
      <w:r w:rsidRPr="003349FC">
        <w:rPr>
          <w:rFonts w:ascii="Arial" w:hAnsi="Arial" w:cs="Arial"/>
          <w:sz w:val="24"/>
          <w:szCs w:val="24"/>
        </w:rPr>
        <w:t>indivíduos saudáveis, pacientes sem tratamento</w:t>
      </w:r>
      <w:r w:rsidRPr="003F585B">
        <w:rPr>
          <w:rFonts w:ascii="Arial" w:hAnsi="Arial" w:cs="Arial"/>
          <w:sz w:val="24"/>
          <w:szCs w:val="24"/>
        </w:rPr>
        <w:t xml:space="preserve">, pacientes tratados </w:t>
      </w:r>
      <w:r w:rsidR="004F084D">
        <w:rPr>
          <w:rFonts w:ascii="Arial" w:hAnsi="Arial" w:cs="Arial"/>
          <w:sz w:val="24"/>
          <w:szCs w:val="24"/>
        </w:rPr>
        <w:t>com TRE e à</w:t>
      </w:r>
      <w:r w:rsidR="00D10FEF">
        <w:rPr>
          <w:rFonts w:ascii="Arial" w:hAnsi="Arial" w:cs="Arial"/>
          <w:sz w:val="24"/>
          <w:szCs w:val="24"/>
        </w:rPr>
        <w:t>queles submetidos a t</w:t>
      </w:r>
      <w:r w:rsidR="00B6518E">
        <w:rPr>
          <w:rFonts w:ascii="Arial" w:hAnsi="Arial" w:cs="Arial"/>
          <w:sz w:val="24"/>
          <w:szCs w:val="24"/>
        </w:rPr>
        <w:t xml:space="preserve">ransplante com </w:t>
      </w:r>
      <w:r w:rsidR="00D10FEF">
        <w:rPr>
          <w:rFonts w:ascii="Arial" w:hAnsi="Arial" w:cs="Arial"/>
          <w:sz w:val="24"/>
          <w:szCs w:val="24"/>
        </w:rPr>
        <w:t>c</w:t>
      </w:r>
      <w:r w:rsidR="00B6518E">
        <w:rPr>
          <w:rFonts w:ascii="Arial" w:hAnsi="Arial" w:cs="Arial"/>
          <w:sz w:val="24"/>
          <w:szCs w:val="24"/>
        </w:rPr>
        <w:t>élulas-</w:t>
      </w:r>
      <w:r w:rsidR="00D10FEF">
        <w:rPr>
          <w:rFonts w:ascii="Arial" w:hAnsi="Arial" w:cs="Arial"/>
          <w:sz w:val="24"/>
          <w:szCs w:val="24"/>
        </w:rPr>
        <w:t>tronco h</w:t>
      </w:r>
      <w:r w:rsidR="004F084D">
        <w:rPr>
          <w:rFonts w:ascii="Arial" w:hAnsi="Arial" w:cs="Arial"/>
          <w:sz w:val="24"/>
          <w:szCs w:val="24"/>
        </w:rPr>
        <w:t xml:space="preserve">ematopoéticas (TCTH). Os achados apontaram que </w:t>
      </w:r>
      <w:r w:rsidR="006969CC">
        <w:rPr>
          <w:rFonts w:ascii="Arial" w:hAnsi="Arial" w:cs="Arial"/>
          <w:sz w:val="24"/>
          <w:szCs w:val="24"/>
        </w:rPr>
        <w:t>pacientes</w:t>
      </w:r>
      <w:r w:rsidRPr="003F585B">
        <w:rPr>
          <w:rFonts w:ascii="Arial" w:hAnsi="Arial" w:cs="Arial"/>
          <w:sz w:val="24"/>
          <w:szCs w:val="24"/>
        </w:rPr>
        <w:t xml:space="preserve"> com fenótipo grave </w:t>
      </w:r>
      <w:r w:rsidR="004F084D">
        <w:rPr>
          <w:rFonts w:ascii="Arial" w:hAnsi="Arial" w:cs="Arial"/>
          <w:sz w:val="24"/>
          <w:szCs w:val="24"/>
        </w:rPr>
        <w:t xml:space="preserve">da doença </w:t>
      </w:r>
      <w:r w:rsidRPr="003F585B">
        <w:rPr>
          <w:rFonts w:ascii="Arial" w:hAnsi="Arial" w:cs="Arial"/>
          <w:sz w:val="24"/>
          <w:szCs w:val="24"/>
        </w:rPr>
        <w:t>apresentaram menor escore nos domínios relacionados à motricidade</w:t>
      </w:r>
      <w:r w:rsidR="00B54C9F">
        <w:rPr>
          <w:rFonts w:ascii="Arial" w:hAnsi="Arial" w:cs="Arial"/>
          <w:sz w:val="24"/>
          <w:szCs w:val="24"/>
        </w:rPr>
        <w:t xml:space="preserve"> e à motricidade com</w:t>
      </w:r>
      <w:r w:rsidRPr="003F585B">
        <w:rPr>
          <w:rFonts w:ascii="Arial" w:hAnsi="Arial" w:cs="Arial"/>
          <w:sz w:val="24"/>
          <w:szCs w:val="24"/>
        </w:rPr>
        <w:t xml:space="preserve"> cognição, comparados </w:t>
      </w:r>
      <w:r w:rsidR="00D54854">
        <w:rPr>
          <w:rFonts w:ascii="Arial" w:hAnsi="Arial" w:cs="Arial"/>
          <w:sz w:val="24"/>
          <w:szCs w:val="24"/>
        </w:rPr>
        <w:t>àqueles</w:t>
      </w:r>
      <w:r w:rsidRPr="003F585B">
        <w:rPr>
          <w:rFonts w:ascii="Arial" w:hAnsi="Arial" w:cs="Arial"/>
          <w:sz w:val="24"/>
          <w:szCs w:val="24"/>
        </w:rPr>
        <w:t xml:space="preserve"> com fenótipo atenuado e </w:t>
      </w:r>
      <w:r w:rsidR="00B54C9F">
        <w:rPr>
          <w:rFonts w:ascii="Arial" w:hAnsi="Arial" w:cs="Arial"/>
          <w:sz w:val="24"/>
          <w:szCs w:val="24"/>
        </w:rPr>
        <w:t>a</w:t>
      </w:r>
      <w:r w:rsidRPr="003F585B">
        <w:rPr>
          <w:rFonts w:ascii="Arial" w:hAnsi="Arial" w:cs="Arial"/>
          <w:sz w:val="24"/>
          <w:szCs w:val="24"/>
        </w:rPr>
        <w:t xml:space="preserve">os indivíduos saudáveis. </w:t>
      </w:r>
      <w:r w:rsidR="00D10FEF">
        <w:rPr>
          <w:rFonts w:ascii="Arial" w:hAnsi="Arial" w:cs="Arial"/>
          <w:sz w:val="24"/>
          <w:szCs w:val="24"/>
        </w:rPr>
        <w:t>De</w:t>
      </w:r>
      <w:r w:rsidRPr="003F585B">
        <w:rPr>
          <w:rFonts w:ascii="Arial" w:hAnsi="Arial" w:cs="Arial"/>
          <w:sz w:val="24"/>
          <w:szCs w:val="24"/>
        </w:rPr>
        <w:t>ntre os pacientes com função cognitiva mais baixa</w:t>
      </w:r>
      <w:r w:rsidR="00D10FEF">
        <w:rPr>
          <w:rFonts w:ascii="Arial" w:hAnsi="Arial" w:cs="Arial"/>
          <w:sz w:val="24"/>
          <w:szCs w:val="24"/>
        </w:rPr>
        <w:t>,</w:t>
      </w:r>
      <w:r w:rsidRPr="003F585B">
        <w:rPr>
          <w:rFonts w:ascii="Arial" w:hAnsi="Arial" w:cs="Arial"/>
          <w:sz w:val="24"/>
          <w:szCs w:val="24"/>
        </w:rPr>
        <w:t xml:space="preserve"> incluíam-se </w:t>
      </w:r>
      <w:r w:rsidR="00D54854">
        <w:rPr>
          <w:rFonts w:ascii="Arial" w:hAnsi="Arial" w:cs="Arial"/>
          <w:sz w:val="24"/>
          <w:szCs w:val="24"/>
        </w:rPr>
        <w:t>indivíduos restritos</w:t>
      </w:r>
      <w:r w:rsidRPr="003F585B">
        <w:rPr>
          <w:rFonts w:ascii="Arial" w:hAnsi="Arial" w:cs="Arial"/>
          <w:sz w:val="24"/>
          <w:szCs w:val="24"/>
        </w:rPr>
        <w:t xml:space="preserve"> ao leito, com comprometimento respir</w:t>
      </w:r>
      <w:r w:rsidR="00D10FEF">
        <w:rPr>
          <w:rFonts w:ascii="Arial" w:hAnsi="Arial" w:cs="Arial"/>
          <w:sz w:val="24"/>
          <w:szCs w:val="24"/>
        </w:rPr>
        <w:t xml:space="preserve">atório e </w:t>
      </w:r>
      <w:r w:rsidR="007D7966">
        <w:rPr>
          <w:rFonts w:ascii="Arial" w:hAnsi="Arial" w:cs="Arial"/>
          <w:sz w:val="24"/>
          <w:szCs w:val="24"/>
        </w:rPr>
        <w:t xml:space="preserve">com quadro de </w:t>
      </w:r>
      <w:r w:rsidR="00D10FEF">
        <w:rPr>
          <w:rFonts w:ascii="Arial" w:hAnsi="Arial" w:cs="Arial"/>
          <w:sz w:val="24"/>
          <w:szCs w:val="24"/>
        </w:rPr>
        <w:t>hipoacusia.</w:t>
      </w:r>
      <w:r w:rsidRPr="003F585B">
        <w:rPr>
          <w:rFonts w:ascii="Arial" w:hAnsi="Arial" w:cs="Arial"/>
          <w:sz w:val="24"/>
          <w:szCs w:val="24"/>
        </w:rPr>
        <w:t xml:space="preserve"> </w:t>
      </w:r>
      <w:r w:rsidR="00D54854">
        <w:rPr>
          <w:rFonts w:ascii="Arial" w:hAnsi="Arial" w:cs="Arial"/>
          <w:sz w:val="24"/>
          <w:szCs w:val="24"/>
        </w:rPr>
        <w:t>Ainda s</w:t>
      </w:r>
      <w:r w:rsidR="007D7966">
        <w:rPr>
          <w:rFonts w:ascii="Arial" w:hAnsi="Arial" w:cs="Arial"/>
          <w:sz w:val="24"/>
          <w:szCs w:val="24"/>
        </w:rPr>
        <w:t xml:space="preserve">egundo os autores do referido estudo, </w:t>
      </w:r>
      <w:r w:rsidRPr="003F585B">
        <w:rPr>
          <w:rFonts w:ascii="Arial" w:hAnsi="Arial" w:cs="Arial"/>
          <w:sz w:val="24"/>
          <w:szCs w:val="24"/>
        </w:rPr>
        <w:t>a cognição reduzida</w:t>
      </w:r>
      <w:r w:rsidR="007D7966">
        <w:rPr>
          <w:rFonts w:ascii="Arial" w:hAnsi="Arial" w:cs="Arial"/>
          <w:sz w:val="24"/>
          <w:szCs w:val="24"/>
        </w:rPr>
        <w:t xml:space="preserve"> pode</w:t>
      </w:r>
      <w:r w:rsidRPr="003F585B">
        <w:rPr>
          <w:rFonts w:ascii="Arial" w:hAnsi="Arial" w:cs="Arial"/>
          <w:sz w:val="24"/>
          <w:szCs w:val="24"/>
        </w:rPr>
        <w:t xml:space="preserve"> dificultar o aprendizado e a participação social</w:t>
      </w:r>
      <w:r w:rsidR="00081167">
        <w:rPr>
          <w:rFonts w:ascii="Arial" w:hAnsi="Arial" w:cs="Arial"/>
          <w:sz w:val="24"/>
          <w:szCs w:val="24"/>
        </w:rPr>
        <w:t>.</w:t>
      </w:r>
      <w:r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"10.1016/j.ymgme.2016.04.005.Activity", "author" : [ { "dropping-particle" : "", "family" : "Yasuda", "given" : "Eriko", "non-dropping-particle" : "", "parse-names" : false, "suffix" : "" }, { "dropping-particle" : "", "family" : "Suzuki", "given" : "Yasuyuki", "non-dropping-particle" : "", "parse-names" : false, "suffix" : "" }, { "dropping-particle" : "", "family" : "Shimada", "given" : "Tsutomu", "non-dropping-particle" : "", "parse-names" : false, "suffix" : "" }, { "dropping-particle" : "", "family" : "Sawamoto", "given" : "Kazuki", "non-dropping-particle" : "", "parse-names" : false, "suffix" : "" }, { "dropping-particle" : "", "family" : "William", "given" : "G", "non-dropping-particle" : "", "parse-names" : false, "suffix" : "" }, { "dropping-particle" : "", "family" : "Theroux", "given" : "Mary C", "non-dropping-particle" : "", "parse-names" : false, "suffix" : "" }, { "dropping-particle" : "", "family" : "Pizarro", "given" : "Christian", "non-dropping-particle" : "", "parse-names" : false, "suffix" : "" }, { "dropping-particle" : "", "family" : "Xie", "given" : "Li", "non-dropping-particle" : "", "parse-names" : false, "suffix" : "" }, { "dropping-particle" : "", "family" : "Miller", "given" : "Freeman", "non-dropping-particle" : "", "parse-names" : false, "suffix" : "" }, { "dropping-particle" : "", "family" : "Rahman", "given" : "Tariq", "non-dropping-particle" : "", "parse-names" : false, "suffix" : "" }, { "dropping-particle" : "", "family" : "Kecskemethy", "given" : "Heidi H", "non-dropping-particle" : "", "parse-names" : false, "suffix" : "" }, { "dropping-particle" : "", "family" : "Nagao", "given" : "Kyoko", "non-dropping-particle" : "", "parse-names" : false, "suffix" : "" }, { "dropping-particle" : "", "family" : "Morlet", "given" : "Thierry", "non-dropping-particle" : "", "parse-names" : false, "suffix" : "" }, { "dropping-particle" : "", "family" : "Shaffer", "given" : "Thomas H", "non-dropping-particle" : "", "parse-names" : false, "suffix" : "" }, { "dropping-particle" : "", "family" : "Yabe", "given" : "Hiromasa", "non-dropping-particle" : "", "parse-names" : false, "suffix" : "" }, { "dropping-particle" : "", "family" : "Tanaka", "given" : "Akemi", "non-dropping-particle" : "", "parse-names" : false, "suffix" : "" }, { "dropping-particle" : "", "family" : "Shintaku", "given" : "Haruo", "non-dropping-particle" : "", "parse-names" : false, "suffix" : "" }, { "dropping-particle" : "", "family" : "Orii", "given" : "Kenji E", "non-dropping-particle" : "", "parse-names" : false, "suffix" : "" }, { "dropping-particle" : "", "family" : "Orii", "given" : "Koji O", "non-dropping-particle" : "", "parse-names" : false, "suffix" : "" }, { "dropping-particle" : "", "family" : "Mason", "given" : "Robert W", "non-dropping-particle" : "", "parse-names" : false, "suffix" : "" }, { "dropping-particle" : "", "family" : "Fukao", "given" : "Toshiyuki", "non-dropping-particle" : "", "parse-names" : false, "suffix" : "" }, { "dropping-particle" : "", "family" : "Orii", "given" : "Tadao", "non-dropping-particle" : "", "parse-names" : false, "suffix" : "" } ], "container-title" : "Mol Genet Metab", "id" : "ITEM-1", "issue" : "2", "issued" : { "date-parts" : [ [ "2016" ] ] }, "page" : "111-122", "title" : "Activity of daily living for Morquio A syndrome", "type" : "article-journal", "volume" : "118" }, "uris" : [ "http://www.mendeley.com/documents/?uuid=0b22010b-6f58-466a-938c-19b4cc158254" ] } ], "mendeley" : { "formattedCitation" : "&lt;sup&gt;29&lt;/sup&gt;", "plainTextFormattedCitation" : "29", "previouslyFormattedCitation" : "&lt;sup&gt;29&lt;/sup&gt;" }, "properties" : { "noteIndex" : 0 }, "schema" : "https://github.com/citation-style-language/schema/raw/master/csl-citation.json" }</w:instrText>
      </w:r>
      <w:r w:rsidRPr="003F585B">
        <w:rPr>
          <w:rFonts w:ascii="Arial" w:hAnsi="Arial" w:cs="Arial"/>
          <w:sz w:val="24"/>
          <w:szCs w:val="24"/>
        </w:rPr>
        <w:fldChar w:fldCharType="separate"/>
      </w:r>
      <w:r w:rsidR="001F649C" w:rsidRPr="001F649C">
        <w:rPr>
          <w:rFonts w:ascii="Arial" w:hAnsi="Arial" w:cs="Arial"/>
          <w:noProof/>
          <w:sz w:val="24"/>
          <w:szCs w:val="24"/>
          <w:vertAlign w:val="superscript"/>
        </w:rPr>
        <w:t>29</w:t>
      </w:r>
      <w:r w:rsidRPr="003F585B">
        <w:rPr>
          <w:rFonts w:ascii="Arial" w:hAnsi="Arial" w:cs="Arial"/>
          <w:sz w:val="24"/>
          <w:szCs w:val="24"/>
        </w:rPr>
        <w:fldChar w:fldCharType="end"/>
      </w:r>
    </w:p>
    <w:p w:rsidR="00A62F69" w:rsidRDefault="00A62F69" w:rsidP="00491682">
      <w:pPr>
        <w:spacing w:after="0" w:line="360" w:lineRule="auto"/>
        <w:jc w:val="both"/>
        <w:rPr>
          <w:rFonts w:ascii="Arial" w:hAnsi="Arial" w:cs="Arial"/>
          <w:sz w:val="24"/>
          <w:szCs w:val="24"/>
        </w:rPr>
      </w:pPr>
    </w:p>
    <w:p w:rsidR="00195481" w:rsidRDefault="00EB34BF" w:rsidP="00491682">
      <w:pPr>
        <w:spacing w:after="0" w:line="360" w:lineRule="auto"/>
        <w:jc w:val="both"/>
        <w:rPr>
          <w:rFonts w:ascii="Arial" w:hAnsi="Arial" w:cs="Arial"/>
          <w:sz w:val="24"/>
          <w:szCs w:val="24"/>
        </w:rPr>
      </w:pPr>
      <w:r w:rsidRPr="003F585B">
        <w:rPr>
          <w:rFonts w:ascii="Arial" w:hAnsi="Arial" w:cs="Arial"/>
          <w:sz w:val="24"/>
          <w:szCs w:val="24"/>
        </w:rPr>
        <w:t>Em relação à necessidade de intervenção cirúrgica, o</w:t>
      </w:r>
      <w:r w:rsidR="00D15451">
        <w:rPr>
          <w:rFonts w:ascii="Arial" w:hAnsi="Arial" w:cs="Arial"/>
          <w:sz w:val="24"/>
          <w:szCs w:val="24"/>
        </w:rPr>
        <w:t xml:space="preserve"> estudo</w:t>
      </w:r>
      <w:r w:rsidR="00195481">
        <w:rPr>
          <w:rFonts w:ascii="Arial" w:hAnsi="Arial" w:cs="Arial"/>
          <w:sz w:val="24"/>
          <w:szCs w:val="24"/>
        </w:rPr>
        <w:t xml:space="preserve"> em análise aponta </w:t>
      </w:r>
      <w:r w:rsidR="00195481" w:rsidRPr="003F585B">
        <w:rPr>
          <w:rFonts w:ascii="Arial" w:hAnsi="Arial" w:cs="Arial"/>
          <w:sz w:val="24"/>
          <w:szCs w:val="24"/>
        </w:rPr>
        <w:t>que os sítios cirúrgicos mais frequentes foram membros inferiores</w:t>
      </w:r>
      <w:r w:rsidR="00195481">
        <w:rPr>
          <w:rFonts w:ascii="Arial" w:hAnsi="Arial" w:cs="Arial"/>
          <w:sz w:val="24"/>
          <w:szCs w:val="24"/>
        </w:rPr>
        <w:t xml:space="preserve"> (quadril e perna) e coluna.</w:t>
      </w:r>
      <w:r w:rsidR="004E3414">
        <w:rPr>
          <w:rFonts w:ascii="Arial" w:hAnsi="Arial" w:cs="Arial"/>
          <w:sz w:val="24"/>
          <w:szCs w:val="24"/>
        </w:rPr>
        <w:fldChar w:fldCharType="begin" w:fldLock="1"/>
      </w:r>
      <w:r w:rsidR="004E3414">
        <w:rPr>
          <w:rFonts w:ascii="Arial" w:hAnsi="Arial" w:cs="Arial"/>
          <w:sz w:val="24"/>
          <w:szCs w:val="24"/>
        </w:rPr>
        <w:instrText>ADDIN CSL_CITATION { "citationItems" : [ { "id" : "ITEM-1", "itemData" : { "DOI" : "10.1016/j.ymgme.2016.04.005.Activity", "author" : [ { "dropping-particle" : "", "family" : "Yasuda", "given" : "Eriko", "non-dropping-particle" : "", "parse-names" : false, "suffix" : "" }, { "dropping-particle" : "", "family" : "Suzuki", "given" : "Yasuyuki", "non-dropping-particle" : "", "parse-names" : false, "suffix" : "" }, { "dropping-particle" : "", "family" : "Shimada", "given" : "Tsutomu", "non-dropping-particle" : "", "parse-names" : false, "suffix" : "" }, { "dropping-particle" : "", "family" : "Sawamoto", "given" : "Kazuki", "non-dropping-particle" : "", "parse-names" : false, "suffix" : "" }, { "dropping-particle" : "", "family" : "William", "given" : "G", "non-dropping-particle" : "", "parse-names" : false, "suffix" : "" }, { "dropping-particle" : "", "family" : "Theroux", "given" : "Mary C", "non-dropping-particle" : "", "parse-names" : false, "suffix" : "" }, { "dropping-particle" : "", "family" : "Pizarro", "given" : "Christian", "non-dropping-particle" : "", "parse-names" : false, "suffix" : "" }, { "dropping-particle" : "", "family" : "Xie", "given" : "Li", "non-dropping-particle" : "", "parse-names" : false, "suffix" : "" }, { "dropping-particle" : "", "family" : "Miller", "given" : "Freeman", "non-dropping-particle" : "", "parse-names" : false, "suffix" : "" }, { "dropping-particle" : "", "family" : "Rahman", "given" : "Tariq", "non-dropping-particle" : "", "parse-names" : false, "suffix" : "" }, { "dropping-particle" : "", "family" : "Kecskemethy", "given" : "Heidi H", "non-dropping-particle" : "", "parse-names" : false, "suffix" : "" }, { "dropping-particle" : "", "family" : "Nagao", "given" : "Kyoko", "non-dropping-particle" : "", "parse-names" : false, "suffix" : "" }, { "dropping-particle" : "", "family" : "Morlet", "given" : "Thierry", "non-dropping-particle" : "", "parse-names" : false, "suffix" : "" }, { "dropping-particle" : "", "family" : "Shaffer", "given" : "Thomas H", "non-dropping-particle" : "", "parse-names" : false, "suffix" : "" }, { "dropping-particle" : "", "family" : "Yabe", "given" : "Hiromasa", "non-dropping-particle" : "", "parse-names" : false, "suffix" : "" }, { "dropping-particle" : "", "family" : "Tanaka", "given" : "Akemi", "non-dropping-particle" : "", "parse-names" : false, "suffix" : "" }, { "dropping-particle" : "", "family" : "Shintaku", "given" : "Haruo", "non-dropping-particle" : "", "parse-names" : false, "suffix" : "" }, { "dropping-particle" : "", "family" : "Orii", "given" : "Kenji E", "non-dropping-particle" : "", "parse-names" : false, "suffix" : "" }, { "dropping-particle" : "", "family" : "Orii", "given" : "Koji O", "non-dropping-particle" : "", "parse-names" : false, "suffix" : "" }, { "dropping-particle" : "", "family" : "Mason", "given" : "Robert W", "non-dropping-particle" : "", "parse-names" : false, "suffix" : "" }, { "dropping-particle" : "", "family" : "Fukao", "given" : "Toshiyuki", "non-dropping-particle" : "", "parse-names" : false, "suffix" : "" }, { "dropping-particle" : "", "family" : "Orii", "given" : "Tadao", "non-dropping-particle" : "", "parse-names" : false, "suffix" : "" } ], "container-title" : "Mol Genet Metab", "id" : "ITEM-1", "issue" : "2", "issued" : { "date-parts" : [ [ "2016" ] ] }, "page" : "111-122", "title" : "Activity of daily living for Morquio A syndrome", "type" : "article-journal", "volume" : "118" }, "uris" : [ "http://www.mendeley.com/documents/?uuid=0b22010b-6f58-466a-938c-19b4cc158254" ] } ], "mendeley" : { "formattedCitation" : "&lt;sup&gt;29&lt;/sup&gt;", "plainTextFormattedCitation" : "29", "previouslyFormattedCitation" : "&lt;sup&gt;29&lt;/sup&gt;" }, "properties" : { "noteIndex" : 0 }, "schema" : "https://github.com/citation-style-language/schema/raw/master/csl-citation.json" }</w:instrText>
      </w:r>
      <w:r w:rsidR="004E3414">
        <w:rPr>
          <w:rFonts w:ascii="Arial" w:hAnsi="Arial" w:cs="Arial"/>
          <w:sz w:val="24"/>
          <w:szCs w:val="24"/>
        </w:rPr>
        <w:fldChar w:fldCharType="separate"/>
      </w:r>
      <w:r w:rsidR="004E3414" w:rsidRPr="004E3414">
        <w:rPr>
          <w:rFonts w:ascii="Arial" w:hAnsi="Arial" w:cs="Arial"/>
          <w:noProof/>
          <w:sz w:val="24"/>
          <w:szCs w:val="24"/>
          <w:vertAlign w:val="superscript"/>
        </w:rPr>
        <w:t>29</w:t>
      </w:r>
      <w:r w:rsidR="004E3414">
        <w:rPr>
          <w:rFonts w:ascii="Arial" w:hAnsi="Arial" w:cs="Arial"/>
          <w:sz w:val="24"/>
          <w:szCs w:val="24"/>
        </w:rPr>
        <w:fldChar w:fldCharType="end"/>
      </w:r>
      <w:r w:rsidR="006A1EF9">
        <w:rPr>
          <w:rFonts w:ascii="Arial" w:hAnsi="Arial" w:cs="Arial"/>
          <w:sz w:val="24"/>
          <w:szCs w:val="24"/>
        </w:rPr>
        <w:t xml:space="preserve"> P</w:t>
      </w:r>
      <w:r w:rsidRPr="003F585B">
        <w:rPr>
          <w:rFonts w:ascii="Arial" w:hAnsi="Arial" w:cs="Arial"/>
          <w:sz w:val="24"/>
          <w:szCs w:val="24"/>
        </w:rPr>
        <w:t>acientes submetidos a TCTH realizaram menos cirurgias</w:t>
      </w:r>
      <w:r w:rsidR="006A1EF9">
        <w:rPr>
          <w:rFonts w:ascii="Arial" w:hAnsi="Arial" w:cs="Arial"/>
          <w:sz w:val="24"/>
          <w:szCs w:val="24"/>
        </w:rPr>
        <w:t xml:space="preserve"> </w:t>
      </w:r>
      <w:r w:rsidR="006A1EF9" w:rsidRPr="003F585B">
        <w:rPr>
          <w:rFonts w:ascii="Arial" w:hAnsi="Arial" w:cs="Arial"/>
          <w:sz w:val="24"/>
          <w:szCs w:val="24"/>
        </w:rPr>
        <w:t xml:space="preserve">e apresentaram maior capacidade para realizar </w:t>
      </w:r>
      <w:r w:rsidR="00601BE4">
        <w:rPr>
          <w:rFonts w:ascii="Arial" w:hAnsi="Arial" w:cs="Arial"/>
          <w:sz w:val="24"/>
          <w:szCs w:val="24"/>
        </w:rPr>
        <w:t>AVD</w:t>
      </w:r>
      <w:r w:rsidR="00D15451">
        <w:rPr>
          <w:rFonts w:ascii="Arial" w:hAnsi="Arial" w:cs="Arial"/>
          <w:sz w:val="24"/>
          <w:szCs w:val="24"/>
        </w:rPr>
        <w:t>,</w:t>
      </w:r>
      <w:r w:rsidRPr="003F585B">
        <w:rPr>
          <w:rFonts w:ascii="Arial" w:hAnsi="Arial" w:cs="Arial"/>
          <w:sz w:val="24"/>
          <w:szCs w:val="24"/>
        </w:rPr>
        <w:t xml:space="preserve"> comparados aos indivíduos sem tratamento. </w:t>
      </w:r>
      <w:r w:rsidR="00D15451">
        <w:rPr>
          <w:rFonts w:ascii="Arial" w:hAnsi="Arial" w:cs="Arial"/>
          <w:sz w:val="24"/>
          <w:szCs w:val="24"/>
        </w:rPr>
        <w:t>A</w:t>
      </w:r>
      <w:r w:rsidRPr="003F585B">
        <w:rPr>
          <w:rFonts w:ascii="Arial" w:hAnsi="Arial" w:cs="Arial"/>
          <w:sz w:val="24"/>
          <w:szCs w:val="24"/>
        </w:rPr>
        <w:t xml:space="preserve"> maior capacidade para execução </w:t>
      </w:r>
      <w:r w:rsidR="006A1EF9">
        <w:rPr>
          <w:rFonts w:ascii="Arial" w:hAnsi="Arial" w:cs="Arial"/>
          <w:sz w:val="24"/>
          <w:szCs w:val="24"/>
        </w:rPr>
        <w:t>dessas atividades</w:t>
      </w:r>
      <w:r w:rsidR="00D15451">
        <w:rPr>
          <w:rFonts w:ascii="Arial" w:hAnsi="Arial" w:cs="Arial"/>
          <w:sz w:val="24"/>
          <w:szCs w:val="24"/>
        </w:rPr>
        <w:t xml:space="preserve">, de acordo com os </w:t>
      </w:r>
      <w:r w:rsidR="006A1EF9">
        <w:rPr>
          <w:rFonts w:ascii="Arial" w:hAnsi="Arial" w:cs="Arial"/>
          <w:sz w:val="24"/>
          <w:szCs w:val="24"/>
        </w:rPr>
        <w:t>pesquisadores</w:t>
      </w:r>
      <w:r w:rsidR="00D15451">
        <w:rPr>
          <w:rFonts w:ascii="Arial" w:hAnsi="Arial" w:cs="Arial"/>
          <w:sz w:val="24"/>
          <w:szCs w:val="24"/>
        </w:rPr>
        <w:t>, não estava</w:t>
      </w:r>
      <w:r w:rsidR="00601BE4">
        <w:rPr>
          <w:rFonts w:ascii="Arial" w:hAnsi="Arial" w:cs="Arial"/>
          <w:sz w:val="24"/>
          <w:szCs w:val="24"/>
        </w:rPr>
        <w:t xml:space="preserve"> relacionada às</w:t>
      </w:r>
      <w:r w:rsidRPr="003F585B">
        <w:rPr>
          <w:rFonts w:ascii="Arial" w:hAnsi="Arial" w:cs="Arial"/>
          <w:sz w:val="24"/>
          <w:szCs w:val="24"/>
        </w:rPr>
        <w:t xml:space="preserve"> correções cirúrgicas, mas, aos </w:t>
      </w:r>
      <w:r w:rsidR="006A1EF9">
        <w:rPr>
          <w:rFonts w:ascii="Arial" w:hAnsi="Arial" w:cs="Arial"/>
          <w:sz w:val="24"/>
          <w:szCs w:val="24"/>
        </w:rPr>
        <w:t xml:space="preserve">prováveis </w:t>
      </w:r>
      <w:r w:rsidRPr="003F585B">
        <w:rPr>
          <w:rFonts w:ascii="Arial" w:hAnsi="Arial" w:cs="Arial"/>
          <w:sz w:val="24"/>
          <w:szCs w:val="24"/>
        </w:rPr>
        <w:t>benefícios gerados pelo TCTH ao tecido ósseo, principalmente quando reali</w:t>
      </w:r>
      <w:r w:rsidR="00195481">
        <w:rPr>
          <w:rFonts w:ascii="Arial" w:hAnsi="Arial" w:cs="Arial"/>
          <w:sz w:val="24"/>
          <w:szCs w:val="24"/>
        </w:rPr>
        <w:t>zado na fase inicial da doença.</w:t>
      </w:r>
      <w:r w:rsidR="00195481">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"10.1016/j.ymgme.2016.04.005.Activity", "author" : [ { "dropping-particle" : "", "family" : "Yasuda", "given" : "Eriko", "non-dropping-particle" : "", "parse-names" : false, "suffix" : "" }, { "dropping-particle" : "", "family" : "Suzuki", "given" : "Yasuyuki", "non-dropping-particle" : "", "parse-names" : false, "suffix" : "" }, { "dropping-particle" : "", "family" : "Shimada", "given" : "Tsutomu", "non-dropping-particle" : "", "parse-names" : false, "suffix" : "" }, { "dropping-particle" : "", "family" : "Sawamoto", "given" : "Kazuki", "non-dropping-particle" : "", "parse-names" : false, "suffix" : "" }, { "dropping-particle" : "", "family" : "William", "given" : "G", "non-dropping-particle" : "", "parse-names" : false, "suffix" : "" }, { "dropping-particle" : "", "family" : "Theroux", "given" : "Mary C", "non-dropping-particle" : "", "parse-names" : false, "suffix" : "" }, { "dropping-particle" : "", "family" : "Pizarro", "given" : "Christian", "non-dropping-particle" : "", "parse-names" : false, "suffix" : "" }, { "dropping-particle" : "", "family" : "Xie", "given" : "Li", "non-dropping-particle" : "", "parse-names" : false, "suffix" : "" }, { "dropping-particle" : "", "family" : "Miller", "given" : "Freeman", "non-dropping-particle" : "", "parse-names" : false, "suffix" : "" }, { "dropping-particle" : "", "family" : "Rahman", "given" : "Tariq", "non-dropping-particle" : "", "parse-names" : false, "suffix" : "" }, { "dropping-particle" : "", "family" : "Kecskemethy", "given" : "Heidi H", "non-dropping-particle" : "", "parse-names" : false, "suffix" : "" }, { "dropping-particle" : "", "family" : "Nagao", "given" : "Kyoko", "non-dropping-particle" : "", "parse-names" : false, "suffix" : "" }, { "dropping-particle" : "", "family" : "Morlet", "given" : "Thierry", "non-dropping-particle" : "", "parse-names" : false, "suffix" : "" }, { "dropping-particle" : "", "family" : "Shaffer", "given" : "Thomas H", "non-dropping-particle" : "", "parse-names" : false, "suffix" : "" }, { "dropping-particle" : "", "family" : "Yabe", "given" : "Hiromasa", "non-dropping-particle" : "", "parse-names" : false, "suffix" : "" }, { "dropping-particle" : "", "family" : "Tanaka", "given" : "Akemi", "non-dropping-particle" : "", "parse-names" : false, "suffix" : "" }, { "dropping-particle" : "", "family" : "Shintaku", "given" : "Haruo", "non-dropping-particle" : "", "parse-names" : false, "suffix" : "" }, { "dropping-particle" : "", "family" : "Orii", "given" : "Kenji E", "non-dropping-particle" : "", "parse-names" : false, "suffix" : "" }, { "dropping-particle" : "", "family" : "Orii", "given" : "Koji O", "non-dropping-particle" : "", "parse-names" : false, "suffix" : "" }, { "dropping-particle" : "", "family" : "Mason", "given" : "Robert W", "non-dropping-particle" : "", "parse-names" : false, "suffix" : "" }, { "dropping-particle" : "", "family" : "Fukao", "given" : "Toshiyuki", "non-dropping-particle" : "", "parse-names" : false, "suffix" : "" }, { "dropping-particle" : "", "family" : "Orii", "given" : "Tadao", "non-dropping-particle" : "", "parse-names" : false, "suffix" : "" } ], "container-title" : "Mol Genet Metab", "id" : "ITEM-1", "issue" : "2", "issued" : { "date-parts" : [ [ "2016" ] ] }, "page" : "111-122", "title" : "Activity of daily living for Morquio A syndrome", "type" : "article-journal", "volume" : "118" }, "uris" : [ "http://www.mendeley.com/documents/?uuid=0b22010b-6f58-466a-938c-19b4cc158254" ] } ], "mendeley" : { "formattedCitation" : "&lt;sup&gt;29&lt;/sup&gt;", "plainTextFormattedCitation" : "29", "previouslyFormattedCitation" : "&lt;sup&gt;29&lt;/sup&gt;" }, "properties" : { "noteIndex" : 0 }, "schema" : "https://github.com/citation-style-language/schema/raw/master/csl-citation.json" }</w:instrText>
      </w:r>
      <w:r w:rsidR="00195481">
        <w:rPr>
          <w:rFonts w:ascii="Arial" w:hAnsi="Arial" w:cs="Arial"/>
          <w:sz w:val="24"/>
          <w:szCs w:val="24"/>
        </w:rPr>
        <w:fldChar w:fldCharType="separate"/>
      </w:r>
      <w:r w:rsidR="00195481" w:rsidRPr="00195481">
        <w:rPr>
          <w:rFonts w:ascii="Arial" w:hAnsi="Arial" w:cs="Arial"/>
          <w:noProof/>
          <w:sz w:val="24"/>
          <w:szCs w:val="24"/>
          <w:vertAlign w:val="superscript"/>
        </w:rPr>
        <w:t>29</w:t>
      </w:r>
      <w:r w:rsidR="00195481">
        <w:rPr>
          <w:rFonts w:ascii="Arial" w:hAnsi="Arial" w:cs="Arial"/>
          <w:sz w:val="24"/>
          <w:szCs w:val="24"/>
        </w:rPr>
        <w:fldChar w:fldCharType="end"/>
      </w:r>
    </w:p>
    <w:p w:rsidR="00195481" w:rsidRDefault="00195481" w:rsidP="00491682">
      <w:pPr>
        <w:spacing w:after="0" w:line="360" w:lineRule="auto"/>
        <w:jc w:val="both"/>
        <w:rPr>
          <w:rFonts w:ascii="Arial" w:hAnsi="Arial" w:cs="Arial"/>
          <w:sz w:val="24"/>
          <w:szCs w:val="24"/>
        </w:rPr>
      </w:pPr>
    </w:p>
    <w:p w:rsidR="00A238D2" w:rsidRDefault="006A1EF9" w:rsidP="00491682">
      <w:pPr>
        <w:spacing w:after="0" w:line="360" w:lineRule="auto"/>
        <w:jc w:val="both"/>
        <w:rPr>
          <w:rFonts w:ascii="Arial" w:hAnsi="Arial" w:cs="Arial"/>
          <w:sz w:val="24"/>
          <w:szCs w:val="24"/>
        </w:rPr>
      </w:pPr>
      <w:r>
        <w:rPr>
          <w:rFonts w:ascii="Arial" w:hAnsi="Arial" w:cs="Arial"/>
          <w:sz w:val="24"/>
          <w:szCs w:val="24"/>
        </w:rPr>
        <w:t>Quanto a</w:t>
      </w:r>
      <w:r w:rsidR="00EB34BF" w:rsidRPr="003F585B">
        <w:rPr>
          <w:rFonts w:ascii="Arial" w:hAnsi="Arial" w:cs="Arial"/>
          <w:sz w:val="24"/>
          <w:szCs w:val="24"/>
        </w:rPr>
        <w:t xml:space="preserve">os pacientes tratados com </w:t>
      </w:r>
      <w:r>
        <w:rPr>
          <w:rFonts w:ascii="Arial" w:hAnsi="Arial" w:cs="Arial"/>
          <w:sz w:val="24"/>
          <w:szCs w:val="24"/>
        </w:rPr>
        <w:t>TRE, estes</w:t>
      </w:r>
      <w:r w:rsidR="00EB34BF" w:rsidRPr="003F585B">
        <w:rPr>
          <w:rFonts w:ascii="Arial" w:hAnsi="Arial" w:cs="Arial"/>
          <w:sz w:val="24"/>
          <w:szCs w:val="24"/>
        </w:rPr>
        <w:t xml:space="preserve"> não apresentaram redução de indicação cirúrgica quando comparados </w:t>
      </w:r>
      <w:r>
        <w:rPr>
          <w:rFonts w:ascii="Arial" w:hAnsi="Arial" w:cs="Arial"/>
          <w:sz w:val="24"/>
          <w:szCs w:val="24"/>
        </w:rPr>
        <w:t>aos indivíduo</w:t>
      </w:r>
      <w:r w:rsidR="00EB34BF" w:rsidRPr="003F585B">
        <w:rPr>
          <w:rFonts w:ascii="Arial" w:hAnsi="Arial" w:cs="Arial"/>
          <w:sz w:val="24"/>
          <w:szCs w:val="24"/>
        </w:rPr>
        <w:t>s sem tratamento</w:t>
      </w:r>
      <w:r>
        <w:rPr>
          <w:rFonts w:ascii="Arial" w:hAnsi="Arial" w:cs="Arial"/>
          <w:sz w:val="24"/>
          <w:szCs w:val="24"/>
        </w:rPr>
        <w:t xml:space="preserve">; </w:t>
      </w:r>
      <w:r w:rsidR="00EB34BF" w:rsidRPr="003F585B">
        <w:rPr>
          <w:rFonts w:ascii="Arial" w:hAnsi="Arial" w:cs="Arial"/>
          <w:sz w:val="24"/>
          <w:szCs w:val="24"/>
        </w:rPr>
        <w:t xml:space="preserve">os pacientes com fenótipo grave </w:t>
      </w:r>
      <w:r>
        <w:rPr>
          <w:rFonts w:ascii="Arial" w:hAnsi="Arial" w:cs="Arial"/>
          <w:sz w:val="24"/>
          <w:szCs w:val="24"/>
        </w:rPr>
        <w:t xml:space="preserve">tiveram </w:t>
      </w:r>
      <w:r w:rsidR="00EB34BF" w:rsidRPr="003F585B">
        <w:rPr>
          <w:rFonts w:ascii="Arial" w:hAnsi="Arial" w:cs="Arial"/>
          <w:sz w:val="24"/>
          <w:szCs w:val="24"/>
        </w:rPr>
        <w:t>maior frequência cirúrgica do que os com fenótipo atenuado da MPS IV-A.</w:t>
      </w:r>
      <w:r w:rsidR="0034299A">
        <w:rPr>
          <w:rFonts w:ascii="Arial" w:hAnsi="Arial" w:cs="Arial"/>
          <w:sz w:val="24"/>
          <w:szCs w:val="24"/>
        </w:rPr>
        <w:t xml:space="preserve"> </w:t>
      </w:r>
      <w:r w:rsidR="00EB34BF" w:rsidRPr="003F585B">
        <w:rPr>
          <w:rFonts w:ascii="Arial" w:hAnsi="Arial" w:cs="Arial"/>
          <w:sz w:val="24"/>
          <w:szCs w:val="24"/>
        </w:rPr>
        <w:t>Estes resultados podem ser justificados pela diferença quanto ao tempo de tratamento</w:t>
      </w:r>
      <w:r>
        <w:rPr>
          <w:rFonts w:ascii="Arial" w:hAnsi="Arial" w:cs="Arial"/>
          <w:sz w:val="24"/>
          <w:szCs w:val="24"/>
        </w:rPr>
        <w:t xml:space="preserve"> </w:t>
      </w:r>
      <w:r w:rsidR="00EB34BF" w:rsidRPr="003F585B">
        <w:rPr>
          <w:rFonts w:ascii="Arial" w:hAnsi="Arial" w:cs="Arial"/>
          <w:sz w:val="24"/>
          <w:szCs w:val="24"/>
        </w:rPr>
        <w:t xml:space="preserve">– </w:t>
      </w:r>
      <w:r>
        <w:rPr>
          <w:rFonts w:ascii="Arial" w:hAnsi="Arial" w:cs="Arial"/>
          <w:sz w:val="24"/>
          <w:szCs w:val="24"/>
        </w:rPr>
        <w:t>pacientes</w:t>
      </w:r>
      <w:r w:rsidR="00EB34BF" w:rsidRPr="003F585B">
        <w:rPr>
          <w:rFonts w:ascii="Arial" w:hAnsi="Arial" w:cs="Arial"/>
          <w:sz w:val="24"/>
          <w:szCs w:val="24"/>
        </w:rPr>
        <w:t xml:space="preserve"> submetidos a TRE tinha</w:t>
      </w:r>
      <w:r w:rsidR="00B43B07">
        <w:rPr>
          <w:rFonts w:ascii="Arial" w:hAnsi="Arial" w:cs="Arial"/>
          <w:sz w:val="24"/>
          <w:szCs w:val="24"/>
        </w:rPr>
        <w:t>m</w:t>
      </w:r>
      <w:r w:rsidR="00EB34BF" w:rsidRPr="003F585B">
        <w:rPr>
          <w:rFonts w:ascii="Arial" w:hAnsi="Arial" w:cs="Arial"/>
          <w:sz w:val="24"/>
          <w:szCs w:val="24"/>
        </w:rPr>
        <w:t xml:space="preserve"> um tempo médio de 2,5 anos de tratamento e os tratados com TCTH</w:t>
      </w:r>
      <w:r w:rsidR="00B653CD">
        <w:rPr>
          <w:rFonts w:ascii="Arial" w:hAnsi="Arial" w:cs="Arial"/>
          <w:sz w:val="24"/>
          <w:szCs w:val="24"/>
        </w:rPr>
        <w:t>,</w:t>
      </w:r>
      <w:r w:rsidR="00EB34BF" w:rsidRPr="003F585B">
        <w:rPr>
          <w:rFonts w:ascii="Arial" w:hAnsi="Arial" w:cs="Arial"/>
          <w:sz w:val="24"/>
          <w:szCs w:val="24"/>
        </w:rPr>
        <w:t xml:space="preserve"> de 18 anos</w:t>
      </w:r>
      <w:r>
        <w:rPr>
          <w:rFonts w:ascii="Arial" w:hAnsi="Arial" w:cs="Arial"/>
          <w:sz w:val="24"/>
          <w:szCs w:val="24"/>
        </w:rPr>
        <w:t>. A</w:t>
      </w:r>
      <w:r w:rsidR="00EB34BF" w:rsidRPr="003F585B">
        <w:rPr>
          <w:rFonts w:ascii="Arial" w:hAnsi="Arial" w:cs="Arial"/>
          <w:sz w:val="24"/>
          <w:szCs w:val="24"/>
        </w:rPr>
        <w:t xml:space="preserve"> TRE pode</w:t>
      </w:r>
      <w:r w:rsidR="00B653CD">
        <w:rPr>
          <w:rFonts w:ascii="Arial" w:hAnsi="Arial" w:cs="Arial"/>
          <w:sz w:val="24"/>
          <w:szCs w:val="24"/>
        </w:rPr>
        <w:t>, portanto,</w:t>
      </w:r>
      <w:r w:rsidR="00EB34BF" w:rsidRPr="003F585B">
        <w:rPr>
          <w:rFonts w:ascii="Arial" w:hAnsi="Arial" w:cs="Arial"/>
          <w:sz w:val="24"/>
          <w:szCs w:val="24"/>
        </w:rPr>
        <w:t xml:space="preserve"> não gerar efeitos em curto período de tempo após </w:t>
      </w:r>
      <w:r>
        <w:rPr>
          <w:rFonts w:ascii="Arial" w:hAnsi="Arial" w:cs="Arial"/>
          <w:sz w:val="24"/>
          <w:szCs w:val="24"/>
        </w:rPr>
        <w:t>o início d</w:t>
      </w:r>
      <w:r w:rsidR="00EB34BF" w:rsidRPr="003F585B">
        <w:rPr>
          <w:rFonts w:ascii="Arial" w:hAnsi="Arial" w:cs="Arial"/>
          <w:sz w:val="24"/>
          <w:szCs w:val="24"/>
        </w:rPr>
        <w:t>a sua realização</w:t>
      </w:r>
      <w:r w:rsidR="00081167">
        <w:rPr>
          <w:rFonts w:ascii="Arial" w:hAnsi="Arial" w:cs="Arial"/>
          <w:sz w:val="24"/>
          <w:szCs w:val="24"/>
        </w:rPr>
        <w:t>.</w:t>
      </w:r>
      <w:r w:rsidR="00EB34BF" w:rsidRPr="003F585B">
        <w:rPr>
          <w:rFonts w:ascii="Arial" w:hAnsi="Arial" w:cs="Arial"/>
          <w:sz w:val="24"/>
          <w:szCs w:val="24"/>
        </w:rPr>
        <w:fldChar w:fldCharType="begin" w:fldLock="1"/>
      </w:r>
      <w:r w:rsidR="005C2E82">
        <w:rPr>
          <w:rFonts w:ascii="Arial" w:hAnsi="Arial" w:cs="Arial"/>
          <w:sz w:val="24"/>
          <w:szCs w:val="24"/>
        </w:rPr>
        <w:instrText>ADDIN CSL_CITATION { "citationItems" : [ { "id" : "ITEM-1", "itemData" : { "DOI" : "10.1016/j.ymgme.2016.04.005.Activity", "author" : [ { "dropping-particle" : "", "family" : "Yasuda", "given" : "Eriko", "non-dropping-particle" : "", "parse-names" : false, "suffix" : "" }, { "dropping-particle" : "", "family" : "Suzuki", "given" : "Yasuyuki", "non-dropping-particle" : "", "parse-names" : false, "suffix" : "" }, { "dropping-particle" : "", "family" : "Shimada", "given" : "Tsutomu", "non-dropping-particle" : "", "parse-names" : false, "suffix" : "" }, { "dropping-particle" : "", "family" : "Sawamoto", "given" : "Kazuki", "non-dropping-particle" : "", "parse-names" : false, "suffix" : "" }, { "dropping-particle" : "", "family" : "William", "given" : "G", "non-dropping-particle" : "", "parse-names" : false, "suffix" : "" }, { "dropping-particle" : "", "family" : "Theroux", "given" : "Mary C", "non-dropping-particle" : "", "parse-names" : false, "suffix" : "" }, { "dropping-particle" : "", "family" : "Pizarro", "given" : "Christian", "non-dropping-particle" : "", "parse-names" : false, "suffix" : "" }, { "dropping-particle" : "", "family" : "Xie", "given" : "Li", "non-dropping-particle" : "", "parse-names" : false, "suffix" : "" }, { "dropping-particle" : "", "family" : "Miller", "given" : "Freeman", "non-dropping-particle" : "", "parse-names" : false, "suffix" : "" }, { "dropping-particle" : "", "family" : "Rahman", "given" : "Tariq", "non-dropping-particle" : "", "parse-names" : false, "suffix" : "" }, { "dropping-particle" : "", "family" : "Kecskemethy", "given" : "Heidi H", "non-dropping-particle" : "", "parse-names" : false, "suffix" : "" }, { "dropping-particle" : "", "family" : "Nagao", "given" : "Kyoko", "non-dropping-particle" : "", "parse-names" : false, "suffix" : "" }, { "dropping-particle" : "", "family" : "Morlet", "given" : "Thierry", "non-dropping-particle" : "", "parse-names" : false, "suffix" : "" }, { "dropping-particle" : "", "family" : "Shaffer", "given" : "Thomas H", "non-dropping-particle" : "", "parse-names" : false, "suffix" : "" }, { "dropping-particle" : "", "family" : "Yabe", "given" : "Hiromasa", "non-dropping-particle" : "", "parse-names" : false, "suffix" : "" }, { "dropping-particle" : "", "family" : "Tanaka", "given" : "Akemi", "non-dropping-particle" : "", "parse-names" : false, "suffix" : "" }, { "dropping-particle" : "", "family" : "Shintaku", "given" : "Haruo", "non-dropping-particle" : "", "parse-names" : false, "suffix" : "" }, { "dropping-particle" : "", "family" : "Orii", "given" : "Kenji E", "non-dropping-particle" : "", "parse-names" : false, "suffix" : "" }, { "dropping-particle" : "", "family" : "Orii", "given" : "Koji O", "non-dropping-particle" : "", "parse-names" : false, "suffix" : "" }, { "dropping-particle" : "", "family" : "Mason", "given" : "Robert W", "non-dropping-particle" : "", "parse-names" : false, "suffix" : "" }, { "dropping-particle" : "", "family" : "Fukao", "given" : "Toshiyuki", "non-dropping-particle" : "", "parse-names" : false, "suffix" : "" }, { "dropping-particle" : "", "family" : "Orii", "given" : "Tadao", "non-dropping-particle" : "", "parse-names" : false, "suffix" : "" } ], "container-title" : "Mol Genet Metab", "id" : "ITEM-1", "issue" : "2", "issued" : { "date-parts" : [ [ "2016" ] ] }, "page" : "111-122", "title" : "Activity of daily living for Morquio A syndrome", "type" : "article-journal", "volume" : "118" }, "uris" : [ "http://www.mendeley.com/documents/?uuid=0b22010b-6f58-466a-938c-19b4cc158254" ] } ], "mendeley" : { "formattedCitation" : "&lt;sup&gt;29&lt;/sup&gt;", "plainTextFormattedCitation" : "29", "previouslyFormattedCitation" : "&lt;sup&gt;29&lt;/sup&gt;" }, "properties" : { "noteIndex" : 0 }, "schema" : "https://github.com/citation-style-language/schema/raw/master/csl-citation.json" }</w:instrText>
      </w:r>
      <w:r w:rsidR="00EB34BF" w:rsidRPr="003F585B">
        <w:rPr>
          <w:rFonts w:ascii="Arial" w:hAnsi="Arial" w:cs="Arial"/>
          <w:sz w:val="24"/>
          <w:szCs w:val="24"/>
        </w:rPr>
        <w:fldChar w:fldCharType="separate"/>
      </w:r>
      <w:r w:rsidR="001F649C" w:rsidRPr="001F649C">
        <w:rPr>
          <w:rFonts w:ascii="Arial" w:hAnsi="Arial" w:cs="Arial"/>
          <w:noProof/>
          <w:sz w:val="24"/>
          <w:szCs w:val="24"/>
          <w:vertAlign w:val="superscript"/>
        </w:rPr>
        <w:t>29</w:t>
      </w:r>
      <w:r w:rsidR="00EB34BF" w:rsidRPr="003F585B">
        <w:rPr>
          <w:rFonts w:ascii="Arial" w:hAnsi="Arial" w:cs="Arial"/>
          <w:sz w:val="24"/>
          <w:szCs w:val="24"/>
        </w:rPr>
        <w:fldChar w:fldCharType="end"/>
      </w:r>
      <w:r w:rsidR="004426EB">
        <w:rPr>
          <w:rFonts w:ascii="Arial" w:hAnsi="Arial" w:cs="Arial"/>
          <w:sz w:val="24"/>
          <w:szCs w:val="24"/>
        </w:rPr>
        <w:t xml:space="preserve"> Outra explicação para esses achados </w:t>
      </w:r>
      <w:r w:rsidR="00B653CD">
        <w:rPr>
          <w:rFonts w:ascii="Arial" w:hAnsi="Arial" w:cs="Arial"/>
          <w:sz w:val="24"/>
          <w:szCs w:val="24"/>
        </w:rPr>
        <w:t xml:space="preserve">deve-se à </w:t>
      </w:r>
      <w:r w:rsidR="004426EB">
        <w:rPr>
          <w:rFonts w:ascii="Arial" w:hAnsi="Arial" w:cs="Arial"/>
          <w:sz w:val="24"/>
          <w:szCs w:val="24"/>
        </w:rPr>
        <w:t xml:space="preserve">penetração limitada da enzima </w:t>
      </w:r>
      <w:r w:rsidR="00DA2E4A">
        <w:rPr>
          <w:rFonts w:ascii="Arial" w:hAnsi="Arial" w:cs="Arial"/>
          <w:sz w:val="24"/>
          <w:szCs w:val="24"/>
        </w:rPr>
        <w:t>recombinante</w:t>
      </w:r>
      <w:r w:rsidR="004426EB">
        <w:rPr>
          <w:rFonts w:ascii="Arial" w:hAnsi="Arial" w:cs="Arial"/>
          <w:sz w:val="24"/>
          <w:szCs w:val="24"/>
        </w:rPr>
        <w:t xml:space="preserve"> </w:t>
      </w:r>
      <w:r w:rsidR="00864112">
        <w:rPr>
          <w:rFonts w:ascii="Arial" w:hAnsi="Arial" w:cs="Arial"/>
          <w:sz w:val="24"/>
          <w:szCs w:val="24"/>
        </w:rPr>
        <w:t>em determinados tecidos</w:t>
      </w:r>
      <w:r w:rsidR="00AB5AFB">
        <w:rPr>
          <w:rFonts w:ascii="Arial" w:hAnsi="Arial" w:cs="Arial"/>
          <w:sz w:val="24"/>
          <w:szCs w:val="24"/>
        </w:rPr>
        <w:t xml:space="preserve"> (como córnea e SNC)</w:t>
      </w:r>
      <w:r w:rsidR="00327BFB">
        <w:rPr>
          <w:rFonts w:ascii="Arial" w:hAnsi="Arial" w:cs="Arial"/>
          <w:sz w:val="24"/>
          <w:szCs w:val="24"/>
        </w:rPr>
        <w:t xml:space="preserve">, fazendo com que o efeito terapêutico </w:t>
      </w:r>
      <w:r w:rsidR="0087035A">
        <w:rPr>
          <w:rFonts w:ascii="Arial" w:hAnsi="Arial" w:cs="Arial"/>
          <w:sz w:val="24"/>
          <w:szCs w:val="24"/>
        </w:rPr>
        <w:t xml:space="preserve">sobre as alterações </w:t>
      </w:r>
      <w:r w:rsidR="00AB5AFB">
        <w:rPr>
          <w:rFonts w:ascii="Arial" w:hAnsi="Arial" w:cs="Arial"/>
          <w:sz w:val="24"/>
          <w:szCs w:val="24"/>
        </w:rPr>
        <w:t>decorrentes da MPS</w:t>
      </w:r>
      <w:r w:rsidR="0087035A">
        <w:rPr>
          <w:rFonts w:ascii="Arial" w:hAnsi="Arial" w:cs="Arial"/>
          <w:sz w:val="24"/>
          <w:szCs w:val="24"/>
        </w:rPr>
        <w:t xml:space="preserve"> seja </w:t>
      </w:r>
      <w:r w:rsidR="00AB5AFB">
        <w:rPr>
          <w:rFonts w:ascii="Arial" w:hAnsi="Arial" w:cs="Arial"/>
          <w:sz w:val="24"/>
          <w:szCs w:val="24"/>
        </w:rPr>
        <w:t>restrito</w:t>
      </w:r>
      <w:r w:rsidR="0087035A">
        <w:rPr>
          <w:rFonts w:ascii="Arial" w:hAnsi="Arial" w:cs="Arial"/>
          <w:sz w:val="24"/>
          <w:szCs w:val="24"/>
        </w:rPr>
        <w:t>.</w:t>
      </w:r>
      <w:r w:rsidR="004E3414">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"10.1007/s10545-015-9900-2", "ISBN" : "1054501599", "author" : [ { "dropping-particle" : "", "family" : "Tomatsu", "given" : "S", "non-dropping-particle" : "", "parse-names" : false, "suffix" : "" }, { "dropping-particle" : "", "family" : "Azario", "given" : "I", "non-dropping-particle" : "", "parse-names" : false, "suffix" : "" }, { "dropping-particle" : "", "family" : "Sawamoto", "given" : "K", "non-dropping-particle" : "", "parse-names" : false, "suffix" : "" }, { "dropping-particle" : "", "family" : "Pievani", "given" : "AS", "non-dropping-particle" : "", "parse-names" : false, "suffix" : "" }, { "dropping-particle" : "", "family" : "Biondi", "given" : "A", "non-dropping-particle" : "", "parse-names" : false, "suffix" : "" }, { "dropping-particle" : "", "family" : "Serafini", "given" : "M", "non-dropping-particle" : "", "parse-names" : false, "suffix" : "" } ], "container-title" : "J Inherit Metab Dis", "id" : "ITEM-1", "issued" : { "date-parts" : [ [ "2016" ] ] }, "page" : "189-202", "title" : "Neonatal cellular and gene therapies for mucopolysaccharidoses: the earlier the better?", "type" : "article-journal", "volume" : "39" }, "uris" : [ "http://www.mendeley.com/documents/?uuid=52ddadac-0382-4f5c-ad9d-3580e4619a5e" ] } ], "mendeley" : { "formattedCitation" : "&lt;sup&gt;82&lt;/sup&gt;", "plainTextFormattedCitation" : "82", "previouslyFormattedCitation" : "&lt;sup&gt;82&lt;/sup&gt;" }, "properties" : { "noteIndex" : 0 }, "schema" : "https://github.com/citation-style-language/schema/raw/master/csl-citation.json" }</w:instrText>
      </w:r>
      <w:r w:rsidR="004E3414">
        <w:rPr>
          <w:rFonts w:ascii="Arial" w:hAnsi="Arial" w:cs="Arial"/>
          <w:sz w:val="24"/>
          <w:szCs w:val="24"/>
        </w:rPr>
        <w:fldChar w:fldCharType="separate"/>
      </w:r>
      <w:r w:rsidR="00412B48" w:rsidRPr="00412B48">
        <w:rPr>
          <w:rFonts w:ascii="Arial" w:hAnsi="Arial" w:cs="Arial"/>
          <w:noProof/>
          <w:sz w:val="24"/>
          <w:szCs w:val="24"/>
          <w:vertAlign w:val="superscript"/>
        </w:rPr>
        <w:t>82</w:t>
      </w:r>
      <w:r w:rsidR="004E3414">
        <w:rPr>
          <w:rFonts w:ascii="Arial" w:hAnsi="Arial" w:cs="Arial"/>
          <w:sz w:val="24"/>
          <w:szCs w:val="24"/>
        </w:rPr>
        <w:fldChar w:fldCharType="end"/>
      </w:r>
    </w:p>
    <w:p w:rsidR="00A62F69" w:rsidRDefault="00A62F69" w:rsidP="00491682">
      <w:pPr>
        <w:spacing w:after="0" w:line="360" w:lineRule="auto"/>
        <w:jc w:val="both"/>
        <w:rPr>
          <w:rFonts w:ascii="Arial" w:hAnsi="Arial" w:cs="Arial"/>
          <w:sz w:val="24"/>
          <w:szCs w:val="24"/>
        </w:rPr>
      </w:pPr>
    </w:p>
    <w:p w:rsidR="005A1D16" w:rsidRDefault="00EB34BF" w:rsidP="00491682">
      <w:pPr>
        <w:spacing w:after="0" w:line="360" w:lineRule="auto"/>
        <w:jc w:val="both"/>
        <w:rPr>
          <w:rFonts w:ascii="Arial" w:hAnsi="Arial" w:cs="Arial"/>
          <w:sz w:val="24"/>
        </w:rPr>
      </w:pPr>
      <w:r w:rsidRPr="003F585B">
        <w:rPr>
          <w:rFonts w:ascii="Arial" w:hAnsi="Arial" w:cs="Arial"/>
          <w:sz w:val="24"/>
          <w:szCs w:val="24"/>
        </w:rPr>
        <w:t xml:space="preserve">Os dados disponíveis na literatura atual </w:t>
      </w:r>
      <w:r w:rsidR="00600FC1">
        <w:rPr>
          <w:rFonts w:ascii="Arial" w:hAnsi="Arial" w:cs="Arial"/>
          <w:sz w:val="24"/>
          <w:szCs w:val="24"/>
        </w:rPr>
        <w:t xml:space="preserve">confirmam que </w:t>
      </w:r>
      <w:r w:rsidRPr="003F585B">
        <w:rPr>
          <w:rFonts w:ascii="Arial" w:hAnsi="Arial" w:cs="Arial"/>
          <w:sz w:val="24"/>
          <w:szCs w:val="24"/>
        </w:rPr>
        <w:t xml:space="preserve">a independência funcional </w:t>
      </w:r>
      <w:r w:rsidR="00600FC1">
        <w:rPr>
          <w:rFonts w:ascii="Arial" w:hAnsi="Arial" w:cs="Arial"/>
          <w:sz w:val="24"/>
          <w:szCs w:val="24"/>
        </w:rPr>
        <w:t>de pacientes com MPS</w:t>
      </w:r>
      <w:r w:rsidRPr="003F585B">
        <w:rPr>
          <w:rFonts w:ascii="Arial" w:hAnsi="Arial" w:cs="Arial"/>
          <w:sz w:val="24"/>
          <w:szCs w:val="24"/>
        </w:rPr>
        <w:t xml:space="preserve"> encontra-se comprometida e apresenta relação direta com a </w:t>
      </w:r>
      <w:r w:rsidRPr="003F585B">
        <w:rPr>
          <w:rFonts w:ascii="Arial" w:hAnsi="Arial" w:cs="Arial"/>
          <w:sz w:val="24"/>
          <w:szCs w:val="24"/>
        </w:rPr>
        <w:lastRenderedPageBreak/>
        <w:t>gravidade das manifestações clínicas, particularmente, das alterações somáticas que repercutem sobre o sistema musculoesquelético e suas estruturas</w:t>
      </w:r>
      <w:r w:rsidR="00BE12A9">
        <w:rPr>
          <w:rFonts w:ascii="Arial" w:hAnsi="Arial" w:cs="Arial"/>
          <w:sz w:val="24"/>
          <w:szCs w:val="24"/>
        </w:rPr>
        <w:t xml:space="preserve"> (</w:t>
      </w:r>
      <w:r w:rsidR="00826C9A">
        <w:rPr>
          <w:rFonts w:ascii="Arial" w:hAnsi="Arial" w:cs="Arial"/>
          <w:sz w:val="24"/>
          <w:szCs w:val="24"/>
        </w:rPr>
        <w:t>mão, quadril, joelho, tornozelo</w:t>
      </w:r>
      <w:r w:rsidRPr="003F585B">
        <w:rPr>
          <w:rFonts w:ascii="Arial" w:hAnsi="Arial" w:cs="Arial"/>
          <w:sz w:val="24"/>
          <w:szCs w:val="24"/>
        </w:rPr>
        <w:t xml:space="preserve"> e pé</w:t>
      </w:r>
      <w:r w:rsidR="00BE12A9">
        <w:rPr>
          <w:rFonts w:ascii="Arial" w:hAnsi="Arial" w:cs="Arial"/>
          <w:sz w:val="24"/>
          <w:szCs w:val="24"/>
        </w:rPr>
        <w:t>)</w:t>
      </w:r>
      <w:r w:rsidRPr="003F585B">
        <w:rPr>
          <w:rFonts w:ascii="Arial" w:hAnsi="Arial" w:cs="Arial"/>
          <w:sz w:val="24"/>
          <w:szCs w:val="24"/>
        </w:rPr>
        <w:t xml:space="preserve">. Além disto, o comprometimento </w:t>
      </w:r>
      <w:r w:rsidR="00195481">
        <w:rPr>
          <w:rFonts w:ascii="Arial" w:hAnsi="Arial" w:cs="Arial"/>
          <w:sz w:val="24"/>
          <w:szCs w:val="24"/>
        </w:rPr>
        <w:t>cardior</w:t>
      </w:r>
      <w:r w:rsidRPr="003F585B">
        <w:rPr>
          <w:rFonts w:ascii="Arial" w:hAnsi="Arial" w:cs="Arial"/>
          <w:sz w:val="24"/>
          <w:szCs w:val="24"/>
        </w:rPr>
        <w:t xml:space="preserve">respiratório e neurológico têm sido apontados como </w:t>
      </w:r>
      <w:r w:rsidR="00600FC1">
        <w:rPr>
          <w:rFonts w:ascii="Arial" w:hAnsi="Arial" w:cs="Arial"/>
          <w:sz w:val="24"/>
          <w:szCs w:val="24"/>
        </w:rPr>
        <w:t xml:space="preserve">outros </w:t>
      </w:r>
      <w:r w:rsidRPr="003F585B">
        <w:rPr>
          <w:rFonts w:ascii="Arial" w:hAnsi="Arial" w:cs="Arial"/>
          <w:sz w:val="24"/>
          <w:szCs w:val="24"/>
        </w:rPr>
        <w:t xml:space="preserve">fatores </w:t>
      </w:r>
      <w:r w:rsidR="00DB7160">
        <w:rPr>
          <w:rFonts w:ascii="Arial" w:hAnsi="Arial" w:cs="Arial"/>
          <w:sz w:val="24"/>
          <w:szCs w:val="24"/>
        </w:rPr>
        <w:t>com</w:t>
      </w:r>
      <w:r w:rsidRPr="003F585B">
        <w:rPr>
          <w:rFonts w:ascii="Arial" w:hAnsi="Arial" w:cs="Arial"/>
          <w:sz w:val="24"/>
          <w:szCs w:val="24"/>
        </w:rPr>
        <w:t xml:space="preserve"> importante associação com a </w:t>
      </w:r>
      <w:r w:rsidR="00600FC1">
        <w:rPr>
          <w:rFonts w:ascii="Arial" w:hAnsi="Arial" w:cs="Arial"/>
          <w:sz w:val="24"/>
          <w:szCs w:val="24"/>
        </w:rPr>
        <w:t>funcionalidade</w:t>
      </w:r>
      <w:r w:rsidRPr="003F585B">
        <w:rPr>
          <w:rFonts w:ascii="Arial" w:hAnsi="Arial" w:cs="Arial"/>
          <w:sz w:val="24"/>
          <w:szCs w:val="24"/>
        </w:rPr>
        <w:t>.</w:t>
      </w:r>
      <w:r>
        <w:rPr>
          <w:rFonts w:ascii="Arial" w:hAnsi="Arial" w:cs="Arial"/>
          <w:sz w:val="24"/>
          <w:szCs w:val="24"/>
        </w:rPr>
        <w:t xml:space="preserve"> Considerando a condição crônica e incapacitante desta doenç</w:t>
      </w:r>
      <w:r w:rsidR="000356B9">
        <w:rPr>
          <w:rFonts w:ascii="Arial" w:hAnsi="Arial" w:cs="Arial"/>
          <w:sz w:val="24"/>
          <w:szCs w:val="24"/>
        </w:rPr>
        <w:t xml:space="preserve">a, julga-se importante avaliar </w:t>
      </w:r>
      <w:r w:rsidR="00600FC1">
        <w:rPr>
          <w:rFonts w:ascii="Arial" w:hAnsi="Arial" w:cs="Arial"/>
          <w:sz w:val="24"/>
          <w:szCs w:val="24"/>
        </w:rPr>
        <w:t xml:space="preserve">também </w:t>
      </w:r>
      <w:r w:rsidR="00F54588">
        <w:rPr>
          <w:rFonts w:ascii="Arial" w:hAnsi="Arial" w:cs="Arial"/>
          <w:sz w:val="24"/>
          <w:szCs w:val="24"/>
        </w:rPr>
        <w:t>as altera</w:t>
      </w:r>
      <w:r w:rsidR="000356B9">
        <w:rPr>
          <w:rFonts w:ascii="Arial" w:hAnsi="Arial" w:cs="Arial"/>
          <w:sz w:val="24"/>
          <w:szCs w:val="24"/>
        </w:rPr>
        <w:t>ções geradas</w:t>
      </w:r>
      <w:r>
        <w:rPr>
          <w:rFonts w:ascii="Arial" w:hAnsi="Arial" w:cs="Arial"/>
          <w:sz w:val="24"/>
          <w:szCs w:val="24"/>
        </w:rPr>
        <w:t xml:space="preserve"> pela MPS na </w:t>
      </w:r>
      <w:r w:rsidR="00E620EB">
        <w:rPr>
          <w:rFonts w:ascii="Arial" w:hAnsi="Arial" w:cs="Arial"/>
          <w:sz w:val="24"/>
          <w:szCs w:val="24"/>
        </w:rPr>
        <w:t>QVRS</w:t>
      </w:r>
      <w:r>
        <w:rPr>
          <w:rFonts w:ascii="Arial" w:hAnsi="Arial" w:cs="Arial"/>
          <w:sz w:val="24"/>
          <w:szCs w:val="24"/>
        </w:rPr>
        <w:t xml:space="preserve"> dos indivíduos acometidos</w:t>
      </w:r>
      <w:r w:rsidR="00E012C6">
        <w:rPr>
          <w:rFonts w:ascii="Arial" w:hAnsi="Arial" w:cs="Arial"/>
          <w:sz w:val="24"/>
          <w:szCs w:val="24"/>
        </w:rPr>
        <w:t>.</w:t>
      </w:r>
    </w:p>
    <w:p w:rsidR="005A1D16" w:rsidRDefault="005A1D16" w:rsidP="005A1D16">
      <w:pPr>
        <w:spacing w:after="0" w:line="360" w:lineRule="auto"/>
        <w:jc w:val="both"/>
        <w:rPr>
          <w:rFonts w:ascii="Arial" w:hAnsi="Arial" w:cs="Arial"/>
          <w:sz w:val="24"/>
        </w:rPr>
      </w:pPr>
    </w:p>
    <w:p w:rsidR="005A1D16" w:rsidRPr="00E012C6" w:rsidRDefault="0060179D" w:rsidP="004D4A6B">
      <w:pPr>
        <w:pStyle w:val="Ttulo1"/>
      </w:pPr>
      <w:bookmarkStart w:id="13" w:name="_Toc496749605"/>
      <w:r>
        <w:t>3.3</w:t>
      </w:r>
      <w:r w:rsidR="00E012C6" w:rsidRPr="00E012C6">
        <w:t xml:space="preserve"> Qualidade de vida relacionada à saúde</w:t>
      </w:r>
      <w:bookmarkEnd w:id="13"/>
    </w:p>
    <w:p w:rsidR="00E012C6" w:rsidRDefault="00E012C6" w:rsidP="005A1D16">
      <w:pPr>
        <w:spacing w:after="0" w:line="360" w:lineRule="auto"/>
        <w:jc w:val="both"/>
        <w:rPr>
          <w:rFonts w:ascii="Arial" w:hAnsi="Arial" w:cs="Arial"/>
          <w:sz w:val="24"/>
        </w:rPr>
      </w:pPr>
    </w:p>
    <w:p w:rsidR="002B321A" w:rsidRDefault="00EC4DDB" w:rsidP="00491682">
      <w:pPr>
        <w:spacing w:after="0" w:line="360" w:lineRule="auto"/>
        <w:jc w:val="both"/>
        <w:rPr>
          <w:rFonts w:ascii="Arial" w:hAnsi="Arial" w:cs="Arial"/>
          <w:sz w:val="24"/>
        </w:rPr>
      </w:pPr>
      <w:r>
        <w:rPr>
          <w:rFonts w:ascii="Arial" w:hAnsi="Arial" w:cs="Arial"/>
          <w:sz w:val="24"/>
        </w:rPr>
        <w:t>O diagnóstico</w:t>
      </w:r>
      <w:r w:rsidR="00717D3D">
        <w:rPr>
          <w:rFonts w:ascii="Arial" w:hAnsi="Arial" w:cs="Arial"/>
          <w:sz w:val="24"/>
        </w:rPr>
        <w:t xml:space="preserve"> de doença crônic</w:t>
      </w:r>
      <w:r w:rsidR="00244A54">
        <w:rPr>
          <w:rFonts w:ascii="Arial" w:hAnsi="Arial" w:cs="Arial"/>
          <w:sz w:val="24"/>
        </w:rPr>
        <w:t>a</w:t>
      </w:r>
      <w:r w:rsidR="00717D3D">
        <w:rPr>
          <w:rFonts w:ascii="Arial" w:hAnsi="Arial" w:cs="Arial"/>
          <w:sz w:val="24"/>
        </w:rPr>
        <w:t xml:space="preserve"> no período da infância e adolescência </w:t>
      </w:r>
      <w:r w:rsidR="00244A54">
        <w:rPr>
          <w:rFonts w:ascii="Arial" w:hAnsi="Arial" w:cs="Arial"/>
          <w:sz w:val="24"/>
        </w:rPr>
        <w:t xml:space="preserve">predispõe os indivíduos </w:t>
      </w:r>
      <w:r w:rsidR="009B6C30">
        <w:rPr>
          <w:rFonts w:ascii="Arial" w:hAnsi="Arial" w:cs="Arial"/>
          <w:sz w:val="24"/>
        </w:rPr>
        <w:t>a</w:t>
      </w:r>
      <w:r w:rsidR="00244A54">
        <w:rPr>
          <w:rFonts w:ascii="Arial" w:hAnsi="Arial" w:cs="Arial"/>
          <w:sz w:val="24"/>
        </w:rPr>
        <w:t xml:space="preserve"> situações como hospitalizações prolongadas, </w:t>
      </w:r>
      <w:r w:rsidR="00DB2D8D">
        <w:rPr>
          <w:rFonts w:ascii="Arial" w:hAnsi="Arial" w:cs="Arial"/>
          <w:sz w:val="24"/>
        </w:rPr>
        <w:t>reinternações</w:t>
      </w:r>
      <w:r w:rsidR="00244A54">
        <w:rPr>
          <w:rFonts w:ascii="Arial" w:hAnsi="Arial" w:cs="Arial"/>
          <w:sz w:val="24"/>
        </w:rPr>
        <w:t xml:space="preserve">, afastamento de seus familiares durante o internamento, interrupção das </w:t>
      </w:r>
      <w:r w:rsidR="009B6C30">
        <w:rPr>
          <w:rFonts w:ascii="Arial" w:hAnsi="Arial" w:cs="Arial"/>
          <w:sz w:val="24"/>
        </w:rPr>
        <w:t xml:space="preserve">atividades diárias, angústia e </w:t>
      </w:r>
      <w:r w:rsidR="00244A54">
        <w:rPr>
          <w:rFonts w:ascii="Arial" w:hAnsi="Arial" w:cs="Arial"/>
          <w:sz w:val="24"/>
        </w:rPr>
        <w:t>medo da possibilidade de morte.</w:t>
      </w:r>
      <w:r w:rsidR="00A46999">
        <w:rPr>
          <w:rFonts w:ascii="Arial" w:hAnsi="Arial" w:cs="Arial"/>
          <w:sz w:val="24"/>
        </w:rPr>
        <w:fldChar w:fldCharType="begin" w:fldLock="1"/>
      </w:r>
      <w:r w:rsidR="00195481">
        <w:rPr>
          <w:rFonts w:ascii="Arial" w:hAnsi="Arial" w:cs="Arial"/>
          <w:sz w:val="24"/>
        </w:rPr>
        <w:instrText>ADDIN CSL_CITATION { "citationItems" : [ { "id" : "ITEM-1", "itemData" : { "DOI" : "http://dx.doi.org/10.1590/S0080-62342005000400014", "author" : [ { "dropping-particle" : "", "family" : "Nascimento", "given" : "Lucila C.", "non-dropping-particle" : "", "parse-names" : false, "suffix" : "" }, { "dropping-particle" : "", "family" : "Rocha", "given" : "Semiramis M.M.", "non-dropping-particle" : "", "parse-names" : false, "suffix" : "" }, { "dropping-particle" : "", "family" : "Hayes", "given" : "Virginia H.", "non-dropping-particle" : "", "parse-names" : false, "suffix" : "" }, { "dropping-particle" : "", "family" : "Lima", "given" : "Regina Aparecida G.", "non-dropping-particle" : "", "parse-names" : false, "suffix" : "" } ], "container-title" : "Rev Esc Enferm USP", "id" : "ITEM-1", "issue" : "4", "issued" : { "date-parts" : [ [ "2005" ] ] }, "page" : "469-474", "title" : "Children with cancer their families", "type" : "article-journal", "volume" : "39" }, "uris" : [ "http://www.mendeley.com/documents/?uuid=46f825fa-1804-4cc1-ac83-1cb5dee17b84" ] } ], "mendeley" : { "formattedCitation" : "&lt;sup&gt;84&lt;/sup&gt;", "plainTextFormattedCitation" : "84", "previouslyFormattedCitation" : "&lt;sup&gt;84&lt;/sup&gt;" }, "properties" : { "noteIndex" : 0 }, "schema" : "https://github.com/citation-style-language/schema/raw/master/csl-citation.json" }</w:instrText>
      </w:r>
      <w:r w:rsidR="00A46999">
        <w:rPr>
          <w:rFonts w:ascii="Arial" w:hAnsi="Arial" w:cs="Arial"/>
          <w:sz w:val="24"/>
        </w:rPr>
        <w:fldChar w:fldCharType="separate"/>
      </w:r>
      <w:r w:rsidR="00412B48" w:rsidRPr="00412B48">
        <w:rPr>
          <w:rFonts w:ascii="Arial" w:hAnsi="Arial" w:cs="Arial"/>
          <w:noProof/>
          <w:sz w:val="24"/>
          <w:vertAlign w:val="superscript"/>
        </w:rPr>
        <w:t>84</w:t>
      </w:r>
      <w:r w:rsidR="00A46999">
        <w:rPr>
          <w:rFonts w:ascii="Arial" w:hAnsi="Arial" w:cs="Arial"/>
          <w:sz w:val="24"/>
        </w:rPr>
        <w:fldChar w:fldCharType="end"/>
      </w:r>
      <w:r w:rsidR="00244A54">
        <w:rPr>
          <w:rFonts w:ascii="Arial" w:hAnsi="Arial" w:cs="Arial"/>
          <w:sz w:val="24"/>
        </w:rPr>
        <w:t xml:space="preserve"> </w:t>
      </w:r>
      <w:r w:rsidR="008B5252">
        <w:rPr>
          <w:rFonts w:ascii="Arial" w:hAnsi="Arial" w:cs="Arial"/>
          <w:sz w:val="24"/>
        </w:rPr>
        <w:t>O</w:t>
      </w:r>
      <w:r w:rsidR="006D0B2B">
        <w:rPr>
          <w:rFonts w:ascii="Arial" w:hAnsi="Arial" w:cs="Arial"/>
          <w:sz w:val="24"/>
        </w:rPr>
        <w:t xml:space="preserve"> convívio com </w:t>
      </w:r>
      <w:r w:rsidR="008B5252">
        <w:rPr>
          <w:rFonts w:ascii="Arial" w:hAnsi="Arial" w:cs="Arial"/>
          <w:sz w:val="24"/>
        </w:rPr>
        <w:t>ess</w:t>
      </w:r>
      <w:r w:rsidR="00F36F4B">
        <w:rPr>
          <w:rFonts w:ascii="Arial" w:hAnsi="Arial" w:cs="Arial"/>
          <w:sz w:val="24"/>
        </w:rPr>
        <w:t>es</w:t>
      </w:r>
      <w:r w:rsidR="002112D4">
        <w:rPr>
          <w:rFonts w:ascii="Arial" w:hAnsi="Arial" w:cs="Arial"/>
          <w:sz w:val="24"/>
        </w:rPr>
        <w:t xml:space="preserve"> e outros</w:t>
      </w:r>
      <w:r w:rsidR="00F36F4B">
        <w:rPr>
          <w:rFonts w:ascii="Arial" w:hAnsi="Arial" w:cs="Arial"/>
          <w:sz w:val="24"/>
        </w:rPr>
        <w:t xml:space="preserve"> fatores</w:t>
      </w:r>
      <w:r w:rsidR="008B5252">
        <w:rPr>
          <w:rFonts w:ascii="Arial" w:hAnsi="Arial" w:cs="Arial"/>
          <w:sz w:val="24"/>
        </w:rPr>
        <w:t xml:space="preserve"> </w:t>
      </w:r>
      <w:r w:rsidR="005E6707">
        <w:rPr>
          <w:rFonts w:ascii="Arial" w:hAnsi="Arial" w:cs="Arial"/>
          <w:sz w:val="24"/>
        </w:rPr>
        <w:t xml:space="preserve">traz repercussões </w:t>
      </w:r>
      <w:r w:rsidR="00333FFD">
        <w:rPr>
          <w:rFonts w:ascii="Arial" w:hAnsi="Arial" w:cs="Arial"/>
          <w:sz w:val="24"/>
        </w:rPr>
        <w:t>a</w:t>
      </w:r>
      <w:r w:rsidR="00A67632">
        <w:rPr>
          <w:rFonts w:ascii="Arial" w:hAnsi="Arial" w:cs="Arial"/>
          <w:sz w:val="24"/>
        </w:rPr>
        <w:t xml:space="preserve">os sujeitos </w:t>
      </w:r>
      <w:r w:rsidR="0094370B">
        <w:rPr>
          <w:rFonts w:ascii="Arial" w:hAnsi="Arial" w:cs="Arial"/>
          <w:sz w:val="24"/>
        </w:rPr>
        <w:t>em condições</w:t>
      </w:r>
      <w:r w:rsidR="00EF4C75">
        <w:rPr>
          <w:rFonts w:ascii="Arial" w:hAnsi="Arial" w:cs="Arial"/>
          <w:sz w:val="24"/>
        </w:rPr>
        <w:t xml:space="preserve"> crônicas </w:t>
      </w:r>
      <w:r w:rsidR="00A67632">
        <w:rPr>
          <w:rFonts w:ascii="Arial" w:hAnsi="Arial" w:cs="Arial"/>
          <w:sz w:val="24"/>
        </w:rPr>
        <w:t>e</w:t>
      </w:r>
      <w:r w:rsidR="00E617D3">
        <w:rPr>
          <w:rFonts w:ascii="Arial" w:hAnsi="Arial" w:cs="Arial"/>
          <w:sz w:val="24"/>
        </w:rPr>
        <w:t>, também,</w:t>
      </w:r>
      <w:r w:rsidR="00A67632">
        <w:rPr>
          <w:rFonts w:ascii="Arial" w:hAnsi="Arial" w:cs="Arial"/>
          <w:sz w:val="24"/>
        </w:rPr>
        <w:t xml:space="preserve"> </w:t>
      </w:r>
      <w:r w:rsidR="00333FFD">
        <w:rPr>
          <w:rFonts w:ascii="Arial" w:hAnsi="Arial" w:cs="Arial"/>
          <w:sz w:val="24"/>
        </w:rPr>
        <w:t>à</w:t>
      </w:r>
      <w:r w:rsidR="00A67632">
        <w:rPr>
          <w:rFonts w:ascii="Arial" w:hAnsi="Arial" w:cs="Arial"/>
          <w:sz w:val="24"/>
        </w:rPr>
        <w:t>s</w:t>
      </w:r>
      <w:r w:rsidR="00333FFD">
        <w:rPr>
          <w:rFonts w:ascii="Arial" w:hAnsi="Arial" w:cs="Arial"/>
          <w:sz w:val="24"/>
        </w:rPr>
        <w:t xml:space="preserve"> suas</w:t>
      </w:r>
      <w:r w:rsidR="00A67632">
        <w:rPr>
          <w:rFonts w:ascii="Arial" w:hAnsi="Arial" w:cs="Arial"/>
          <w:sz w:val="24"/>
        </w:rPr>
        <w:t xml:space="preserve"> famílias</w:t>
      </w:r>
      <w:r w:rsidR="00E617D3">
        <w:rPr>
          <w:rFonts w:ascii="Arial" w:hAnsi="Arial" w:cs="Arial"/>
          <w:sz w:val="24"/>
        </w:rPr>
        <w:t>, interferindo</w:t>
      </w:r>
      <w:r w:rsidR="008B5252">
        <w:rPr>
          <w:rFonts w:ascii="Arial" w:hAnsi="Arial" w:cs="Arial"/>
          <w:sz w:val="24"/>
        </w:rPr>
        <w:t xml:space="preserve"> na QVRS dos mesmos</w:t>
      </w:r>
      <w:r w:rsidR="00A67632">
        <w:rPr>
          <w:rFonts w:ascii="Arial" w:hAnsi="Arial" w:cs="Arial"/>
          <w:sz w:val="24"/>
        </w:rPr>
        <w:t>.</w:t>
      </w:r>
      <w:r w:rsidR="00A46999">
        <w:rPr>
          <w:rFonts w:ascii="Arial" w:hAnsi="Arial" w:cs="Arial"/>
          <w:sz w:val="24"/>
        </w:rPr>
        <w:fldChar w:fldCharType="begin" w:fldLock="1"/>
      </w:r>
      <w:r w:rsidR="00195481">
        <w:rPr>
          <w:rFonts w:ascii="Arial" w:hAnsi="Arial" w:cs="Arial"/>
          <w:sz w:val="24"/>
        </w:rPr>
        <w:instrText>ADDIN CSL_CITATION { "citationItems" : [ { "id" : "ITEM-1", "itemData" : { "DOI" : "10.1111/j.1651-2227.2012.02680.x", "author" : [ { "dropping-particle" : "", "family" : "Malcolm", "given" : "C", "non-dropping-particle" : "", "parse-names" : false, "suffix" : "" }, { "dropping-particle" : "", "family" : "Hain", "given" : "R", "non-dropping-particle" : "", "parse-names" : false, "suffix" : "" }, { "dropping-particle" : "", "family" : "Gibson", "given" : "F", "non-dropping-particle" : "", "parse-names" : false, "suffix" : "" }, { "dropping-particle" : "", "family" : "Adams", "given" : "S", "non-dropping-particle" : "", "parse-names" : false, "suffix" : "" }, { "dropping-particle" : "", "family" : "Anderson", "given" : "G", "non-dropping-particle" : "", "parse-names" : false, "suffix" : "" }, { "dropping-particle" : "", "family" : "Forbat", "given" : "L", "non-dropping-particle" : "", "parse-names" : false, "suffix" : "" } ], "container-title" : "Acta Paediatri", "id" : "ITEM-1", "issue" : "9", "issued" : { "date-parts" : [ [ "2012" ] ] }, "page" : "985-992", "title" : "Challenging symptoms in children with rare life-limiting conditions: findings from a prospective diary and interview study with families", "type" : "article-journal", "volume" : "101" }, "uris" : [ "http://www.mendeley.com/documents/?uuid=9367cedd-2d7b-4e67-92ba-b1d955182dfe" ] } ], "mendeley" : { "formattedCitation" : "&lt;sup&gt;85&lt;/sup&gt;", "plainTextFormattedCitation" : "85", "previouslyFormattedCitation" : "&lt;sup&gt;85&lt;/sup&gt;" }, "properties" : { "noteIndex" : 0 }, "schema" : "https://github.com/citation-style-language/schema/raw/master/csl-citation.json" }</w:instrText>
      </w:r>
      <w:r w:rsidR="00A46999">
        <w:rPr>
          <w:rFonts w:ascii="Arial" w:hAnsi="Arial" w:cs="Arial"/>
          <w:sz w:val="24"/>
        </w:rPr>
        <w:fldChar w:fldCharType="separate"/>
      </w:r>
      <w:r w:rsidR="00412B48" w:rsidRPr="00412B48">
        <w:rPr>
          <w:rFonts w:ascii="Arial" w:hAnsi="Arial" w:cs="Arial"/>
          <w:noProof/>
          <w:sz w:val="24"/>
          <w:vertAlign w:val="superscript"/>
        </w:rPr>
        <w:t>85</w:t>
      </w:r>
      <w:r w:rsidR="00A46999">
        <w:rPr>
          <w:rFonts w:ascii="Arial" w:hAnsi="Arial" w:cs="Arial"/>
          <w:sz w:val="24"/>
        </w:rPr>
        <w:fldChar w:fldCharType="end"/>
      </w:r>
    </w:p>
    <w:p w:rsidR="002E52BB" w:rsidRDefault="002E52BB" w:rsidP="00491682">
      <w:pPr>
        <w:spacing w:after="0" w:line="360" w:lineRule="auto"/>
        <w:jc w:val="both"/>
        <w:rPr>
          <w:rFonts w:ascii="Arial" w:hAnsi="Arial" w:cs="Arial"/>
          <w:sz w:val="24"/>
        </w:rPr>
      </w:pPr>
    </w:p>
    <w:p w:rsidR="004D6D4A" w:rsidRDefault="002B321A" w:rsidP="00491682">
      <w:pPr>
        <w:spacing w:after="0" w:line="360" w:lineRule="auto"/>
        <w:jc w:val="both"/>
        <w:rPr>
          <w:rFonts w:ascii="Arial" w:hAnsi="Arial" w:cs="Arial"/>
          <w:sz w:val="24"/>
        </w:rPr>
      </w:pPr>
      <w:r>
        <w:rPr>
          <w:rFonts w:ascii="Arial" w:hAnsi="Arial" w:cs="Arial"/>
          <w:sz w:val="24"/>
        </w:rPr>
        <w:t>O conceito de qualidade de vida</w:t>
      </w:r>
      <w:r w:rsidR="00320AD9">
        <w:rPr>
          <w:rFonts w:ascii="Arial" w:hAnsi="Arial" w:cs="Arial"/>
          <w:sz w:val="24"/>
        </w:rPr>
        <w:t>,</w:t>
      </w:r>
      <w:r w:rsidR="00C17458">
        <w:rPr>
          <w:rFonts w:ascii="Arial" w:hAnsi="Arial" w:cs="Arial"/>
          <w:sz w:val="24"/>
        </w:rPr>
        <w:t xml:space="preserve"> da Organização Mundial de Saúde (OMS)</w:t>
      </w:r>
      <w:r w:rsidR="00320AD9">
        <w:rPr>
          <w:rFonts w:ascii="Arial" w:hAnsi="Arial" w:cs="Arial"/>
          <w:sz w:val="24"/>
        </w:rPr>
        <w:t>,</w:t>
      </w:r>
      <w:r>
        <w:rPr>
          <w:rFonts w:ascii="Arial" w:hAnsi="Arial" w:cs="Arial"/>
          <w:sz w:val="24"/>
        </w:rPr>
        <w:t xml:space="preserve"> inter-relaciona o meio no qual o indivíduo está inserido a</w:t>
      </w:r>
      <w:r w:rsidR="00BF6464">
        <w:rPr>
          <w:rFonts w:ascii="Arial" w:hAnsi="Arial" w:cs="Arial"/>
          <w:sz w:val="24"/>
        </w:rPr>
        <w:t xml:space="preserve"> </w:t>
      </w:r>
      <w:r w:rsidR="00320AD9">
        <w:rPr>
          <w:rFonts w:ascii="Arial" w:hAnsi="Arial" w:cs="Arial"/>
          <w:sz w:val="24"/>
        </w:rPr>
        <w:t>aspecto</w:t>
      </w:r>
      <w:r w:rsidR="00BF6464">
        <w:rPr>
          <w:rFonts w:ascii="Arial" w:hAnsi="Arial" w:cs="Arial"/>
          <w:sz w:val="24"/>
        </w:rPr>
        <w:t>s físic</w:t>
      </w:r>
      <w:r w:rsidR="00320AD9">
        <w:rPr>
          <w:rFonts w:ascii="Arial" w:hAnsi="Arial" w:cs="Arial"/>
          <w:sz w:val="24"/>
        </w:rPr>
        <w:t>o</w:t>
      </w:r>
      <w:r w:rsidR="00BF6464">
        <w:rPr>
          <w:rFonts w:ascii="Arial" w:hAnsi="Arial" w:cs="Arial"/>
          <w:sz w:val="24"/>
        </w:rPr>
        <w:t>s</w:t>
      </w:r>
      <w:r w:rsidR="00C17458">
        <w:rPr>
          <w:rFonts w:ascii="Arial" w:hAnsi="Arial" w:cs="Arial"/>
          <w:sz w:val="24"/>
        </w:rPr>
        <w:t xml:space="preserve"> e</w:t>
      </w:r>
      <w:r w:rsidR="00BF6464">
        <w:rPr>
          <w:rFonts w:ascii="Arial" w:hAnsi="Arial" w:cs="Arial"/>
          <w:sz w:val="24"/>
        </w:rPr>
        <w:t xml:space="preserve"> psico</w:t>
      </w:r>
      <w:r>
        <w:rPr>
          <w:rFonts w:ascii="Arial" w:hAnsi="Arial" w:cs="Arial"/>
          <w:sz w:val="24"/>
        </w:rPr>
        <w:t>ssociais.</w:t>
      </w:r>
      <w:r w:rsidR="00D02900">
        <w:rPr>
          <w:rFonts w:ascii="Arial" w:hAnsi="Arial" w:cs="Arial"/>
          <w:sz w:val="24"/>
        </w:rPr>
        <w:fldChar w:fldCharType="begin" w:fldLock="1"/>
      </w:r>
      <w:r w:rsidR="00195481">
        <w:rPr>
          <w:rFonts w:ascii="Arial" w:hAnsi="Arial" w:cs="Arial"/>
          <w:sz w:val="24"/>
        </w:rPr>
        <w:instrText>ADDIN CSL_CITATION { "citationItems" : [ { "id" : "ITEM-1", "itemData" : { "author" : [ { "dropping-particle" : "", "family" : "Fleck", "given" : "MP", "non-dropping-particle" : "", "parse-names" : false, "suffix" : "" } ], "container-title" : "Ci\u00eancias &amp; Sa\u00fade Coletiva", "id" : "ITEM-1", "issue" : "1", "issued" : { "date-parts" : [ [ "2000" ] ] }, "page" : "33-38", "title" : "O instrumento de avalia\u00e7\u00e3o de qualidade de vida da Organiza\u00e7\u00e3o Mundial da Sa\u00fade (WHOQOL-100): caracter\u00edsticas e perspectivas", "type" : "article-journal", "volume" : "5" }, "uris" : [ "http://www.mendeley.com/documents/?uuid=4fdbf97d-89fd-40cb-95d3-326d0f3879a9" ] } ], "mendeley" : { "formattedCitation" : "&lt;sup&gt;86&lt;/sup&gt;", "plainTextFormattedCitation" : "86", "previouslyFormattedCitation" : "&lt;sup&gt;86&lt;/sup&gt;" }, "properties" : { "noteIndex" : 0 }, "schema" : "https://github.com/citation-style-language/schema/raw/master/csl-citation.json" }</w:instrText>
      </w:r>
      <w:r w:rsidR="00D02900">
        <w:rPr>
          <w:rFonts w:ascii="Arial" w:hAnsi="Arial" w:cs="Arial"/>
          <w:sz w:val="24"/>
        </w:rPr>
        <w:fldChar w:fldCharType="separate"/>
      </w:r>
      <w:r w:rsidR="00412B48" w:rsidRPr="00412B48">
        <w:rPr>
          <w:rFonts w:ascii="Arial" w:hAnsi="Arial" w:cs="Arial"/>
          <w:noProof/>
          <w:sz w:val="24"/>
          <w:vertAlign w:val="superscript"/>
        </w:rPr>
        <w:t>86</w:t>
      </w:r>
      <w:r w:rsidR="00D02900">
        <w:rPr>
          <w:rFonts w:ascii="Arial" w:hAnsi="Arial" w:cs="Arial"/>
          <w:sz w:val="24"/>
        </w:rPr>
        <w:fldChar w:fldCharType="end"/>
      </w:r>
      <w:r>
        <w:rPr>
          <w:rFonts w:ascii="Arial" w:hAnsi="Arial" w:cs="Arial"/>
          <w:sz w:val="24"/>
        </w:rPr>
        <w:t xml:space="preserve"> No contexto da saúde, </w:t>
      </w:r>
      <w:r w:rsidR="00D02900">
        <w:rPr>
          <w:rFonts w:ascii="Arial" w:hAnsi="Arial" w:cs="Arial"/>
          <w:sz w:val="24"/>
        </w:rPr>
        <w:t xml:space="preserve">a QVRS </w:t>
      </w:r>
      <w:r w:rsidR="00717A07">
        <w:rPr>
          <w:rFonts w:ascii="Arial" w:hAnsi="Arial" w:cs="Arial"/>
          <w:sz w:val="24"/>
        </w:rPr>
        <w:t xml:space="preserve">abrange </w:t>
      </w:r>
      <w:r w:rsidR="00903EB9">
        <w:rPr>
          <w:rFonts w:ascii="Arial" w:hAnsi="Arial" w:cs="Arial"/>
          <w:sz w:val="24"/>
        </w:rPr>
        <w:t>a</w:t>
      </w:r>
      <w:r w:rsidR="00717A07">
        <w:rPr>
          <w:rFonts w:ascii="Arial" w:hAnsi="Arial" w:cs="Arial"/>
          <w:sz w:val="24"/>
        </w:rPr>
        <w:t xml:space="preserve"> </w:t>
      </w:r>
      <w:r w:rsidR="00E20251">
        <w:rPr>
          <w:rFonts w:ascii="Arial" w:hAnsi="Arial" w:cs="Arial"/>
          <w:sz w:val="24"/>
        </w:rPr>
        <w:t>condição geral de saúde</w:t>
      </w:r>
      <w:r w:rsidR="00717A07">
        <w:rPr>
          <w:rFonts w:ascii="Arial" w:hAnsi="Arial" w:cs="Arial"/>
          <w:sz w:val="24"/>
        </w:rPr>
        <w:t>, prejuízos funcionais, repercussões sociais, sintomas e incapacidades.</w:t>
      </w:r>
      <w:r w:rsidR="00D02900">
        <w:rPr>
          <w:rFonts w:ascii="Arial" w:hAnsi="Arial" w:cs="Arial"/>
          <w:sz w:val="24"/>
        </w:rPr>
        <w:fldChar w:fldCharType="begin" w:fldLock="1"/>
      </w:r>
      <w:r w:rsidR="00195481">
        <w:rPr>
          <w:rFonts w:ascii="Arial" w:hAnsi="Arial" w:cs="Arial"/>
          <w:sz w:val="24"/>
        </w:rPr>
        <w:instrText>ADDIN CSL_CITATION { "citationItems" : [ { "id" : "ITEM-1", "itemData" : { "DOI" : "http://dx.doi.org/10.1590/S0103-21002008000400005", "author" : [ { "dropping-particle" : "", "family" : "Novato", "given" : "TS", "non-dropping-particle" : "", "parse-names" : false, "suffix" : "" }, { "dropping-particle" : "", "family" : "Grossi", "given" : "SA", "non-dropping-particle" : "", "parse-names" : false, "suffix" : "" }, { "dropping-particle" : "", "family" : "Kimura", "given" : "M", "non-dropping-particle" : "", "parse-names" : false, "suffix" : "" } ], "container-title" : "Acta Paul Enferm", "id" : "ITEM-1", "issue" : "4", "issued" : { "date-parts" : [ [ "2008" ] ] }, "page" : "562-567", "title" : "Qualidade de vida e auto-estima de adolescentes com diabetes mellitus", "type" : "article-journal", "volume" : "21" }, "uris" : [ "http://www.mendeley.com/documents/?uuid=77865840-19f3-4b33-aa29-11521a0669aa" ] } ], "mendeley" : { "formattedCitation" : "&lt;sup&gt;87&lt;/sup&gt;", "plainTextFormattedCitation" : "87", "previouslyFormattedCitation" : "&lt;sup&gt;87&lt;/sup&gt;" }, "properties" : { "noteIndex" : 0 }, "schema" : "https://github.com/citation-style-language/schema/raw/master/csl-citation.json" }</w:instrText>
      </w:r>
      <w:r w:rsidR="00D02900">
        <w:rPr>
          <w:rFonts w:ascii="Arial" w:hAnsi="Arial" w:cs="Arial"/>
          <w:sz w:val="24"/>
        </w:rPr>
        <w:fldChar w:fldCharType="separate"/>
      </w:r>
      <w:r w:rsidR="00412B48" w:rsidRPr="00412B48">
        <w:rPr>
          <w:rFonts w:ascii="Arial" w:hAnsi="Arial" w:cs="Arial"/>
          <w:noProof/>
          <w:sz w:val="24"/>
          <w:vertAlign w:val="superscript"/>
        </w:rPr>
        <w:t>87</w:t>
      </w:r>
      <w:r w:rsidR="00D02900">
        <w:rPr>
          <w:rFonts w:ascii="Arial" w:hAnsi="Arial" w:cs="Arial"/>
          <w:sz w:val="24"/>
        </w:rPr>
        <w:fldChar w:fldCharType="end"/>
      </w:r>
      <w:r w:rsidR="00717A07">
        <w:rPr>
          <w:rFonts w:ascii="Arial" w:hAnsi="Arial" w:cs="Arial"/>
          <w:sz w:val="24"/>
        </w:rPr>
        <w:t xml:space="preserve"> Tendo em vista que as doenças raras costumam afetar diferentes </w:t>
      </w:r>
      <w:r w:rsidR="00903EB9">
        <w:rPr>
          <w:rFonts w:ascii="Arial" w:hAnsi="Arial" w:cs="Arial"/>
          <w:sz w:val="24"/>
        </w:rPr>
        <w:t>áreas</w:t>
      </w:r>
      <w:r w:rsidR="00717A07">
        <w:rPr>
          <w:rFonts w:ascii="Arial" w:hAnsi="Arial" w:cs="Arial"/>
          <w:sz w:val="24"/>
        </w:rPr>
        <w:t xml:space="preserve"> da vida de um indivíduo, Cohen e Biesecker</w:t>
      </w:r>
      <w:r w:rsidR="0022139F">
        <w:rPr>
          <w:rFonts w:ascii="Arial" w:hAnsi="Arial" w:cs="Arial"/>
          <w:sz w:val="24"/>
        </w:rPr>
        <w:fldChar w:fldCharType="begin" w:fldLock="1"/>
      </w:r>
      <w:r w:rsidR="00195481">
        <w:rPr>
          <w:rFonts w:ascii="Arial" w:hAnsi="Arial" w:cs="Arial"/>
          <w:sz w:val="24"/>
        </w:rPr>
        <w:instrText>ADDIN CSL_CITATION { "citationItems" : [ { "id" : "ITEM-1", "itemData" : { "DOI" : "doi:10.1002/ajmg.a.33380", "author" : [ { "dropping-particle" : "", "family" : "Cohen", "given" : "JS", "non-dropping-particle" : "", "parse-names" : false, "suffix" : "" }, { "dropping-particle" : "", "family" : "Biesecker", "given" : "BB", "non-dropping-particle" : "", "parse-names" : false, "suffix" : "" } ], "container-title" : "Am J Med Genet A", "id" : "ITEM-1", "issue" : "5", "issued" : { "date-parts" : [ [ "2010" ] ] }, "page" : "1136-1156", "title" : "Quality of life in rare genetic conditions: a systematic review of the literature", "type" : "article-journal", "volume" : "152A" }, "uris" : [ "http://www.mendeley.com/documents/?uuid=41ad61cf-1500-4b1b-9ece-4228e9d50359" ] } ], "mendeley" : { "formattedCitation" : "&lt;sup&gt;88&lt;/sup&gt;", "plainTextFormattedCitation" : "88", "previouslyFormattedCitation" : "&lt;sup&gt;88&lt;/sup&gt;" }, "properties" : { "noteIndex" : 0 }, "schema" : "https://github.com/citation-style-language/schema/raw/master/csl-citation.json" }</w:instrText>
      </w:r>
      <w:r w:rsidR="0022139F">
        <w:rPr>
          <w:rFonts w:ascii="Arial" w:hAnsi="Arial" w:cs="Arial"/>
          <w:sz w:val="24"/>
        </w:rPr>
        <w:fldChar w:fldCharType="separate"/>
      </w:r>
      <w:r w:rsidR="00412B48" w:rsidRPr="00412B48">
        <w:rPr>
          <w:rFonts w:ascii="Arial" w:hAnsi="Arial" w:cs="Arial"/>
          <w:noProof/>
          <w:sz w:val="24"/>
          <w:vertAlign w:val="superscript"/>
        </w:rPr>
        <w:t>88</w:t>
      </w:r>
      <w:r w:rsidR="0022139F">
        <w:rPr>
          <w:rFonts w:ascii="Arial" w:hAnsi="Arial" w:cs="Arial"/>
          <w:sz w:val="24"/>
        </w:rPr>
        <w:fldChar w:fldCharType="end"/>
      </w:r>
      <w:r w:rsidR="002E52BB">
        <w:rPr>
          <w:rFonts w:ascii="Arial" w:hAnsi="Arial" w:cs="Arial"/>
          <w:sz w:val="24"/>
        </w:rPr>
        <w:t xml:space="preserve"> </w:t>
      </w:r>
      <w:r w:rsidR="00717A07">
        <w:rPr>
          <w:rFonts w:ascii="Arial" w:hAnsi="Arial" w:cs="Arial"/>
          <w:sz w:val="24"/>
        </w:rPr>
        <w:t>destacam a importância de vincular a condição de adaptaç</w:t>
      </w:r>
      <w:r w:rsidR="006A7D31">
        <w:rPr>
          <w:rFonts w:ascii="Arial" w:hAnsi="Arial" w:cs="Arial"/>
          <w:sz w:val="24"/>
        </w:rPr>
        <w:t>ão à</w:t>
      </w:r>
      <w:r w:rsidR="00717A07">
        <w:rPr>
          <w:rFonts w:ascii="Arial" w:hAnsi="Arial" w:cs="Arial"/>
          <w:sz w:val="24"/>
        </w:rPr>
        <w:t xml:space="preserve"> QVRS, </w:t>
      </w:r>
      <w:r w:rsidR="006A7D31">
        <w:rPr>
          <w:rFonts w:ascii="Arial" w:hAnsi="Arial" w:cs="Arial"/>
          <w:sz w:val="24"/>
        </w:rPr>
        <w:t xml:space="preserve">considerando-a como o resultado do processo de enfrentamento </w:t>
      </w:r>
      <w:r w:rsidR="00E20251">
        <w:rPr>
          <w:rFonts w:ascii="Arial" w:hAnsi="Arial" w:cs="Arial"/>
          <w:sz w:val="24"/>
        </w:rPr>
        <w:t>d</w:t>
      </w:r>
      <w:r w:rsidR="00903EB9">
        <w:rPr>
          <w:rFonts w:ascii="Arial" w:hAnsi="Arial" w:cs="Arial"/>
          <w:sz w:val="24"/>
        </w:rPr>
        <w:t>as</w:t>
      </w:r>
      <w:r w:rsidR="006A7D31">
        <w:rPr>
          <w:rFonts w:ascii="Arial" w:hAnsi="Arial" w:cs="Arial"/>
          <w:sz w:val="24"/>
        </w:rPr>
        <w:t xml:space="preserve"> situações geradas no contexto das doenças crônicas.</w:t>
      </w:r>
      <w:r w:rsidR="00AC0875">
        <w:rPr>
          <w:rFonts w:ascii="Arial" w:hAnsi="Arial" w:cs="Arial"/>
          <w:sz w:val="24"/>
        </w:rPr>
        <w:fldChar w:fldCharType="begin" w:fldLock="1"/>
      </w:r>
      <w:r w:rsidR="00195481">
        <w:rPr>
          <w:rFonts w:ascii="Arial" w:hAnsi="Arial" w:cs="Arial"/>
          <w:sz w:val="24"/>
        </w:rPr>
        <w:instrText>ADDIN CSL_CITATION { "citationItems" : [ { "id" : "ITEM-1", "itemData" : { "DOI" : "doi:10.1002/ajmg.a.33380", "author" : [ { "dropping-particle" : "", "family" : "Cohen", "given" : "JS", "non-dropping-particle" : "", "parse-names" : false, "suffix" : "" }, { "dropping-particle" : "", "family" : "Biesecker", "given" : "BB", "non-dropping-particle" : "", "parse-names" : false, "suffix" : "" } ], "container-title" : "Am J Med Genet A", "id" : "ITEM-1", "issue" : "5", "issued" : { "date-parts" : [ [ "2010" ] ] }, "page" : "1136-1156", "title" : "Quality of life in rare genetic conditions: a systematic review of the literature", "type" : "article-journal", "volume" : "152A" }, "uris" : [ "http://www.mendeley.com/documents/?uuid=41ad61cf-1500-4b1b-9ece-4228e9d50359" ] } ], "mendeley" : { "formattedCitation" : "&lt;sup&gt;88&lt;/sup&gt;", "plainTextFormattedCitation" : "88", "previouslyFormattedCitation" : "&lt;sup&gt;88&lt;/sup&gt;" }, "properties" : { "noteIndex" : 0 }, "schema" : "https://github.com/citation-style-language/schema/raw/master/csl-citation.json" }</w:instrText>
      </w:r>
      <w:r w:rsidR="00AC0875">
        <w:rPr>
          <w:rFonts w:ascii="Arial" w:hAnsi="Arial" w:cs="Arial"/>
          <w:sz w:val="24"/>
        </w:rPr>
        <w:fldChar w:fldCharType="separate"/>
      </w:r>
      <w:r w:rsidR="00412B48" w:rsidRPr="00412B48">
        <w:rPr>
          <w:rFonts w:ascii="Arial" w:hAnsi="Arial" w:cs="Arial"/>
          <w:noProof/>
          <w:sz w:val="24"/>
          <w:vertAlign w:val="superscript"/>
        </w:rPr>
        <w:t>88</w:t>
      </w:r>
      <w:r w:rsidR="00AC0875">
        <w:rPr>
          <w:rFonts w:ascii="Arial" w:hAnsi="Arial" w:cs="Arial"/>
          <w:sz w:val="24"/>
        </w:rPr>
        <w:fldChar w:fldCharType="end"/>
      </w:r>
    </w:p>
    <w:p w:rsidR="00FD3902" w:rsidRDefault="00FD3902" w:rsidP="00491682">
      <w:pPr>
        <w:spacing w:after="0" w:line="360" w:lineRule="auto"/>
        <w:jc w:val="both"/>
        <w:rPr>
          <w:rFonts w:ascii="Arial" w:hAnsi="Arial" w:cs="Arial"/>
          <w:sz w:val="24"/>
        </w:rPr>
      </w:pPr>
    </w:p>
    <w:p w:rsidR="00AB03B7" w:rsidRDefault="00AB599F" w:rsidP="00491682">
      <w:pPr>
        <w:spacing w:after="0" w:line="360" w:lineRule="auto"/>
        <w:jc w:val="both"/>
        <w:rPr>
          <w:rFonts w:ascii="Arial" w:hAnsi="Arial" w:cs="Arial"/>
          <w:sz w:val="24"/>
        </w:rPr>
      </w:pPr>
      <w:r>
        <w:rPr>
          <w:rFonts w:ascii="Arial" w:hAnsi="Arial" w:cs="Arial"/>
          <w:sz w:val="24"/>
        </w:rPr>
        <w:t>Uma grande variedade de instrumentos, genéricos e específicos, foram criados para mensura</w:t>
      </w:r>
      <w:r w:rsidR="003A0247">
        <w:rPr>
          <w:rFonts w:ascii="Arial" w:hAnsi="Arial" w:cs="Arial"/>
          <w:sz w:val="24"/>
        </w:rPr>
        <w:t xml:space="preserve">r </w:t>
      </w:r>
      <w:r>
        <w:rPr>
          <w:rFonts w:ascii="Arial" w:hAnsi="Arial" w:cs="Arial"/>
          <w:sz w:val="24"/>
        </w:rPr>
        <w:t>a QVRS. No entanto, u</w:t>
      </w:r>
      <w:r w:rsidR="009A033E">
        <w:rPr>
          <w:rFonts w:ascii="Arial" w:hAnsi="Arial" w:cs="Arial"/>
          <w:sz w:val="24"/>
        </w:rPr>
        <w:t>m estudo de revisão realizado por Souza et al.</w:t>
      </w:r>
      <w:r w:rsidR="009A033E">
        <w:rPr>
          <w:rFonts w:ascii="Arial" w:hAnsi="Arial" w:cs="Arial"/>
          <w:sz w:val="24"/>
        </w:rPr>
        <w:fldChar w:fldCharType="begin" w:fldLock="1"/>
      </w:r>
      <w:r w:rsidR="00195481">
        <w:rPr>
          <w:rFonts w:ascii="Arial" w:hAnsi="Arial" w:cs="Arial"/>
          <w:sz w:val="24"/>
        </w:rPr>
        <w:instrText>ADDIN CSL_CITATION { "citationItems" : [ { "id" : "ITEM-1", "itemData" : { "DOI" : "10.1590/0103-0582201432214313", "author" : [ { "dropping-particle" : "", "family" : "Souza", "given" : "JGS", "non-dropping-particle" : "", "parse-names" : false, "suffix" : "" }, { "dropping-particle" : "", "family" : "Pamponet", "given" : "MA", "non-dropping-particle" : "", "parse-names" : false, "suffix" : "" }, { "dropping-particle" : "", "family" : "Souza", "given" : "TC", "non-dropping-particle" : "", "parse-names" : false, "suffix" : "" }, { "dropping-particle" : "", "family" : "Pereira", "given" : "AR", "non-dropping-particle" : "", "parse-names" : false, "suffix" : "" }, { "dropping-particle" : "", "family" : "Souza", "given" : "AGS", "non-dropping-particle" : "", "parse-names" : false, "suffix" : "" }, { "dropping-particle" : "", "family" : "Martins", "given" : "AME", "non-dropping-particle" : "", "parse-names" : false, "suffix" : "" } ], "container-title" : "Rev Paul Pediatr", "id" : "ITEM-1", "issue" : "2", "issued" : { "date-parts" : [ [ "2014" ] ] }, "page" : "272-279", "title" : "Instrumentos utilizados na avalia\u00e7\u00e3o da qualidade de vida de crian\u00e7as brasileiras", "type" : "article-journal", "volume" : "32" }, "uris" : [ "http://www.mendeley.com/documents/?uuid=4da3d41b-22c4-442f-8d33-35d743364016" ] } ], "mendeley" : { "formattedCitation" : "&lt;sup&gt;89&lt;/sup&gt;", "plainTextFormattedCitation" : "89", "previouslyFormattedCitation" : "&lt;sup&gt;89&lt;/sup&gt;" }, "properties" : { "noteIndex" : 0 }, "schema" : "https://github.com/citation-style-language/schema/raw/master/csl-citation.json" }</w:instrText>
      </w:r>
      <w:r w:rsidR="009A033E">
        <w:rPr>
          <w:rFonts w:ascii="Arial" w:hAnsi="Arial" w:cs="Arial"/>
          <w:sz w:val="24"/>
        </w:rPr>
        <w:fldChar w:fldCharType="separate"/>
      </w:r>
      <w:r w:rsidR="00412B48" w:rsidRPr="00412B48">
        <w:rPr>
          <w:rFonts w:ascii="Arial" w:hAnsi="Arial" w:cs="Arial"/>
          <w:noProof/>
          <w:sz w:val="24"/>
          <w:vertAlign w:val="superscript"/>
        </w:rPr>
        <w:t>89</w:t>
      </w:r>
      <w:r w:rsidR="009A033E">
        <w:rPr>
          <w:rFonts w:ascii="Arial" w:hAnsi="Arial" w:cs="Arial"/>
          <w:sz w:val="24"/>
        </w:rPr>
        <w:fldChar w:fldCharType="end"/>
      </w:r>
      <w:r w:rsidR="009A033E">
        <w:rPr>
          <w:rFonts w:ascii="Arial" w:hAnsi="Arial" w:cs="Arial"/>
          <w:sz w:val="24"/>
        </w:rPr>
        <w:t xml:space="preserve"> </w:t>
      </w:r>
      <w:r w:rsidR="003F5663">
        <w:rPr>
          <w:rFonts w:ascii="Arial" w:hAnsi="Arial" w:cs="Arial"/>
          <w:sz w:val="24"/>
        </w:rPr>
        <w:t>identific</w:t>
      </w:r>
      <w:r w:rsidR="009A033E">
        <w:rPr>
          <w:rFonts w:ascii="Arial" w:hAnsi="Arial" w:cs="Arial"/>
          <w:sz w:val="24"/>
        </w:rPr>
        <w:t>ou pouco</w:t>
      </w:r>
      <w:r w:rsidR="00E37B88">
        <w:rPr>
          <w:rFonts w:ascii="Arial" w:hAnsi="Arial" w:cs="Arial"/>
          <w:sz w:val="24"/>
        </w:rPr>
        <w:t xml:space="preserve">s instrumentos </w:t>
      </w:r>
      <w:r w:rsidR="008C284B">
        <w:rPr>
          <w:rFonts w:ascii="Arial" w:hAnsi="Arial" w:cs="Arial"/>
          <w:sz w:val="24"/>
        </w:rPr>
        <w:t>para</w:t>
      </w:r>
      <w:r w:rsidR="00E37B88">
        <w:rPr>
          <w:rFonts w:ascii="Arial" w:hAnsi="Arial" w:cs="Arial"/>
          <w:sz w:val="24"/>
        </w:rPr>
        <w:t xml:space="preserve"> avaliação da QVRS</w:t>
      </w:r>
      <w:r w:rsidR="00824F04">
        <w:rPr>
          <w:rFonts w:ascii="Arial" w:hAnsi="Arial" w:cs="Arial"/>
          <w:sz w:val="24"/>
        </w:rPr>
        <w:t xml:space="preserve"> de crianças e adolescentes,</w:t>
      </w:r>
      <w:r w:rsidR="008C284B">
        <w:rPr>
          <w:rFonts w:ascii="Arial" w:hAnsi="Arial" w:cs="Arial"/>
          <w:sz w:val="24"/>
        </w:rPr>
        <w:t xml:space="preserve"> validados para o português e para a cultura brasileira.</w:t>
      </w:r>
      <w:r w:rsidR="008C284B">
        <w:rPr>
          <w:rFonts w:ascii="Arial" w:hAnsi="Arial" w:cs="Arial"/>
          <w:sz w:val="24"/>
        </w:rPr>
        <w:fldChar w:fldCharType="begin" w:fldLock="1"/>
      </w:r>
      <w:r w:rsidR="00195481">
        <w:rPr>
          <w:rFonts w:ascii="Arial" w:hAnsi="Arial" w:cs="Arial"/>
          <w:sz w:val="24"/>
        </w:rPr>
        <w:instrText>ADDIN CSL_CITATION { "citationItems" : [ { "id" : "ITEM-1", "itemData" : { "DOI" : "10.1590/0103-0582201432214313", "author" : [ { "dropping-particle" : "", "family" : "Souza", "given" : "JGS", "non-dropping-particle" : "", "parse-names" : false, "suffix" : "" }, { "dropping-particle" : "", "family" : "Pamponet", "given" : "MA", "non-dropping-particle" : "", "parse-names" : false, "suffix" : "" }, { "dropping-particle" : "", "family" : "Souza", "given" : "TC", "non-dropping-particle" : "", "parse-names" : false, "suffix" : "" }, { "dropping-particle" : "", "family" : "Pereira", "given" : "AR", "non-dropping-particle" : "", "parse-names" : false, "suffix" : "" }, { "dropping-particle" : "", "family" : "Souza", "given" : "AGS", "non-dropping-particle" : "", "parse-names" : false, "suffix" : "" }, { "dropping-particle" : "", "family" : "Martins", "given" : "AME", "non-dropping-particle" : "", "parse-names" : false, "suffix" : "" } ], "container-title" : "Rev Paul Pediatr", "id" : "ITEM-1", "issue" : "2", "issued" : { "date-parts" : [ [ "2014" ] ] }, "page" : "272-279", "title" : "Instrumentos utilizados na avalia\u00e7\u00e3o da qualidade de vida de crian\u00e7as brasileiras", "type" : "article-journal", "volume" : "32" }, "uris" : [ "http://www.mendeley.com/documents/?uuid=4da3d41b-22c4-442f-8d33-35d743364016" ] } ], "mendeley" : { "formattedCitation" : "&lt;sup&gt;89&lt;/sup&gt;", "plainTextFormattedCitation" : "89", "previouslyFormattedCitation" : "&lt;sup&gt;89&lt;/sup&gt;" }, "properties" : { "noteIndex" : 0 }, "schema" : "https://github.com/citation-style-language/schema/raw/master/csl-citation.json" }</w:instrText>
      </w:r>
      <w:r w:rsidR="008C284B">
        <w:rPr>
          <w:rFonts w:ascii="Arial" w:hAnsi="Arial" w:cs="Arial"/>
          <w:sz w:val="24"/>
        </w:rPr>
        <w:fldChar w:fldCharType="separate"/>
      </w:r>
      <w:r w:rsidR="00412B48" w:rsidRPr="00412B48">
        <w:rPr>
          <w:rFonts w:ascii="Arial" w:hAnsi="Arial" w:cs="Arial"/>
          <w:noProof/>
          <w:sz w:val="24"/>
          <w:vertAlign w:val="superscript"/>
        </w:rPr>
        <w:t>89</w:t>
      </w:r>
      <w:r w:rsidR="008C284B">
        <w:rPr>
          <w:rFonts w:ascii="Arial" w:hAnsi="Arial" w:cs="Arial"/>
          <w:sz w:val="24"/>
        </w:rPr>
        <w:fldChar w:fldCharType="end"/>
      </w:r>
      <w:r w:rsidR="00824F04">
        <w:rPr>
          <w:rFonts w:ascii="Arial" w:hAnsi="Arial" w:cs="Arial"/>
          <w:sz w:val="24"/>
        </w:rPr>
        <w:t xml:space="preserve"> E</w:t>
      </w:r>
      <w:r w:rsidR="009A033E">
        <w:rPr>
          <w:rFonts w:ascii="Arial" w:hAnsi="Arial" w:cs="Arial"/>
          <w:sz w:val="24"/>
        </w:rPr>
        <w:t>ntre</w:t>
      </w:r>
      <w:r w:rsidR="00824F04">
        <w:rPr>
          <w:rFonts w:ascii="Arial" w:hAnsi="Arial" w:cs="Arial"/>
          <w:sz w:val="24"/>
        </w:rPr>
        <w:t xml:space="preserve"> ess</w:t>
      </w:r>
      <w:r w:rsidR="00BC2E3E">
        <w:rPr>
          <w:rFonts w:ascii="Arial" w:hAnsi="Arial" w:cs="Arial"/>
          <w:sz w:val="24"/>
        </w:rPr>
        <w:t xml:space="preserve">es </w:t>
      </w:r>
      <w:r w:rsidR="009A033E">
        <w:rPr>
          <w:rFonts w:ascii="Arial" w:hAnsi="Arial" w:cs="Arial"/>
          <w:sz w:val="24"/>
        </w:rPr>
        <w:t>instrumentos encontra</w:t>
      </w:r>
      <w:r w:rsidR="00BC2E3E">
        <w:rPr>
          <w:rFonts w:ascii="Arial" w:hAnsi="Arial" w:cs="Arial"/>
          <w:sz w:val="24"/>
        </w:rPr>
        <w:t>-se</w:t>
      </w:r>
      <w:r w:rsidR="00E37B88">
        <w:rPr>
          <w:rFonts w:ascii="Arial" w:hAnsi="Arial" w:cs="Arial"/>
          <w:sz w:val="24"/>
        </w:rPr>
        <w:t xml:space="preserve"> </w:t>
      </w:r>
      <w:r w:rsidR="008C284B">
        <w:rPr>
          <w:rFonts w:ascii="Arial" w:hAnsi="Arial" w:cs="Arial"/>
          <w:sz w:val="24"/>
        </w:rPr>
        <w:t xml:space="preserve">o Questionário de Saúde </w:t>
      </w:r>
      <w:r w:rsidR="000D6D10">
        <w:rPr>
          <w:rFonts w:ascii="Arial" w:hAnsi="Arial" w:cs="Arial"/>
          <w:sz w:val="24"/>
        </w:rPr>
        <w:t>Infantil</w:t>
      </w:r>
      <w:r w:rsidR="008C284B">
        <w:rPr>
          <w:rFonts w:ascii="Arial" w:hAnsi="Arial" w:cs="Arial"/>
          <w:sz w:val="24"/>
        </w:rPr>
        <w:t xml:space="preserve"> – Relatório dos Pais 50</w:t>
      </w:r>
      <w:r w:rsidR="009A033E">
        <w:rPr>
          <w:rFonts w:ascii="Arial" w:hAnsi="Arial" w:cs="Arial"/>
          <w:sz w:val="24"/>
        </w:rPr>
        <w:t xml:space="preserve"> (</w:t>
      </w:r>
      <w:proofErr w:type="spellStart"/>
      <w:r w:rsidR="009A033E" w:rsidRPr="008C284B">
        <w:rPr>
          <w:rFonts w:ascii="Arial" w:hAnsi="Arial" w:cs="Arial"/>
          <w:i/>
          <w:sz w:val="24"/>
        </w:rPr>
        <w:t>Child</w:t>
      </w:r>
      <w:proofErr w:type="spellEnd"/>
      <w:r w:rsidR="009A033E" w:rsidRPr="008C284B">
        <w:rPr>
          <w:rFonts w:ascii="Arial" w:hAnsi="Arial" w:cs="Arial"/>
          <w:i/>
          <w:sz w:val="24"/>
        </w:rPr>
        <w:t xml:space="preserve"> Health </w:t>
      </w:r>
      <w:proofErr w:type="spellStart"/>
      <w:r w:rsidR="009A033E" w:rsidRPr="008C284B">
        <w:rPr>
          <w:rFonts w:ascii="Arial" w:hAnsi="Arial" w:cs="Arial"/>
          <w:i/>
          <w:sz w:val="24"/>
        </w:rPr>
        <w:t>Questionnaire</w:t>
      </w:r>
      <w:proofErr w:type="spellEnd"/>
      <w:r w:rsidR="009A033E" w:rsidRPr="008C284B">
        <w:rPr>
          <w:rFonts w:ascii="Arial" w:hAnsi="Arial" w:cs="Arial"/>
          <w:i/>
          <w:sz w:val="24"/>
        </w:rPr>
        <w:t xml:space="preserve"> – </w:t>
      </w:r>
      <w:proofErr w:type="spellStart"/>
      <w:r w:rsidR="009A033E" w:rsidRPr="008C284B">
        <w:rPr>
          <w:rFonts w:ascii="Arial" w:hAnsi="Arial" w:cs="Arial"/>
          <w:i/>
          <w:sz w:val="24"/>
        </w:rPr>
        <w:t>Parent</w:t>
      </w:r>
      <w:proofErr w:type="spellEnd"/>
      <w:r w:rsidR="009A033E" w:rsidRPr="008C284B">
        <w:rPr>
          <w:rFonts w:ascii="Arial" w:hAnsi="Arial" w:cs="Arial"/>
          <w:i/>
          <w:sz w:val="24"/>
        </w:rPr>
        <w:t xml:space="preserve"> </w:t>
      </w:r>
      <w:proofErr w:type="spellStart"/>
      <w:r w:rsidR="009A033E" w:rsidRPr="008C284B">
        <w:rPr>
          <w:rFonts w:ascii="Arial" w:hAnsi="Arial" w:cs="Arial"/>
          <w:i/>
          <w:sz w:val="24"/>
        </w:rPr>
        <w:t>Form</w:t>
      </w:r>
      <w:proofErr w:type="spellEnd"/>
      <w:r w:rsidR="009A033E" w:rsidRPr="008C284B">
        <w:rPr>
          <w:rFonts w:ascii="Arial" w:hAnsi="Arial" w:cs="Arial"/>
          <w:i/>
          <w:sz w:val="24"/>
        </w:rPr>
        <w:t xml:space="preserve"> 50 – CHQ-PF50</w:t>
      </w:r>
      <w:r w:rsidR="009A033E">
        <w:rPr>
          <w:rFonts w:ascii="Arial" w:hAnsi="Arial" w:cs="Arial"/>
          <w:sz w:val="24"/>
        </w:rPr>
        <w:t>)</w:t>
      </w:r>
      <w:r w:rsidR="0057292B">
        <w:rPr>
          <w:rFonts w:ascii="Arial" w:hAnsi="Arial" w:cs="Arial"/>
          <w:sz w:val="24"/>
        </w:rPr>
        <w:fldChar w:fldCharType="begin" w:fldLock="1"/>
      </w:r>
      <w:r w:rsidR="00195481">
        <w:rPr>
          <w:rFonts w:ascii="Arial" w:hAnsi="Arial" w:cs="Arial"/>
          <w:sz w:val="24"/>
        </w:rPr>
        <w:instrText>ADDIN CSL_CITATION { "citationItems" : [ { "id" : "ITEM-1", "itemData" : { "author" : [ { "dropping-particle" : "", "family" : "Machado", "given" : "CS", "non-dropping-particle" : "", "parse-names" : false, "suffix" : "" }, { "dropping-particle" : "", "family" : "Ruperto", "given" : "N", "non-dropping-particle" : "", "parse-names" : false, "suffix" : "" }, { "dropping-particle" : "", "family" : "Silva", "given" : "CH", "non-dropping-particle" : "", "parse-names" : false, "suffix" : "" }, { "dropping-particle" : "", "family" : "Ferriani", "given" : "VP", "non-dropping-particle" : "", "parse-names" : false, "suffix" : "" }, { "dropping-particle" : "", "family" : "Roscoe", "given" : "I", "non-dropping-particle" : "", "parse-names" : false, "suffix" : "" }, { "dropping-particle" : "", "family" : "Campos", "given" : "LM", "non-dropping-particle" : "", "parse-names" : false, "suffix" : "" }, { "dropping-particle" : "", "family" : "Oliveira", "given" : "SK", "non-dropping-particle" : "", "parse-names" : false, "suffix" : "" }, { "dropping-particle" : "", "family" : "Kiss", "given" : "MH", "non-dropping-particle" : "", "parse-names" : false, "suffix" : "" }, { "dropping-particle" : "", "family" : "Bica", "given" : "BE", "non-dropping-particle" : "", "parse-names" : false, "suffix" : "" }, { "dropping-particle" : "", "family" : "Sztajnbok", "given" : "F", "non-dropping-particle" : "", "parse-names" : false, "suffix" : "" }, { "dropping-particle" : "", "family" : "Len", "given" : "CA", "non-dropping-particle" : "", "parse-names" : false, "suffix" : "" }, { "dropping-particle" : "", "family" : "Melo-Gomes", "given" : "JA", "non-dropping-particle" : "", "parse-names" : false, "suffix" : "" }, { "dropping-particle" : "", "family" : "Organisation", "given" : "Paediatric Rheumatology International Trials", "non-dropping-particle" : "", "parse-names" : false, "suffix" : "" } ], "container-title" : "Clin Exp Rheumatol", "id" : "ITEM-1", "issue" : "Suppl 23", "issued" : { "date-parts" : [ [ "2001" ] ] }, "page" : "25-29", "title" : "The Brazilian version of the Childhood Health Assessment Questionnaire (CHAQ) and the Child Health Questionnaire (CHQ)", "type" : "article-journal", "volume" : "19" }, "uris" : [ "http://www.mendeley.com/documents/?uuid=f0a1ddce-c077-492c-b907-699c782c35b2" ] } ], "mendeley" : { "formattedCitation" : "&lt;sup&gt;90&lt;/sup&gt;", "plainTextFormattedCitation" : "90", "previouslyFormattedCitation" : "&lt;sup&gt;90&lt;/sup&gt;" }, "properties" : { "noteIndex" : 0 }, "schema" : "https://github.com/citation-style-language/schema/raw/master/csl-citation.json" }</w:instrText>
      </w:r>
      <w:r w:rsidR="0057292B">
        <w:rPr>
          <w:rFonts w:ascii="Arial" w:hAnsi="Arial" w:cs="Arial"/>
          <w:sz w:val="24"/>
        </w:rPr>
        <w:fldChar w:fldCharType="separate"/>
      </w:r>
      <w:r w:rsidR="00412B48" w:rsidRPr="00412B48">
        <w:rPr>
          <w:rFonts w:ascii="Arial" w:hAnsi="Arial" w:cs="Arial"/>
          <w:noProof/>
          <w:sz w:val="24"/>
          <w:vertAlign w:val="superscript"/>
        </w:rPr>
        <w:t>90</w:t>
      </w:r>
      <w:r w:rsidR="0057292B">
        <w:rPr>
          <w:rFonts w:ascii="Arial" w:hAnsi="Arial" w:cs="Arial"/>
          <w:sz w:val="24"/>
        </w:rPr>
        <w:fldChar w:fldCharType="end"/>
      </w:r>
      <w:r w:rsidR="008C284B">
        <w:rPr>
          <w:rFonts w:ascii="Arial" w:hAnsi="Arial" w:cs="Arial"/>
          <w:sz w:val="24"/>
        </w:rPr>
        <w:t>, traduzido, validado e adaptado culturalmente para a população brasileira</w:t>
      </w:r>
      <w:r w:rsidR="000E5CD8">
        <w:rPr>
          <w:rFonts w:ascii="Arial" w:hAnsi="Arial" w:cs="Arial"/>
          <w:sz w:val="24"/>
        </w:rPr>
        <w:t xml:space="preserve"> por Machado et al.</w:t>
      </w:r>
      <w:r w:rsidR="0057292B">
        <w:rPr>
          <w:rFonts w:ascii="Arial" w:hAnsi="Arial" w:cs="Arial"/>
          <w:sz w:val="24"/>
        </w:rPr>
        <w:fldChar w:fldCharType="begin" w:fldLock="1"/>
      </w:r>
      <w:r w:rsidR="00195481">
        <w:rPr>
          <w:rFonts w:ascii="Arial" w:hAnsi="Arial" w:cs="Arial"/>
          <w:sz w:val="24"/>
        </w:rPr>
        <w:instrText>ADDIN CSL_CITATION { "citationItems" : [ { "id" : "ITEM-1", "itemData" : { "author" : [ { "dropping-particle" : "", "family" : "Machado", "given" : "CS", "non-dropping-particle" : "", "parse-names" : false, "suffix" : "" }, { "dropping-particle" : "", "family" : "Ruperto", "given" : "N", "non-dropping-particle" : "", "parse-names" : false, "suffix" : "" }, { "dropping-particle" : "", "family" : "Silva", "given" : "CH", "non-dropping-particle" : "", "parse-names" : false, "suffix" : "" }, { "dropping-particle" : "", "family" : "Ferriani", "given" : "VP", "non-dropping-particle" : "", "parse-names" : false, "suffix" : "" }, { "dropping-particle" : "", "family" : "Roscoe", "given" : "I", "non-dropping-particle" : "", "parse-names" : false, "suffix" : "" }, { "dropping-particle" : "", "family" : "Campos", "given" : "LM", "non-dropping-particle" : "", "parse-names" : false, "suffix" : "" }, { "dropping-particle" : "", "family" : "Oliveira", "given" : "SK", "non-dropping-particle" : "", "parse-names" : false, "suffix" : "" }, { "dropping-particle" : "", "family" : "Kiss", "given" : "MH", "non-dropping-particle" : "", "parse-names" : false, "suffix" : "" }, { "dropping-particle" : "", "family" : "Bica", "given" : "BE", "non-dropping-particle" : "", "parse-names" : false, "suffix" : "" }, { "dropping-particle" : "", "family" : "Sztajnbok", "given" : "F", "non-dropping-particle" : "", "parse-names" : false, "suffix" : "" }, { "dropping-particle" : "", "family" : "Len", "given" : "CA", "non-dropping-particle" : "", "parse-names" : false, "suffix" : "" }, { "dropping-particle" : "", "family" : "Melo-Gomes", "given" : "JA", "non-dropping-particle" : "", "parse-names" : false, "suffix" : "" }, { "dropping-particle" : "", "family" : "Organisation", "given" : "Paediatric Rheumatology International Trials", "non-dropping-particle" : "", "parse-names" : false, "suffix" : "" } ], "container-title" : "Clin Exp Rheumatol", "id" : "ITEM-1", "issue" : "Suppl 23", "issued" : { "date-parts" : [ [ "2001" ] ] }, "page" : "25-29", "title" : "The Brazilian version of the Childhood Health Assessment Questionnaire (CHAQ) and the Child Health Questionnaire (CHQ)", "type" : "article-journal", "volume" : "19" }, "uris" : [ "http://www.mendeley.com/documents/?uuid=f0a1ddce-c077-492c-b907-699c782c35b2" ] } ], "mendeley" : { "formattedCitation" : "&lt;sup&gt;90&lt;/sup&gt;", "plainTextFormattedCitation" : "90", "previouslyFormattedCitation" : "&lt;sup&gt;90&lt;/sup&gt;" }, "properties" : { "noteIndex" : 0 }, "schema" : "https://github.com/citation-style-language/schema/raw/master/csl-citation.json" }</w:instrText>
      </w:r>
      <w:r w:rsidR="0057292B">
        <w:rPr>
          <w:rFonts w:ascii="Arial" w:hAnsi="Arial" w:cs="Arial"/>
          <w:sz w:val="24"/>
        </w:rPr>
        <w:fldChar w:fldCharType="separate"/>
      </w:r>
      <w:r w:rsidR="00412B48" w:rsidRPr="00412B48">
        <w:rPr>
          <w:rFonts w:ascii="Arial" w:hAnsi="Arial" w:cs="Arial"/>
          <w:noProof/>
          <w:sz w:val="24"/>
          <w:vertAlign w:val="superscript"/>
        </w:rPr>
        <w:t>90</w:t>
      </w:r>
      <w:r w:rsidR="0057292B">
        <w:rPr>
          <w:rFonts w:ascii="Arial" w:hAnsi="Arial" w:cs="Arial"/>
          <w:sz w:val="24"/>
        </w:rPr>
        <w:fldChar w:fldCharType="end"/>
      </w:r>
    </w:p>
    <w:p w:rsidR="00CA7134" w:rsidRDefault="00CA7134" w:rsidP="00491682">
      <w:pPr>
        <w:spacing w:after="0" w:line="360" w:lineRule="auto"/>
        <w:jc w:val="both"/>
        <w:rPr>
          <w:rFonts w:ascii="Arial" w:hAnsi="Arial" w:cs="Arial"/>
          <w:sz w:val="24"/>
        </w:rPr>
      </w:pPr>
    </w:p>
    <w:p w:rsidR="00DA0DB7" w:rsidRDefault="000D6D10" w:rsidP="00491682">
      <w:pPr>
        <w:spacing w:after="0" w:line="360" w:lineRule="auto"/>
        <w:jc w:val="both"/>
        <w:rPr>
          <w:rFonts w:ascii="Arial" w:hAnsi="Arial" w:cs="Arial"/>
          <w:sz w:val="24"/>
        </w:rPr>
      </w:pPr>
      <w:r>
        <w:rPr>
          <w:rFonts w:ascii="Arial" w:hAnsi="Arial" w:cs="Arial"/>
          <w:sz w:val="24"/>
        </w:rPr>
        <w:lastRenderedPageBreak/>
        <w:t xml:space="preserve">O </w:t>
      </w:r>
      <w:r w:rsidR="00AB03B7">
        <w:rPr>
          <w:rFonts w:ascii="Arial" w:hAnsi="Arial" w:cs="Arial"/>
          <w:sz w:val="24"/>
        </w:rPr>
        <w:t>CHQ</w:t>
      </w:r>
      <w:r w:rsidR="006772E0">
        <w:rPr>
          <w:rFonts w:ascii="Arial" w:hAnsi="Arial" w:cs="Arial"/>
          <w:sz w:val="24"/>
        </w:rPr>
        <w:t>-PF50 refere-se a</w:t>
      </w:r>
      <w:r>
        <w:rPr>
          <w:rFonts w:ascii="Arial" w:hAnsi="Arial" w:cs="Arial"/>
          <w:sz w:val="24"/>
        </w:rPr>
        <w:t xml:space="preserve"> um instrumento</w:t>
      </w:r>
      <w:r w:rsidR="00064703">
        <w:rPr>
          <w:rFonts w:ascii="Arial" w:hAnsi="Arial" w:cs="Arial"/>
          <w:sz w:val="24"/>
        </w:rPr>
        <w:t xml:space="preserve"> gen</w:t>
      </w:r>
      <w:r w:rsidR="00AB03B7">
        <w:rPr>
          <w:rFonts w:ascii="Arial" w:hAnsi="Arial" w:cs="Arial"/>
          <w:sz w:val="24"/>
        </w:rPr>
        <w:t>érico de</w:t>
      </w:r>
      <w:r w:rsidR="00064703">
        <w:rPr>
          <w:rFonts w:ascii="Arial" w:hAnsi="Arial" w:cs="Arial"/>
          <w:sz w:val="24"/>
        </w:rPr>
        <w:t xml:space="preserve"> QVRS,</w:t>
      </w:r>
      <w:r w:rsidR="00E62EE2">
        <w:rPr>
          <w:rFonts w:ascii="Arial" w:hAnsi="Arial" w:cs="Arial"/>
          <w:sz w:val="24"/>
        </w:rPr>
        <w:t xml:space="preserve"> com caráter multidimensional,</w:t>
      </w:r>
      <w:r w:rsidR="00064703">
        <w:rPr>
          <w:rFonts w:ascii="Arial" w:hAnsi="Arial" w:cs="Arial"/>
          <w:sz w:val="24"/>
        </w:rPr>
        <w:t xml:space="preserve"> destinado a crianças e adolescentes com idade entre 5 e 18 anos</w:t>
      </w:r>
      <w:r w:rsidR="005B4B39">
        <w:rPr>
          <w:rFonts w:ascii="Arial" w:hAnsi="Arial" w:cs="Arial"/>
          <w:sz w:val="24"/>
        </w:rPr>
        <w:t xml:space="preserve">. </w:t>
      </w:r>
      <w:r w:rsidR="00824F04">
        <w:rPr>
          <w:rFonts w:ascii="Arial" w:hAnsi="Arial" w:cs="Arial"/>
          <w:sz w:val="24"/>
        </w:rPr>
        <w:t>O questionário é</w:t>
      </w:r>
      <w:r w:rsidR="00F84B60">
        <w:rPr>
          <w:rFonts w:ascii="Arial" w:hAnsi="Arial" w:cs="Arial"/>
          <w:sz w:val="24"/>
        </w:rPr>
        <w:t xml:space="preserve"> composto por </w:t>
      </w:r>
      <w:r w:rsidR="00E62EE2">
        <w:rPr>
          <w:rFonts w:ascii="Arial" w:hAnsi="Arial" w:cs="Arial"/>
          <w:sz w:val="24"/>
        </w:rPr>
        <w:t xml:space="preserve">50 itens, distribuídos em </w:t>
      </w:r>
      <w:r w:rsidR="00F84B60">
        <w:rPr>
          <w:rFonts w:ascii="Arial" w:hAnsi="Arial" w:cs="Arial"/>
          <w:sz w:val="24"/>
        </w:rPr>
        <w:t>15 domínios,</w:t>
      </w:r>
      <w:r w:rsidR="00E62EE2">
        <w:rPr>
          <w:rFonts w:ascii="Arial" w:hAnsi="Arial" w:cs="Arial"/>
          <w:sz w:val="24"/>
        </w:rPr>
        <w:t xml:space="preserve"> </w:t>
      </w:r>
      <w:r w:rsidR="009D0747">
        <w:rPr>
          <w:rFonts w:ascii="Arial" w:hAnsi="Arial" w:cs="Arial"/>
          <w:sz w:val="24"/>
        </w:rPr>
        <w:t>que</w:t>
      </w:r>
      <w:r w:rsidR="00FE75F2">
        <w:rPr>
          <w:rFonts w:ascii="Arial" w:hAnsi="Arial" w:cs="Arial"/>
          <w:sz w:val="24"/>
        </w:rPr>
        <w:t xml:space="preserve"> podem ser</w:t>
      </w:r>
      <w:r w:rsidR="00F84B60">
        <w:rPr>
          <w:rFonts w:ascii="Arial" w:hAnsi="Arial" w:cs="Arial"/>
          <w:sz w:val="24"/>
        </w:rPr>
        <w:t xml:space="preserve"> pontuados </w:t>
      </w:r>
      <w:r w:rsidR="005B4B39">
        <w:rPr>
          <w:rFonts w:ascii="Arial" w:hAnsi="Arial" w:cs="Arial"/>
          <w:sz w:val="24"/>
        </w:rPr>
        <w:t>em uma</w:t>
      </w:r>
      <w:r w:rsidR="00F84B60">
        <w:rPr>
          <w:rFonts w:ascii="Arial" w:hAnsi="Arial" w:cs="Arial"/>
          <w:sz w:val="24"/>
        </w:rPr>
        <w:t xml:space="preserve"> escala de 0 a 100</w:t>
      </w:r>
      <w:r w:rsidR="007C0987">
        <w:rPr>
          <w:rFonts w:ascii="Arial" w:hAnsi="Arial" w:cs="Arial"/>
          <w:sz w:val="24"/>
        </w:rPr>
        <w:t>. Q</w:t>
      </w:r>
      <w:r w:rsidR="00F84B60">
        <w:rPr>
          <w:rFonts w:ascii="Arial" w:hAnsi="Arial" w:cs="Arial"/>
          <w:sz w:val="24"/>
        </w:rPr>
        <w:t>uanto maior a pontuação</w:t>
      </w:r>
      <w:r w:rsidR="00824F04">
        <w:rPr>
          <w:rFonts w:ascii="Arial" w:hAnsi="Arial" w:cs="Arial"/>
          <w:sz w:val="24"/>
        </w:rPr>
        <w:t>,</w:t>
      </w:r>
      <w:r w:rsidR="00F84B60">
        <w:rPr>
          <w:rFonts w:ascii="Arial" w:hAnsi="Arial" w:cs="Arial"/>
          <w:sz w:val="24"/>
        </w:rPr>
        <w:t xml:space="preserve"> </w:t>
      </w:r>
      <w:r w:rsidR="00FE75F2">
        <w:rPr>
          <w:rFonts w:ascii="Arial" w:hAnsi="Arial" w:cs="Arial"/>
          <w:sz w:val="24"/>
        </w:rPr>
        <w:t>melhor o estado de saúde, o grau de satisfação e o bem-estar.</w:t>
      </w:r>
      <w:r w:rsidR="00DA0DB7">
        <w:rPr>
          <w:rFonts w:ascii="Arial" w:hAnsi="Arial" w:cs="Arial"/>
          <w:sz w:val="24"/>
        </w:rPr>
        <w:t xml:space="preserve"> Este instrumento resulta em dois índices sumários – o físico e o psicossocial, e deve </w:t>
      </w:r>
      <w:r w:rsidR="00F84B60">
        <w:rPr>
          <w:rFonts w:ascii="Arial" w:hAnsi="Arial" w:cs="Arial"/>
          <w:sz w:val="24"/>
        </w:rPr>
        <w:t xml:space="preserve">ser </w:t>
      </w:r>
      <w:r w:rsidR="00AB03B7">
        <w:rPr>
          <w:rFonts w:ascii="Arial" w:hAnsi="Arial" w:cs="Arial"/>
          <w:sz w:val="24"/>
        </w:rPr>
        <w:t xml:space="preserve">respondido </w:t>
      </w:r>
      <w:r w:rsidR="00F84B60">
        <w:rPr>
          <w:rFonts w:ascii="Arial" w:hAnsi="Arial" w:cs="Arial"/>
          <w:sz w:val="24"/>
        </w:rPr>
        <w:t>sob a perspectiva dos</w:t>
      </w:r>
      <w:r w:rsidR="00AB03B7">
        <w:rPr>
          <w:rFonts w:ascii="Arial" w:hAnsi="Arial" w:cs="Arial"/>
          <w:sz w:val="24"/>
        </w:rPr>
        <w:t xml:space="preserve"> pais ou responsáveis</w:t>
      </w:r>
      <w:r w:rsidR="00F84B60">
        <w:rPr>
          <w:rFonts w:ascii="Arial" w:hAnsi="Arial" w:cs="Arial"/>
          <w:sz w:val="24"/>
        </w:rPr>
        <w:t>, com base nas experiências vividas pela criança nas últimas quatro semanas</w:t>
      </w:r>
      <w:r w:rsidR="00780A6C">
        <w:rPr>
          <w:rFonts w:ascii="Arial" w:hAnsi="Arial" w:cs="Arial"/>
          <w:sz w:val="24"/>
        </w:rPr>
        <w:t>. Apenas</w:t>
      </w:r>
      <w:r w:rsidR="005B4B39">
        <w:rPr>
          <w:rFonts w:ascii="Arial" w:hAnsi="Arial" w:cs="Arial"/>
          <w:sz w:val="24"/>
        </w:rPr>
        <w:t xml:space="preserve"> o domínio alteração de saúde</w:t>
      </w:r>
      <w:r w:rsidR="00780A6C">
        <w:rPr>
          <w:rFonts w:ascii="Arial" w:hAnsi="Arial" w:cs="Arial"/>
          <w:sz w:val="24"/>
        </w:rPr>
        <w:t xml:space="preserve"> deve </w:t>
      </w:r>
      <w:r w:rsidR="006772E0">
        <w:rPr>
          <w:rFonts w:ascii="Arial" w:hAnsi="Arial" w:cs="Arial"/>
          <w:sz w:val="24"/>
        </w:rPr>
        <w:t>contempla</w:t>
      </w:r>
      <w:r w:rsidR="00780A6C">
        <w:rPr>
          <w:rFonts w:ascii="Arial" w:hAnsi="Arial" w:cs="Arial"/>
          <w:sz w:val="24"/>
        </w:rPr>
        <w:t>r</w:t>
      </w:r>
      <w:r w:rsidR="006772E0">
        <w:rPr>
          <w:rFonts w:ascii="Arial" w:hAnsi="Arial" w:cs="Arial"/>
          <w:sz w:val="24"/>
        </w:rPr>
        <w:t xml:space="preserve"> a</w:t>
      </w:r>
      <w:r w:rsidR="005B4B39">
        <w:rPr>
          <w:rFonts w:ascii="Arial" w:hAnsi="Arial" w:cs="Arial"/>
          <w:sz w:val="24"/>
        </w:rPr>
        <w:t>s experiências dos últimos doze meses</w:t>
      </w:r>
      <w:r w:rsidR="00AB03B7">
        <w:rPr>
          <w:rFonts w:ascii="Arial" w:hAnsi="Arial" w:cs="Arial"/>
          <w:sz w:val="24"/>
        </w:rPr>
        <w:t>.</w:t>
      </w:r>
      <w:r w:rsidR="0017024D">
        <w:rPr>
          <w:rFonts w:ascii="Arial" w:hAnsi="Arial" w:cs="Arial"/>
          <w:sz w:val="24"/>
        </w:rPr>
        <w:fldChar w:fldCharType="begin" w:fldLock="1"/>
      </w:r>
      <w:r w:rsidR="00195481">
        <w:rPr>
          <w:rFonts w:ascii="Arial" w:hAnsi="Arial" w:cs="Arial"/>
          <w:sz w:val="24"/>
        </w:rPr>
        <w:instrText>ADDIN CSL_CITATION { "citationItems" : [ { "id" : "ITEM-1", "itemData" : { "author" : [ { "dropping-particle" : "", "family" : "Machado", "given" : "CS", "non-dropping-particle" : "", "parse-names" : false, "suffix" : "" }, { "dropping-particle" : "", "family" : "Ruperto", "given" : "N", "non-dropping-particle" : "", "parse-names" : false, "suffix" : "" }, { "dropping-particle" : "", "family" : "Silva", "given" : "CH", "non-dropping-particle" : "", "parse-names" : false, "suffix" : "" }, { "dropping-particle" : "", "family" : "Ferriani", "given" : "VP", "non-dropping-particle" : "", "parse-names" : false, "suffix" : "" }, { "dropping-particle" : "", "family" : "Roscoe", "given" : "I", "non-dropping-particle" : "", "parse-names" : false, "suffix" : "" }, { "dropping-particle" : "", "family" : "Campos", "given" : "LM", "non-dropping-particle" : "", "parse-names" : false, "suffix" : "" }, { "dropping-particle" : "", "family" : "Oliveira", "given" : "SK", "non-dropping-particle" : "", "parse-names" : false, "suffix" : "" }, { "dropping-particle" : "", "family" : "Kiss", "given" : "MH", "non-dropping-particle" : "", "parse-names" : false, "suffix" : "" }, { "dropping-particle" : "", "family" : "Bica", "given" : "BE", "non-dropping-particle" : "", "parse-names" : false, "suffix" : "" }, { "dropping-particle" : "", "family" : "Sztajnbok", "given" : "F", "non-dropping-particle" : "", "parse-names" : false, "suffix" : "" }, { "dropping-particle" : "", "family" : "Len", "given" : "CA", "non-dropping-particle" : "", "parse-names" : false, "suffix" : "" }, { "dropping-particle" : "", "family" : "Melo-Gomes", "given" : "JA", "non-dropping-particle" : "", "parse-names" : false, "suffix" : "" }, { "dropping-particle" : "", "family" : "Organisation", "given" : "Paediatric Rheumatology International Trials", "non-dropping-particle" : "", "parse-names" : false, "suffix" : "" } ], "container-title" : "Clin Exp Rheumatol", "id" : "ITEM-1", "issue" : "Suppl 23", "issued" : { "date-parts" : [ [ "2001" ] ] }, "page" : "25-29", "title" : "The Brazilian version of the Childhood Health Assessment Questionnaire (CHAQ) and the Child Health Questionnaire (CHQ)", "type" : "article-journal", "volume" : "19" }, "uris" : [ "http://www.mendeley.com/documents/?uuid=f0a1ddce-c077-492c-b907-699c782c35b2" ] } ], "mendeley" : { "formattedCitation" : "&lt;sup&gt;90&lt;/sup&gt;", "plainTextFormattedCitation" : "90", "previouslyFormattedCitation" : "&lt;sup&gt;90&lt;/sup&gt;" }, "properties" : { "noteIndex" : 0 }, "schema" : "https://github.com/citation-style-language/schema/raw/master/csl-citation.json" }</w:instrText>
      </w:r>
      <w:r w:rsidR="0017024D">
        <w:rPr>
          <w:rFonts w:ascii="Arial" w:hAnsi="Arial" w:cs="Arial"/>
          <w:sz w:val="24"/>
        </w:rPr>
        <w:fldChar w:fldCharType="separate"/>
      </w:r>
      <w:r w:rsidR="00412B48" w:rsidRPr="00412B48">
        <w:rPr>
          <w:rFonts w:ascii="Arial" w:hAnsi="Arial" w:cs="Arial"/>
          <w:noProof/>
          <w:sz w:val="24"/>
          <w:vertAlign w:val="superscript"/>
        </w:rPr>
        <w:t>90</w:t>
      </w:r>
      <w:r w:rsidR="0017024D">
        <w:rPr>
          <w:rFonts w:ascii="Arial" w:hAnsi="Arial" w:cs="Arial"/>
          <w:sz w:val="24"/>
        </w:rPr>
        <w:fldChar w:fldCharType="end"/>
      </w:r>
    </w:p>
    <w:p w:rsidR="00491682" w:rsidRDefault="00491682" w:rsidP="00491682">
      <w:pPr>
        <w:spacing w:after="0" w:line="360" w:lineRule="auto"/>
        <w:jc w:val="both"/>
        <w:rPr>
          <w:rFonts w:ascii="Arial" w:hAnsi="Arial" w:cs="Arial"/>
          <w:sz w:val="24"/>
        </w:rPr>
      </w:pPr>
    </w:p>
    <w:p w:rsidR="00E37B88" w:rsidRDefault="00D00E0F" w:rsidP="00491682">
      <w:pPr>
        <w:spacing w:after="0" w:line="360" w:lineRule="auto"/>
        <w:jc w:val="both"/>
        <w:rPr>
          <w:rFonts w:ascii="Arial" w:hAnsi="Arial" w:cs="Arial"/>
          <w:sz w:val="24"/>
          <w:szCs w:val="24"/>
        </w:rPr>
      </w:pPr>
      <w:r>
        <w:rPr>
          <w:rFonts w:ascii="Arial" w:hAnsi="Arial" w:cs="Arial"/>
          <w:sz w:val="24"/>
        </w:rPr>
        <w:t>Outro</w:t>
      </w:r>
      <w:r w:rsidR="00E37B88">
        <w:rPr>
          <w:rFonts w:ascii="Arial" w:hAnsi="Arial" w:cs="Arial"/>
          <w:sz w:val="24"/>
        </w:rPr>
        <w:t xml:space="preserve"> </w:t>
      </w:r>
      <w:r w:rsidR="00E37B88">
        <w:rPr>
          <w:rFonts w:ascii="Arial" w:hAnsi="Arial" w:cs="Arial"/>
          <w:sz w:val="24"/>
          <w:szCs w:val="24"/>
        </w:rPr>
        <w:t>questionário</w:t>
      </w:r>
      <w:r>
        <w:rPr>
          <w:rFonts w:ascii="Arial" w:hAnsi="Arial" w:cs="Arial"/>
          <w:sz w:val="24"/>
          <w:szCs w:val="24"/>
        </w:rPr>
        <w:t xml:space="preserve"> desenvolvido para avalia</w:t>
      </w:r>
      <w:r w:rsidR="00780A6C">
        <w:rPr>
          <w:rFonts w:ascii="Arial" w:hAnsi="Arial" w:cs="Arial"/>
          <w:sz w:val="24"/>
          <w:szCs w:val="24"/>
        </w:rPr>
        <w:t xml:space="preserve">r </w:t>
      </w:r>
      <w:r>
        <w:rPr>
          <w:rFonts w:ascii="Arial" w:hAnsi="Arial" w:cs="Arial"/>
          <w:sz w:val="24"/>
          <w:szCs w:val="24"/>
        </w:rPr>
        <w:t>a QVRS é o</w:t>
      </w:r>
      <w:r w:rsidR="00E37B88">
        <w:rPr>
          <w:rFonts w:ascii="Arial" w:hAnsi="Arial" w:cs="Arial"/>
          <w:sz w:val="24"/>
          <w:szCs w:val="24"/>
        </w:rPr>
        <w:t xml:space="preserve"> </w:t>
      </w:r>
      <w:r w:rsidR="00E37B88" w:rsidRPr="00FA3577">
        <w:rPr>
          <w:rFonts w:ascii="Arial" w:hAnsi="Arial" w:cs="Arial"/>
          <w:i/>
          <w:sz w:val="24"/>
          <w:szCs w:val="24"/>
        </w:rPr>
        <w:t>Pediatric Quality of Life Inventory</w:t>
      </w:r>
      <w:r w:rsidR="00E37B88">
        <w:rPr>
          <w:rFonts w:ascii="Arial" w:hAnsi="Arial" w:cs="Arial"/>
          <w:sz w:val="24"/>
          <w:szCs w:val="24"/>
        </w:rPr>
        <w:t xml:space="preserve"> (PedsQL</w:t>
      </w:r>
      <w:r w:rsidR="00E37B88" w:rsidRPr="007F7F88">
        <w:rPr>
          <w:rFonts w:ascii="Arial" w:hAnsi="Arial" w:cs="Arial"/>
          <w:sz w:val="24"/>
          <w:vertAlign w:val="superscript"/>
        </w:rPr>
        <w:t>TM</w:t>
      </w:r>
      <w:r w:rsidR="00E37B88">
        <w:rPr>
          <w:rFonts w:ascii="Arial" w:hAnsi="Arial" w:cs="Arial"/>
          <w:sz w:val="24"/>
          <w:szCs w:val="24"/>
        </w:rPr>
        <w:t>)</w:t>
      </w:r>
      <w:r w:rsidR="006E3B56">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"10.1007/s11136-005-1388-z", "author" : [ { "dropping-particle" : "", "family" : "Varni", "given" : "J W", "non-dropping-particle" : "", "parse-names" : false, "suffix" : "" }, { "dropping-particle" : "", "family" : "Burwinkle", "given" : "Tasha M", "non-dropping-particle" : "", "parse-names" : false, "suffix" : "" }, { "dropping-particle" : "", "family" : "Seid", "given" : "Michael", "non-dropping-particle" : "", "parse-names" : false, "suffix" : "" }, { "dropping-particle" : "", "family" : "Skarr", "given" : "Douglas", "non-dropping-particle" : "", "parse-names" : false, "suffix" : "" } ], "container-title" : "Ambulatory Pediatric Association", "id" : "ITEM-1", "issue" : "6", "issued" : { "date-parts" : [ [ "2003" ] ] }, "page" : "329-341", "title" : "The PedsQL 4 . 0 as a pediatric population health measure: feasibility, reliability, and validity", "type" : "article-journal", "volume" : "3" }, "uris" : [ "http://www.mendeley.com/documents/?uuid=085efd4a-0ff3-420a-809f-24e3cf6826e9" ] } ], "mendeley" : { "formattedCitation" : "&lt;sup&gt;91&lt;/sup&gt;", "plainTextFormattedCitation" : "91", "previouslyFormattedCitation" : "&lt;sup&gt;91&lt;/sup&gt;" }, "properties" : { "noteIndex" : 0 }, "schema" : "https://github.com/citation-style-language/schema/raw/master/csl-citation.json" }</w:instrText>
      </w:r>
      <w:r w:rsidR="006E3B56">
        <w:rPr>
          <w:rFonts w:ascii="Arial" w:hAnsi="Arial" w:cs="Arial"/>
          <w:sz w:val="24"/>
          <w:szCs w:val="24"/>
        </w:rPr>
        <w:fldChar w:fldCharType="separate"/>
      </w:r>
      <w:r w:rsidR="00412B48" w:rsidRPr="00412B48">
        <w:rPr>
          <w:rFonts w:ascii="Arial" w:hAnsi="Arial" w:cs="Arial"/>
          <w:noProof/>
          <w:sz w:val="24"/>
          <w:szCs w:val="24"/>
          <w:vertAlign w:val="superscript"/>
        </w:rPr>
        <w:t>91</w:t>
      </w:r>
      <w:r w:rsidR="006E3B56">
        <w:rPr>
          <w:rFonts w:ascii="Arial" w:hAnsi="Arial" w:cs="Arial"/>
          <w:sz w:val="24"/>
          <w:szCs w:val="24"/>
        </w:rPr>
        <w:fldChar w:fldCharType="end"/>
      </w:r>
      <w:r w:rsidR="00F61874">
        <w:rPr>
          <w:rFonts w:ascii="Arial" w:hAnsi="Arial" w:cs="Arial"/>
          <w:sz w:val="24"/>
          <w:szCs w:val="24"/>
        </w:rPr>
        <w:t>,</w:t>
      </w:r>
      <w:r w:rsidR="00E37B88">
        <w:rPr>
          <w:rFonts w:ascii="Arial" w:hAnsi="Arial" w:cs="Arial"/>
          <w:sz w:val="24"/>
          <w:szCs w:val="24"/>
        </w:rPr>
        <w:t xml:space="preserve"> que corresponde a um instrumento genérico de avaliação, padronizado, </w:t>
      </w:r>
      <w:r>
        <w:rPr>
          <w:rFonts w:ascii="Arial" w:hAnsi="Arial" w:cs="Arial"/>
          <w:sz w:val="24"/>
          <w:szCs w:val="24"/>
        </w:rPr>
        <w:t>destinado à</w:t>
      </w:r>
      <w:r w:rsidR="00E37B88">
        <w:rPr>
          <w:rFonts w:ascii="Arial" w:hAnsi="Arial" w:cs="Arial"/>
          <w:sz w:val="24"/>
          <w:szCs w:val="24"/>
        </w:rPr>
        <w:t xml:space="preserve"> população pediátrica. Este instrumento co</w:t>
      </w:r>
      <w:r w:rsidR="00A46D9A">
        <w:rPr>
          <w:rFonts w:ascii="Arial" w:hAnsi="Arial" w:cs="Arial"/>
          <w:sz w:val="24"/>
          <w:szCs w:val="24"/>
        </w:rPr>
        <w:t>mpreende</w:t>
      </w:r>
      <w:r w:rsidR="00E37B88">
        <w:rPr>
          <w:rFonts w:ascii="Arial" w:hAnsi="Arial" w:cs="Arial"/>
          <w:sz w:val="24"/>
          <w:szCs w:val="24"/>
        </w:rPr>
        <w:t xml:space="preserve"> um</w:t>
      </w:r>
      <w:r w:rsidR="00AB53F1">
        <w:rPr>
          <w:rFonts w:ascii="Arial" w:hAnsi="Arial" w:cs="Arial"/>
          <w:sz w:val="24"/>
          <w:szCs w:val="24"/>
        </w:rPr>
        <w:t>a medida básica de 15 itens</w:t>
      </w:r>
      <w:r w:rsidR="00515B2B">
        <w:rPr>
          <w:rFonts w:ascii="Arial" w:hAnsi="Arial" w:cs="Arial"/>
          <w:sz w:val="24"/>
          <w:szCs w:val="24"/>
        </w:rPr>
        <w:t xml:space="preserve"> </w:t>
      </w:r>
      <w:r w:rsidR="00AB53F1">
        <w:rPr>
          <w:rFonts w:ascii="Arial" w:hAnsi="Arial" w:cs="Arial"/>
          <w:sz w:val="24"/>
          <w:szCs w:val="24"/>
        </w:rPr>
        <w:t>relacionados</w:t>
      </w:r>
      <w:r w:rsidR="00E37B88">
        <w:rPr>
          <w:rFonts w:ascii="Arial" w:hAnsi="Arial" w:cs="Arial"/>
          <w:sz w:val="24"/>
          <w:szCs w:val="24"/>
        </w:rPr>
        <w:t xml:space="preserve"> à avaliação global da QVRS</w:t>
      </w:r>
      <w:r w:rsidR="00DF2AE4">
        <w:rPr>
          <w:rFonts w:ascii="Arial" w:hAnsi="Arial" w:cs="Arial"/>
          <w:sz w:val="24"/>
          <w:szCs w:val="24"/>
        </w:rPr>
        <w:t>,</w:t>
      </w:r>
      <w:r w:rsidR="00832B0D">
        <w:rPr>
          <w:rFonts w:ascii="Arial" w:hAnsi="Arial" w:cs="Arial"/>
          <w:sz w:val="24"/>
          <w:szCs w:val="24"/>
        </w:rPr>
        <w:t xml:space="preserve"> e 8 itens específicos</w:t>
      </w:r>
      <w:r w:rsidR="00E37B88">
        <w:rPr>
          <w:rFonts w:ascii="Arial" w:hAnsi="Arial" w:cs="Arial"/>
          <w:sz w:val="24"/>
          <w:szCs w:val="24"/>
        </w:rPr>
        <w:t xml:space="preserve"> referentes aos sintomas e/ou tratamento</w:t>
      </w:r>
      <w:r w:rsidR="00832B0D">
        <w:rPr>
          <w:rFonts w:ascii="Arial" w:hAnsi="Arial" w:cs="Arial"/>
          <w:sz w:val="24"/>
          <w:szCs w:val="24"/>
        </w:rPr>
        <w:t>;</w:t>
      </w:r>
      <w:r w:rsidR="00E37B88">
        <w:rPr>
          <w:rFonts w:ascii="Arial" w:hAnsi="Arial" w:cs="Arial"/>
          <w:sz w:val="24"/>
          <w:szCs w:val="24"/>
        </w:rPr>
        <w:t xml:space="preserve"> totalizando 23 itens</w:t>
      </w:r>
      <w:r w:rsidR="00832B0D">
        <w:rPr>
          <w:rFonts w:ascii="Arial" w:hAnsi="Arial" w:cs="Arial"/>
          <w:sz w:val="24"/>
          <w:szCs w:val="24"/>
        </w:rPr>
        <w:t>,</w:t>
      </w:r>
      <w:r w:rsidR="005021D2">
        <w:rPr>
          <w:rFonts w:ascii="Arial" w:hAnsi="Arial" w:cs="Arial"/>
          <w:sz w:val="24"/>
          <w:szCs w:val="24"/>
        </w:rPr>
        <w:t xml:space="preserve"> distribuídos </w:t>
      </w:r>
      <w:r w:rsidR="00515B2B">
        <w:rPr>
          <w:rFonts w:ascii="Arial" w:hAnsi="Arial" w:cs="Arial"/>
          <w:sz w:val="24"/>
          <w:szCs w:val="24"/>
        </w:rPr>
        <w:t>em quatro dimensões:</w:t>
      </w:r>
      <w:r w:rsidR="00032E3C">
        <w:rPr>
          <w:rFonts w:ascii="Arial" w:hAnsi="Arial" w:cs="Arial"/>
          <w:sz w:val="24"/>
          <w:szCs w:val="24"/>
        </w:rPr>
        <w:t xml:space="preserve"> </w:t>
      </w:r>
      <w:r w:rsidR="005A772D">
        <w:rPr>
          <w:rFonts w:ascii="Arial" w:hAnsi="Arial" w:cs="Arial"/>
          <w:sz w:val="24"/>
          <w:szCs w:val="24"/>
        </w:rPr>
        <w:t xml:space="preserve">física (8 itens), </w:t>
      </w:r>
      <w:r w:rsidR="00515B2B">
        <w:rPr>
          <w:rFonts w:ascii="Arial" w:hAnsi="Arial" w:cs="Arial"/>
          <w:sz w:val="24"/>
          <w:szCs w:val="24"/>
        </w:rPr>
        <w:t xml:space="preserve">emocional </w:t>
      </w:r>
      <w:r w:rsidR="005A772D">
        <w:rPr>
          <w:rFonts w:ascii="Arial" w:hAnsi="Arial" w:cs="Arial"/>
          <w:sz w:val="24"/>
          <w:szCs w:val="24"/>
        </w:rPr>
        <w:t xml:space="preserve">(5 itens), </w:t>
      </w:r>
      <w:r w:rsidR="00515B2B">
        <w:rPr>
          <w:rFonts w:ascii="Arial" w:hAnsi="Arial" w:cs="Arial"/>
          <w:sz w:val="24"/>
          <w:szCs w:val="24"/>
        </w:rPr>
        <w:t>social</w:t>
      </w:r>
      <w:r w:rsidR="005A772D">
        <w:rPr>
          <w:rFonts w:ascii="Arial" w:hAnsi="Arial" w:cs="Arial"/>
          <w:sz w:val="24"/>
          <w:szCs w:val="24"/>
        </w:rPr>
        <w:t xml:space="preserve"> (5 itens)</w:t>
      </w:r>
      <w:r w:rsidR="005021D2">
        <w:rPr>
          <w:rFonts w:ascii="Arial" w:hAnsi="Arial" w:cs="Arial"/>
          <w:sz w:val="24"/>
          <w:szCs w:val="24"/>
        </w:rPr>
        <w:t xml:space="preserve"> e</w:t>
      </w:r>
      <w:r w:rsidR="00032E3C">
        <w:rPr>
          <w:rFonts w:ascii="Arial" w:hAnsi="Arial" w:cs="Arial"/>
          <w:sz w:val="24"/>
          <w:szCs w:val="24"/>
        </w:rPr>
        <w:t xml:space="preserve"> </w:t>
      </w:r>
      <w:r w:rsidR="00515B2B">
        <w:rPr>
          <w:rFonts w:ascii="Arial" w:hAnsi="Arial" w:cs="Arial"/>
          <w:sz w:val="24"/>
          <w:szCs w:val="24"/>
        </w:rPr>
        <w:t>escolar</w:t>
      </w:r>
      <w:r w:rsidR="005A772D">
        <w:rPr>
          <w:rFonts w:ascii="Arial" w:hAnsi="Arial" w:cs="Arial"/>
          <w:sz w:val="24"/>
          <w:szCs w:val="24"/>
        </w:rPr>
        <w:t xml:space="preserve"> (5 itens)</w:t>
      </w:r>
      <w:r w:rsidR="00E37B88">
        <w:rPr>
          <w:rFonts w:ascii="Arial" w:hAnsi="Arial" w:cs="Arial"/>
          <w:sz w:val="24"/>
          <w:szCs w:val="24"/>
        </w:rPr>
        <w:t>.</w:t>
      </w:r>
      <w:r w:rsidR="006E3B56">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"10.1007/s11136-005-1388-z", "author" : [ { "dropping-particle" : "", "family" : "Varni", "given" : "J W", "non-dropping-particle" : "", "parse-names" : false, "suffix" : "" }, { "dropping-particle" : "", "family" : "Burwinkle", "given" : "Tasha M", "non-dropping-particle" : "", "parse-names" : false, "suffix" : "" }, { "dropping-particle" : "", "family" : "Seid", "given" : "Michael", "non-dropping-particle" : "", "parse-names" : false, "suffix" : "" }, { "dropping-particle" : "", "family" : "Skarr", "given" : "Douglas", "non-dropping-particle" : "", "parse-names" : false, "suffix" : "" } ], "container-title" : "Ambulatory Pediatric Association", "id" : "ITEM-1", "issue" : "6", "issued" : { "date-parts" : [ [ "2003" ] ] }, "page" : "329-341", "title" : "The PedsQL 4 . 0 as a pediatric population health measure: feasibility, reliability, and validity", "type" : "article-journal", "volume" : "3" }, "uris" : [ "http://www.mendeley.com/documents/?uuid=085efd4a-0ff3-420a-809f-24e3cf6826e9" ] }, { "id" : "ITEM-2", "itemData" : { "DOI" : "10.1016/j.pcl.2009.05.016", "author" : [ { "dropping-particle" : "", "family" : "Varni", "given" : "James W", "non-dropping-particle" : "", "parse-names" : false, "suffix" : "" }, { "dropping-particle" : "", "family" : "Limbers", "given" : "Christine A", "non-dropping-particle" : "", "parse-names" : false, "suffix" : "" } ], "container-title" : "Pediatr Clin North Am", "id" : "ITEM-2", "issue" : "4", "issued" : { "date-parts" : [ [ "2009" ] ] }, "page" : "843-863", "title" : "The Pediatric Quality of Life Inventory : measuring pediatric Hhealth - related quality of life from the perspective of children and their parents", "type" : "article-journal", "volume" : "56" }, "uris" : [ "http://www.mendeley.com/documents/?uuid=debe4b20-86dc-4813-83b1-2b0c1cdf5774" ] } ], "mendeley" : { "formattedCitation" : "&lt;sup&gt;91,92&lt;/sup&gt;", "plainTextFormattedCitation" : "91,92", "previouslyFormattedCitation" : "&lt;sup&gt;91,92&lt;/sup&gt;" }, "properties" : { "noteIndex" : 0 }, "schema" : "https://github.com/citation-style-language/schema/raw/master/csl-citation.json" }</w:instrText>
      </w:r>
      <w:r w:rsidR="006E3B56">
        <w:rPr>
          <w:rFonts w:ascii="Arial" w:hAnsi="Arial" w:cs="Arial"/>
          <w:sz w:val="24"/>
          <w:szCs w:val="24"/>
        </w:rPr>
        <w:fldChar w:fldCharType="separate"/>
      </w:r>
      <w:r w:rsidR="00412B48" w:rsidRPr="00412B48">
        <w:rPr>
          <w:rFonts w:ascii="Arial" w:hAnsi="Arial" w:cs="Arial"/>
          <w:noProof/>
          <w:sz w:val="24"/>
          <w:szCs w:val="24"/>
          <w:vertAlign w:val="superscript"/>
        </w:rPr>
        <w:t>91,92</w:t>
      </w:r>
      <w:r w:rsidR="006E3B56">
        <w:rPr>
          <w:rFonts w:ascii="Arial" w:hAnsi="Arial" w:cs="Arial"/>
          <w:sz w:val="24"/>
          <w:szCs w:val="24"/>
        </w:rPr>
        <w:fldChar w:fldCharType="end"/>
      </w:r>
      <w:r w:rsidR="00780A6C">
        <w:rPr>
          <w:rFonts w:ascii="Arial" w:hAnsi="Arial" w:cs="Arial"/>
          <w:sz w:val="24"/>
          <w:szCs w:val="24"/>
        </w:rPr>
        <w:t xml:space="preserve"> </w:t>
      </w:r>
      <w:r w:rsidR="00E37B88">
        <w:rPr>
          <w:rFonts w:ascii="Arial" w:hAnsi="Arial" w:cs="Arial"/>
          <w:sz w:val="24"/>
          <w:szCs w:val="24"/>
        </w:rPr>
        <w:t>O PedsQL</w:t>
      </w:r>
      <w:r w:rsidR="00E37B88" w:rsidRPr="007F7F88">
        <w:rPr>
          <w:rFonts w:ascii="Arial" w:hAnsi="Arial" w:cs="Arial"/>
          <w:sz w:val="24"/>
          <w:vertAlign w:val="superscript"/>
        </w:rPr>
        <w:t>TM</w:t>
      </w:r>
      <w:r w:rsidR="00E37B88">
        <w:rPr>
          <w:rFonts w:ascii="Arial" w:hAnsi="Arial" w:cs="Arial"/>
          <w:sz w:val="24"/>
          <w:vertAlign w:val="superscript"/>
        </w:rPr>
        <w:t xml:space="preserve"> </w:t>
      </w:r>
      <w:r w:rsidR="00E37B88">
        <w:rPr>
          <w:rFonts w:ascii="Arial" w:hAnsi="Arial" w:cs="Arial"/>
          <w:sz w:val="24"/>
          <w:szCs w:val="24"/>
        </w:rPr>
        <w:t>avalia de forma sistemática a percepç</w:t>
      </w:r>
      <w:r w:rsidR="00F47FDD">
        <w:rPr>
          <w:rFonts w:ascii="Arial" w:hAnsi="Arial" w:cs="Arial"/>
          <w:sz w:val="24"/>
          <w:szCs w:val="24"/>
        </w:rPr>
        <w:t>ão</w:t>
      </w:r>
      <w:r w:rsidR="00E37B88">
        <w:rPr>
          <w:rFonts w:ascii="Arial" w:hAnsi="Arial" w:cs="Arial"/>
          <w:sz w:val="24"/>
          <w:szCs w:val="24"/>
        </w:rPr>
        <w:t xml:space="preserve"> de crianças e adolescentes em condição de doenças crônicas</w:t>
      </w:r>
      <w:r w:rsidR="002B3AB8">
        <w:rPr>
          <w:rFonts w:ascii="Arial" w:hAnsi="Arial" w:cs="Arial"/>
          <w:sz w:val="24"/>
          <w:szCs w:val="24"/>
        </w:rPr>
        <w:t>,</w:t>
      </w:r>
      <w:r w:rsidR="002975C6">
        <w:rPr>
          <w:rFonts w:ascii="Arial" w:hAnsi="Arial" w:cs="Arial"/>
          <w:sz w:val="24"/>
          <w:szCs w:val="24"/>
        </w:rPr>
        <w:t xml:space="preserve"> e de seus pais</w:t>
      </w:r>
      <w:r w:rsidR="00780A6C">
        <w:rPr>
          <w:rFonts w:ascii="Arial" w:hAnsi="Arial" w:cs="Arial"/>
          <w:sz w:val="24"/>
          <w:szCs w:val="24"/>
        </w:rPr>
        <w:t>, quanto à QVRS</w:t>
      </w:r>
      <w:r w:rsidR="00E37B88">
        <w:rPr>
          <w:rFonts w:ascii="Arial" w:hAnsi="Arial" w:cs="Arial"/>
          <w:sz w:val="24"/>
          <w:szCs w:val="24"/>
        </w:rPr>
        <w:t>. Inicialmente, o estudo para desenvolvimento deste instrument</w:t>
      </w:r>
      <w:r w:rsidR="00780A6C">
        <w:rPr>
          <w:rFonts w:ascii="Arial" w:hAnsi="Arial" w:cs="Arial"/>
          <w:sz w:val="24"/>
          <w:szCs w:val="24"/>
        </w:rPr>
        <w:t>o foi com pacientes pediátricos</w:t>
      </w:r>
      <w:r w:rsidR="00E37B88">
        <w:rPr>
          <w:rFonts w:ascii="Arial" w:hAnsi="Arial" w:cs="Arial"/>
          <w:sz w:val="24"/>
          <w:szCs w:val="24"/>
        </w:rPr>
        <w:t xml:space="preserve"> na área de oncologia</w:t>
      </w:r>
      <w:r w:rsidR="00280746">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"10.1016/j.pcl.2009.05.016", "author" : [ { "dropping-particle" : "", "family" : "Varni", "given" : "James W", "non-dropping-particle" : "", "parse-names" : false, "suffix" : "" }, { "dropping-particle" : "", "family" : "Limbers", "given" : "Christine A", "non-dropping-particle" : "", "parse-names" : false, "suffix" : "" } ], "container-title" : "Pediatr Clin North Am", "id" : "ITEM-1", "issue" : "4", "issued" : { "date-parts" : [ [ "2009" ] ] }, "page" : "843-863", "title" : "The Pediatric Quality of Life Inventory : measuring pediatric Hhealth - related quality of life from the perspective of children and their parents", "type" : "article-journal", "volume" : "56" }, "uris" : [ "http://www.mendeley.com/documents/?uuid=debe4b20-86dc-4813-83b1-2b0c1cdf5774" ] } ], "mendeley" : { "formattedCitation" : "&lt;sup&gt;92&lt;/sup&gt;", "plainTextFormattedCitation" : "92", "previouslyFormattedCitation" : "&lt;sup&gt;92&lt;/sup&gt;" }, "properties" : { "noteIndex" : 0 }, "schema" : "https://github.com/citation-style-language/schema/raw/master/csl-citation.json" }</w:instrText>
      </w:r>
      <w:r w:rsidR="00280746">
        <w:rPr>
          <w:rFonts w:ascii="Arial" w:hAnsi="Arial" w:cs="Arial"/>
          <w:sz w:val="24"/>
          <w:szCs w:val="24"/>
        </w:rPr>
        <w:fldChar w:fldCharType="separate"/>
      </w:r>
      <w:r w:rsidR="00412B48" w:rsidRPr="00412B48">
        <w:rPr>
          <w:rFonts w:ascii="Arial" w:hAnsi="Arial" w:cs="Arial"/>
          <w:noProof/>
          <w:sz w:val="24"/>
          <w:szCs w:val="24"/>
          <w:vertAlign w:val="superscript"/>
        </w:rPr>
        <w:t>92</w:t>
      </w:r>
      <w:r w:rsidR="00280746">
        <w:rPr>
          <w:rFonts w:ascii="Arial" w:hAnsi="Arial" w:cs="Arial"/>
          <w:sz w:val="24"/>
          <w:szCs w:val="24"/>
        </w:rPr>
        <w:fldChar w:fldCharType="end"/>
      </w:r>
      <w:r w:rsidR="00780A6C">
        <w:rPr>
          <w:rFonts w:ascii="Arial" w:hAnsi="Arial" w:cs="Arial"/>
          <w:sz w:val="24"/>
          <w:szCs w:val="24"/>
        </w:rPr>
        <w:t>, mas, ele tem sido utilizado</w:t>
      </w:r>
      <w:r w:rsidR="00E37B88">
        <w:rPr>
          <w:rFonts w:ascii="Arial" w:hAnsi="Arial" w:cs="Arial"/>
          <w:sz w:val="24"/>
          <w:szCs w:val="24"/>
        </w:rPr>
        <w:t xml:space="preserve"> em diferentes </w:t>
      </w:r>
      <w:r w:rsidR="00780A6C">
        <w:rPr>
          <w:rFonts w:ascii="Arial" w:hAnsi="Arial" w:cs="Arial"/>
          <w:sz w:val="24"/>
          <w:szCs w:val="24"/>
        </w:rPr>
        <w:t>situaçõe</w:t>
      </w:r>
      <w:r w:rsidR="00E37B88">
        <w:rPr>
          <w:rFonts w:ascii="Arial" w:hAnsi="Arial" w:cs="Arial"/>
          <w:sz w:val="24"/>
          <w:szCs w:val="24"/>
        </w:rPr>
        <w:t xml:space="preserve">s clínicas no âmbito da pediatria, inclusive com </w:t>
      </w:r>
      <w:r w:rsidR="00D07DD5">
        <w:rPr>
          <w:rFonts w:ascii="Arial" w:hAnsi="Arial" w:cs="Arial"/>
          <w:sz w:val="24"/>
          <w:szCs w:val="24"/>
        </w:rPr>
        <w:t>criança</w:t>
      </w:r>
      <w:r w:rsidR="00E37B88">
        <w:rPr>
          <w:rFonts w:ascii="Arial" w:hAnsi="Arial" w:cs="Arial"/>
          <w:sz w:val="24"/>
          <w:szCs w:val="24"/>
        </w:rPr>
        <w:t>s saudáveis</w:t>
      </w:r>
      <w:r w:rsidR="00F61874">
        <w:rPr>
          <w:rFonts w:ascii="Arial" w:hAnsi="Arial" w:cs="Arial"/>
          <w:sz w:val="24"/>
          <w:szCs w:val="24"/>
        </w:rPr>
        <w:t>.</w:t>
      </w:r>
      <w:r w:rsidR="00854307">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"10.1007/s11136-005-1388-z", "author" : [ { "dropping-particle" : "", "family" : "Varni", "given" : "J W", "non-dropping-particle" : "", "parse-names" : false, "suffix" : "" }, { "dropping-particle" : "", "family" : "Burwinkle", "given" : "Tasha M", "non-dropping-particle" : "", "parse-names" : false, "suffix" : "" }, { "dropping-particle" : "", "family" : "Seid", "given" : "Michael", "non-dropping-particle" : "", "parse-names" : false, "suffix" : "" }, { "dropping-particle" : "", "family" : "Skarr", "given" : "Douglas", "non-dropping-particle" : "", "parse-names" : false, "suffix" : "" } ], "container-title" : "Ambulatory Pediatric Association", "id" : "ITEM-1", "issue" : "6", "issued" : { "date-parts" : [ [ "2003" ] ] }, "page" : "329-341", "title" : "The PedsQL 4 . 0 as a pediatric population health measure: feasibility, reliability, and validity", "type" : "article-journal", "volume" : "3" }, "uris" : [ "http://www.mendeley.com/documents/?uuid=085efd4a-0ff3-420a-809f-24e3cf6826e9" ] }, { "id" : "ITEM-2", "itemData" : { "DOI" : "10.1016/j.jpedp.2015.03.001", "author" : [ { "dropping-particle" : "", "family" : "Macedo", "given" : "RB", "non-dropping-particle" : "", "parse-names" : false, "suffix" : "" }, { "dropping-particle" : "", "family" : "Coelho-e-Silva", "given" : "MJ", "non-dropping-particle" : "", "parse-names" : false, "suffix" : "" }, { "dropping-particle" : "", "family" : "Sousa", "given" : "NF", "non-dropping-particle" : "", "parse-names" : false, "suffix" : "" }, { "dropping-particle" : "", "family" : "Valente-dos-Santos", "given" : "J", "non-dropping-particle" : "", "parse-names" : false, "suffix" : "" }, { "dropping-particle" : "", "family" : "Machado-Rodrigues", "given" : "AM", "non-dropping-particle" : "", "parse-names" : false, "suffix" : "" }, { "dropping-particle" : "", "family" : "Cumming", "given" : "SP", "non-dropping-particle" : "", "parse-names" : false, "suffix" : "" }, { "dropping-particle" : "", "family" : "Lima", "given" : "AV", "non-dropping-particle" : "", "parse-names" : false, "suffix" : "" }, { "dropping-particle" : "", "family" : "Gon\u00e7alves", "given" : "RS", "non-dropping-particle" : "", "parse-names" : false, "suffix" : "" }, { "dropping-particle" : "", "family" : "Martins", "given" : "RA", "non-dropping-particle" : "", "parse-names" : false, "suffix" : "" } ], "container-title" : "J Pediatr", "id" : "ITEM-2", "issue" : "3", "issued" : { "date-parts" : [ [ "2015" ] ] }, "page" : "263-269", "title" : "Quality of life, school backpack weight, and nonspecific low back pain in children and adolescents", "type" : "article-journal", "volume" : "91" }, "uris" : [ "http://www.mendeley.com/documents/?uuid=9fbb91de-16f2-45f6-867c-0e18dbc5d3ab" ] } ], "mendeley" : { "formattedCitation" : "&lt;sup&gt;91,93&lt;/sup&gt;", "plainTextFormattedCitation" : "91,93", "previouslyFormattedCitation" : "&lt;sup&gt;91,93&lt;/sup&gt;" }, "properties" : { "noteIndex" : 0 }, "schema" : "https://github.com/citation-style-language/schema/raw/master/csl-citation.json" }</w:instrText>
      </w:r>
      <w:r w:rsidR="00854307">
        <w:rPr>
          <w:rFonts w:ascii="Arial" w:hAnsi="Arial" w:cs="Arial"/>
          <w:sz w:val="24"/>
          <w:szCs w:val="24"/>
        </w:rPr>
        <w:fldChar w:fldCharType="separate"/>
      </w:r>
      <w:r w:rsidR="00412B48" w:rsidRPr="00412B48">
        <w:rPr>
          <w:rFonts w:ascii="Arial" w:hAnsi="Arial" w:cs="Arial"/>
          <w:noProof/>
          <w:sz w:val="24"/>
          <w:szCs w:val="24"/>
          <w:vertAlign w:val="superscript"/>
        </w:rPr>
        <w:t>91,93</w:t>
      </w:r>
      <w:r w:rsidR="00854307">
        <w:rPr>
          <w:rFonts w:ascii="Arial" w:hAnsi="Arial" w:cs="Arial"/>
          <w:sz w:val="24"/>
          <w:szCs w:val="24"/>
        </w:rPr>
        <w:fldChar w:fldCharType="end"/>
      </w:r>
      <w:r w:rsidR="00A32CDE">
        <w:rPr>
          <w:rFonts w:ascii="Arial" w:hAnsi="Arial" w:cs="Arial"/>
          <w:sz w:val="24"/>
          <w:szCs w:val="24"/>
        </w:rPr>
        <w:t xml:space="preserve"> </w:t>
      </w:r>
    </w:p>
    <w:p w:rsidR="004609F8" w:rsidRDefault="004609F8" w:rsidP="00491682">
      <w:pPr>
        <w:spacing w:after="0" w:line="360" w:lineRule="auto"/>
        <w:jc w:val="both"/>
        <w:rPr>
          <w:rFonts w:ascii="Arial" w:hAnsi="Arial" w:cs="Arial"/>
          <w:sz w:val="24"/>
          <w:szCs w:val="24"/>
        </w:rPr>
      </w:pPr>
    </w:p>
    <w:p w:rsidR="00E37B88" w:rsidRDefault="00E37B88" w:rsidP="00491682">
      <w:pPr>
        <w:spacing w:after="0" w:line="360" w:lineRule="auto"/>
        <w:jc w:val="both"/>
        <w:rPr>
          <w:rFonts w:ascii="Arial" w:hAnsi="Arial" w:cs="Arial"/>
          <w:sz w:val="24"/>
          <w:szCs w:val="24"/>
        </w:rPr>
      </w:pPr>
      <w:r>
        <w:rPr>
          <w:rFonts w:ascii="Arial" w:hAnsi="Arial" w:cs="Arial"/>
          <w:sz w:val="24"/>
          <w:szCs w:val="24"/>
        </w:rPr>
        <w:t>A versão 4.0 do questionário PedsQL</w:t>
      </w:r>
      <w:r w:rsidRPr="007F7F88">
        <w:rPr>
          <w:rFonts w:ascii="Arial" w:hAnsi="Arial" w:cs="Arial"/>
          <w:sz w:val="24"/>
          <w:vertAlign w:val="superscript"/>
        </w:rPr>
        <w:t>TM</w:t>
      </w:r>
      <w:r>
        <w:rPr>
          <w:rFonts w:ascii="Arial" w:hAnsi="Arial" w:cs="Arial"/>
          <w:sz w:val="24"/>
          <w:szCs w:val="24"/>
        </w:rPr>
        <w:t xml:space="preserve"> </w:t>
      </w:r>
      <w:r w:rsidR="00395EE2">
        <w:rPr>
          <w:rFonts w:ascii="Arial" w:hAnsi="Arial" w:cs="Arial"/>
          <w:sz w:val="24"/>
          <w:szCs w:val="24"/>
        </w:rPr>
        <w:t>é composta de formulários paralelos de avaliação</w:t>
      </w:r>
      <w:r w:rsidR="007C0987">
        <w:rPr>
          <w:rFonts w:ascii="Arial" w:hAnsi="Arial" w:cs="Arial"/>
          <w:sz w:val="24"/>
          <w:szCs w:val="24"/>
        </w:rPr>
        <w:t>,</w:t>
      </w:r>
      <w:r w:rsidR="00395EE2">
        <w:rPr>
          <w:rFonts w:ascii="Arial" w:hAnsi="Arial" w:cs="Arial"/>
          <w:sz w:val="24"/>
          <w:szCs w:val="24"/>
        </w:rPr>
        <w:t xml:space="preserve"> </w:t>
      </w:r>
      <w:r w:rsidR="007C0987">
        <w:rPr>
          <w:rFonts w:ascii="Arial" w:hAnsi="Arial" w:cs="Arial"/>
          <w:sz w:val="24"/>
          <w:szCs w:val="24"/>
        </w:rPr>
        <w:t>direcionados a</w:t>
      </w:r>
      <w:r w:rsidR="00395EE2">
        <w:rPr>
          <w:rFonts w:ascii="Arial" w:hAnsi="Arial" w:cs="Arial"/>
          <w:sz w:val="24"/>
          <w:szCs w:val="24"/>
        </w:rPr>
        <w:t xml:space="preserve"> crianças e adolescentes</w:t>
      </w:r>
      <w:r w:rsidR="00AE4F6E">
        <w:rPr>
          <w:rFonts w:ascii="Arial" w:hAnsi="Arial" w:cs="Arial"/>
          <w:sz w:val="24"/>
          <w:szCs w:val="24"/>
        </w:rPr>
        <w:t xml:space="preserve"> com idade de 5 a</w:t>
      </w:r>
      <w:r w:rsidR="004B2ACF">
        <w:rPr>
          <w:rFonts w:ascii="Arial" w:hAnsi="Arial" w:cs="Arial"/>
          <w:sz w:val="24"/>
          <w:szCs w:val="24"/>
        </w:rPr>
        <w:t xml:space="preserve"> 18 anos</w:t>
      </w:r>
      <w:r w:rsidR="007C0987">
        <w:rPr>
          <w:rFonts w:ascii="Arial" w:hAnsi="Arial" w:cs="Arial"/>
          <w:sz w:val="24"/>
          <w:szCs w:val="24"/>
        </w:rPr>
        <w:t>;</w:t>
      </w:r>
      <w:r w:rsidR="00395EE2">
        <w:rPr>
          <w:rFonts w:ascii="Arial" w:hAnsi="Arial" w:cs="Arial"/>
          <w:sz w:val="24"/>
          <w:szCs w:val="24"/>
        </w:rPr>
        <w:t xml:space="preserve"> e </w:t>
      </w:r>
      <w:r w:rsidR="00AE4F6E">
        <w:rPr>
          <w:rFonts w:ascii="Arial" w:hAnsi="Arial" w:cs="Arial"/>
          <w:sz w:val="24"/>
          <w:szCs w:val="24"/>
        </w:rPr>
        <w:t>das versões</w:t>
      </w:r>
      <w:r w:rsidR="00395EE2">
        <w:rPr>
          <w:rFonts w:ascii="Arial" w:hAnsi="Arial" w:cs="Arial"/>
          <w:sz w:val="24"/>
          <w:szCs w:val="24"/>
        </w:rPr>
        <w:t xml:space="preserve"> </w:t>
      </w:r>
      <w:r w:rsidR="004B2ACF">
        <w:rPr>
          <w:rFonts w:ascii="Arial" w:hAnsi="Arial" w:cs="Arial"/>
          <w:sz w:val="24"/>
          <w:szCs w:val="24"/>
        </w:rPr>
        <w:t xml:space="preserve">para </w:t>
      </w:r>
      <w:r w:rsidR="00395EE2">
        <w:rPr>
          <w:rFonts w:ascii="Arial" w:hAnsi="Arial" w:cs="Arial"/>
          <w:sz w:val="24"/>
          <w:szCs w:val="24"/>
        </w:rPr>
        <w:t>os pais</w:t>
      </w:r>
      <w:r w:rsidR="004B2ACF">
        <w:rPr>
          <w:rFonts w:ascii="Arial" w:hAnsi="Arial" w:cs="Arial"/>
          <w:sz w:val="24"/>
          <w:szCs w:val="24"/>
        </w:rPr>
        <w:t>, referente</w:t>
      </w:r>
      <w:r w:rsidR="007C0987">
        <w:rPr>
          <w:rFonts w:ascii="Arial" w:hAnsi="Arial" w:cs="Arial"/>
          <w:sz w:val="24"/>
          <w:szCs w:val="24"/>
        </w:rPr>
        <w:t>s</w:t>
      </w:r>
      <w:r w:rsidR="004B2ACF">
        <w:rPr>
          <w:rFonts w:ascii="Arial" w:hAnsi="Arial" w:cs="Arial"/>
          <w:sz w:val="24"/>
          <w:szCs w:val="24"/>
        </w:rPr>
        <w:t xml:space="preserve"> a crianças entre 2 e 18 anos</w:t>
      </w:r>
      <w:r w:rsidR="00395EE2">
        <w:rPr>
          <w:rFonts w:ascii="Arial" w:hAnsi="Arial" w:cs="Arial"/>
          <w:sz w:val="24"/>
          <w:szCs w:val="24"/>
        </w:rPr>
        <w:t xml:space="preserve">. Este instrumento </w:t>
      </w:r>
      <w:r>
        <w:rPr>
          <w:rFonts w:ascii="Arial" w:hAnsi="Arial" w:cs="Arial"/>
          <w:sz w:val="24"/>
          <w:szCs w:val="24"/>
        </w:rPr>
        <w:t xml:space="preserve">foi validado transculturalmente em </w:t>
      </w:r>
      <w:r w:rsidR="003C4779">
        <w:rPr>
          <w:rFonts w:ascii="Arial" w:hAnsi="Arial" w:cs="Arial"/>
          <w:sz w:val="24"/>
          <w:szCs w:val="24"/>
        </w:rPr>
        <w:t>outr</w:t>
      </w:r>
      <w:r>
        <w:rPr>
          <w:rFonts w:ascii="Arial" w:hAnsi="Arial" w:cs="Arial"/>
          <w:sz w:val="24"/>
          <w:szCs w:val="24"/>
        </w:rPr>
        <w:t>os países. No Brasil, esta versão foi traduzida para a língua portuguesa e adaptado à cultura brasileira no estudo desenvolvido por Klatchoian et al.</w:t>
      </w:r>
      <w:r w:rsidR="007F7070">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"10.2223/JPED.1788", "ISSN" : "0021-7557", "PMID" : "18679557", "abstract" : "OBJECTIVES: To evaluate the reliability and validity of the Brazilian version of the Pediatric Quality of Life Inventory (PedsQL 4.0) Generic Core Scales and measure the quality of life of healthy children and adolescents and patients with rheumatic diseases. METHODS: We followed the translation methodology proposed by the developer of the original English version of the PedsQL 4.0. The instrument was administered by interviews in two groups: 240 apparently healthy children and adolescents from S\u00e3o Paulo (SP, Brazil) and 105 patients with chronic rheumatic diseases matched by age, as well as their respective parents or caregivers. The parent proxy-report was administered to the children's parents or caregivers separately on the same day. RESULTS: Cronbach's alpha values were between 0.6 and 0.9 for all dimensions, demonstrating adequate internal consistency. Patients with rheumatic diseases reported significantly lower PedsQL scores on all dimensions when compared to the healthy control group (p &lt; 0.0001). Construct validity of the Brazilian Portuguese version of the PedsQL 4.0 was also confirmed. Parent proxy-report of patients with rheumatic diseases highly correlated with child self-report for physical functioning (r = 0.77, p &lt; 0.001) and school functioning (r = 0.73, p &lt; 0.001). Lower correlations were observed for emotional and social functioning (r = 0.40 and 0.59, respectively, p &lt; 0.001). CONCLUSIONS: The tool demonstrated reliability, validity, and the administration was fast and easy. Quality of life in patients with rheumatic diseases was significantly lower than in the healthy control group, supporting the necessity of a comprehensive approach to rheumatic disease management, focused on the psychosocial dimensions.", "author" : [ { "dropping-particle" : "", "family" : "Klatchoian", "given" : "Denise A", "non-dropping-particle" : "", "parse-names" : false, "suffix" : "" }, { "dropping-particle" : "", "family" : "Len", "given" : "Claudio A", "non-dropping-particle" : "", "parse-names" : false, "suffix" : "" }, { "dropping-particle" : "", "family" : "Terreri", "given" : "Maria Teresa R A", "non-dropping-particle" : "", "parse-names" : false, "suffix" : "" }, { "dropping-particle" : "", "family" : "Silva", "given" : "Marina", "non-dropping-particle" : "", "parse-names" : false, "suffix" : "" }, { "dropping-particle" : "", "family" : "Itamoto", "given" : "Caroline", "non-dropping-particle" : "", "parse-names" : false, "suffix" : "" }, { "dropping-particle" : "", "family" : "Ciconelli", "given" : "Rozana M", "non-dropping-particle" : "", "parse-names" : false, "suffix" : "" }, { "dropping-particle" : "", "family" : "Varni", "given" : "James W", "non-dropping-particle" : "", "parse-names" : false, "suffix" : "" }, { "dropping-particle" : "", "family" : "Hil\u00e1rio", "given" : "Maria Odete E", "non-dropping-particle" : "", "parse-names" : false, "suffix" : "" } ], "container-title" : "Jornal de Pediatria", "id" : "ITEM-1", "issue" : "4", "issued" : { "date-parts" : [ [ "2008" ] ] }, "page" : "308-315", "title" : "Quality of life of children and adolescents from S\u00e3o Paulo: reliability and validity of the Brazilian version of the Pediatric Quality of Life Inventory version 4.0 Generic Core Scales", "type" : "article-journal", "volume" : "84" }, "uris" : [ "http://www.mendeley.com/documents/?uuid=44dc1bef-bacf-44cc-a1cc-5f8e82b50507" ] } ], "mendeley" : { "formattedCitation" : "&lt;sup&gt;94&lt;/sup&gt;", "plainTextFormattedCitation" : "94", "previouslyFormattedCitation" : "&lt;sup&gt;94&lt;/sup&gt;" }, "properties" : { "noteIndex" : 0 }, "schema" : "https://github.com/citation-style-language/schema/raw/master/csl-citation.json" }</w:instrText>
      </w:r>
      <w:r w:rsidR="007F7070">
        <w:rPr>
          <w:rFonts w:ascii="Arial" w:hAnsi="Arial" w:cs="Arial"/>
          <w:sz w:val="24"/>
          <w:szCs w:val="24"/>
        </w:rPr>
        <w:fldChar w:fldCharType="separate"/>
      </w:r>
      <w:r w:rsidR="00412B48" w:rsidRPr="00412B48">
        <w:rPr>
          <w:rFonts w:ascii="Arial" w:hAnsi="Arial" w:cs="Arial"/>
          <w:noProof/>
          <w:sz w:val="24"/>
          <w:szCs w:val="24"/>
          <w:vertAlign w:val="superscript"/>
        </w:rPr>
        <w:t>94</w:t>
      </w:r>
      <w:r w:rsidR="007F7070">
        <w:rPr>
          <w:rFonts w:ascii="Arial" w:hAnsi="Arial" w:cs="Arial"/>
          <w:sz w:val="24"/>
          <w:szCs w:val="24"/>
        </w:rPr>
        <w:fldChar w:fldCharType="end"/>
      </w:r>
      <w:r>
        <w:rPr>
          <w:rFonts w:ascii="Arial" w:hAnsi="Arial" w:cs="Arial"/>
          <w:sz w:val="24"/>
          <w:szCs w:val="24"/>
        </w:rPr>
        <w:t xml:space="preserve">, </w:t>
      </w:r>
      <w:r w:rsidR="007C0987">
        <w:rPr>
          <w:rFonts w:ascii="Arial" w:hAnsi="Arial" w:cs="Arial"/>
          <w:sz w:val="24"/>
          <w:szCs w:val="24"/>
        </w:rPr>
        <w:t>com aplicação em</w:t>
      </w:r>
      <w:r>
        <w:rPr>
          <w:rFonts w:ascii="Arial" w:hAnsi="Arial" w:cs="Arial"/>
          <w:sz w:val="24"/>
          <w:szCs w:val="24"/>
        </w:rPr>
        <w:t xml:space="preserve"> crianças e adolescentes com doenças reumáticas.</w:t>
      </w:r>
      <w:r w:rsidR="00280746">
        <w:rPr>
          <w:rFonts w:ascii="Arial" w:hAnsi="Arial" w:cs="Arial"/>
          <w:sz w:val="24"/>
          <w:szCs w:val="24"/>
        </w:rPr>
        <w:t xml:space="preserve"> </w:t>
      </w:r>
      <w:r>
        <w:rPr>
          <w:rFonts w:ascii="Arial" w:hAnsi="Arial" w:cs="Arial"/>
          <w:sz w:val="24"/>
          <w:szCs w:val="24"/>
        </w:rPr>
        <w:t>Os result</w:t>
      </w:r>
      <w:r w:rsidR="007C0987">
        <w:rPr>
          <w:rFonts w:ascii="Arial" w:hAnsi="Arial" w:cs="Arial"/>
          <w:sz w:val="24"/>
          <w:szCs w:val="24"/>
        </w:rPr>
        <w:t>ados do referido estudo atesta</w:t>
      </w:r>
      <w:r w:rsidR="00C620DA">
        <w:rPr>
          <w:rFonts w:ascii="Arial" w:hAnsi="Arial" w:cs="Arial"/>
          <w:sz w:val="24"/>
          <w:szCs w:val="24"/>
        </w:rPr>
        <w:t>ra</w:t>
      </w:r>
      <w:r>
        <w:rPr>
          <w:rFonts w:ascii="Arial" w:hAnsi="Arial" w:cs="Arial"/>
          <w:sz w:val="24"/>
          <w:szCs w:val="24"/>
        </w:rPr>
        <w:t xml:space="preserve">m a viabilidade, confiabilidade e validade </w:t>
      </w:r>
      <w:r w:rsidR="00002ECC">
        <w:rPr>
          <w:rFonts w:ascii="Arial" w:hAnsi="Arial" w:cs="Arial"/>
          <w:sz w:val="24"/>
          <w:szCs w:val="24"/>
        </w:rPr>
        <w:t xml:space="preserve">do instrumento no idioma </w:t>
      </w:r>
      <w:r w:rsidR="00D27DB5">
        <w:rPr>
          <w:rFonts w:ascii="Arial" w:hAnsi="Arial" w:cs="Arial"/>
          <w:sz w:val="24"/>
          <w:szCs w:val="24"/>
        </w:rPr>
        <w:t>português do Brasil;</w:t>
      </w:r>
      <w:r>
        <w:rPr>
          <w:rFonts w:ascii="Arial" w:hAnsi="Arial" w:cs="Arial"/>
          <w:sz w:val="24"/>
          <w:szCs w:val="24"/>
        </w:rPr>
        <w:t xml:space="preserve"> tanto da versão referente à autoaval</w:t>
      </w:r>
      <w:r w:rsidR="00E53A87">
        <w:rPr>
          <w:rFonts w:ascii="Arial" w:hAnsi="Arial" w:cs="Arial"/>
          <w:sz w:val="24"/>
          <w:szCs w:val="24"/>
        </w:rPr>
        <w:t>iação das crianças, quanto dos formul</w:t>
      </w:r>
      <w:r>
        <w:rPr>
          <w:rFonts w:ascii="Arial" w:hAnsi="Arial" w:cs="Arial"/>
          <w:sz w:val="24"/>
          <w:szCs w:val="24"/>
        </w:rPr>
        <w:t xml:space="preserve">ários </w:t>
      </w:r>
      <w:r w:rsidR="00002ECC">
        <w:rPr>
          <w:rFonts w:ascii="Arial" w:hAnsi="Arial" w:cs="Arial"/>
          <w:sz w:val="24"/>
          <w:szCs w:val="24"/>
        </w:rPr>
        <w:t xml:space="preserve">a serem </w:t>
      </w:r>
      <w:r>
        <w:rPr>
          <w:rFonts w:ascii="Arial" w:hAnsi="Arial" w:cs="Arial"/>
          <w:sz w:val="24"/>
          <w:szCs w:val="24"/>
        </w:rPr>
        <w:t>respondidos pelos pais.</w:t>
      </w:r>
      <w:r w:rsidR="00280746">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"10.2223/JPED.1788", "ISSN" : "0021-7557", "PMID" : "18679557", "abstract" : "OBJECTIVES: To evaluate the reliability and validity of the Brazilian version of the Pediatric Quality of Life Inventory (PedsQL 4.0) Generic Core Scales and measure the quality of life of healthy children and adolescents and patients with rheumatic diseases. METHODS: We followed the translation methodology proposed by the developer of the original English version of the PedsQL 4.0. The instrument was administered by interviews in two groups: 240 apparently healthy children and adolescents from S\u00e3o Paulo (SP, Brazil) and 105 patients with chronic rheumatic diseases matched by age, as well as their respective parents or caregivers. The parent proxy-report was administered to the children's parents or caregivers separately on the same day. RESULTS: Cronbach's alpha values were between 0.6 and 0.9 for all dimensions, demonstrating adequate internal consistency. Patients with rheumatic diseases reported significantly lower PedsQL scores on all dimensions when compared to the healthy control group (p &lt; 0.0001). Construct validity of the Brazilian Portuguese version of the PedsQL 4.0 was also confirmed. Parent proxy-report of patients with rheumatic diseases highly correlated with child self-report for physical functioning (r = 0.77, p &lt; 0.001) and school functioning (r = 0.73, p &lt; 0.001). Lower correlations were observed for emotional and social functioning (r = 0.40 and 0.59, respectively, p &lt; 0.001). CONCLUSIONS: The tool demonstrated reliability, validity, and the administration was fast and easy. Quality of life in patients with rheumatic diseases was significantly lower than in the healthy control group, supporting the necessity of a comprehensive approach to rheumatic disease management, focused on the psychosocial dimensions.", "author" : [ { "dropping-particle" : "", "family" : "Klatchoian", "given" : "Denise A", "non-dropping-particle" : "", "parse-names" : false, "suffix" : "" }, { "dropping-particle" : "", "family" : "Len", "given" : "Claudio A", "non-dropping-particle" : "", "parse-names" : false, "suffix" : "" }, { "dropping-particle" : "", "family" : "Terreri", "given" : "Maria Teresa R A", "non-dropping-particle" : "", "parse-names" : false, "suffix" : "" }, { "dropping-particle" : "", "family" : "Silva", "given" : "Marina", "non-dropping-particle" : "", "parse-names" : false, "suffix" : "" }, { "dropping-particle" : "", "family" : "Itamoto", "given" : "Caroline", "non-dropping-particle" : "", "parse-names" : false, "suffix" : "" }, { "dropping-particle" : "", "family" : "Ciconelli", "given" : "Rozana M", "non-dropping-particle" : "", "parse-names" : false, "suffix" : "" }, { "dropping-particle" : "", "family" : "Varni", "given" : "James W", "non-dropping-particle" : "", "parse-names" : false, "suffix" : "" }, { "dropping-particle" : "", "family" : "Hil\u00e1rio", "given" : "Maria Odete E", "non-dropping-particle" : "", "parse-names" : false, "suffix" : "" } ], "container-title" : "Jornal de Pediatria", "id" : "ITEM-1", "issue" : "4", "issued" : { "date-parts" : [ [ "2008" ] ] }, "page" : "308-315", "title" : "Quality of life of children and adolescents from S\u00e3o Paulo: reliability and validity of the Brazilian version of the Pediatric Quality of Life Inventory version 4.0 Generic Core Scales", "type" : "article-journal", "volume" : "84" }, "uris" : [ "http://www.mendeley.com/documents/?uuid=44dc1bef-bacf-44cc-a1cc-5f8e82b50507" ] } ], "mendeley" : { "formattedCitation" : "&lt;sup&gt;94&lt;/sup&gt;", "plainTextFormattedCitation" : "94", "previouslyFormattedCitation" : "&lt;sup&gt;94&lt;/sup&gt;" }, "properties" : { "noteIndex" : 0 }, "schema" : "https://github.com/citation-style-language/schema/raw/master/csl-citation.json" }</w:instrText>
      </w:r>
      <w:r w:rsidR="00280746">
        <w:rPr>
          <w:rFonts w:ascii="Arial" w:hAnsi="Arial" w:cs="Arial"/>
          <w:sz w:val="24"/>
          <w:szCs w:val="24"/>
        </w:rPr>
        <w:fldChar w:fldCharType="separate"/>
      </w:r>
      <w:r w:rsidR="00412B48" w:rsidRPr="00412B48">
        <w:rPr>
          <w:rFonts w:ascii="Arial" w:hAnsi="Arial" w:cs="Arial"/>
          <w:noProof/>
          <w:sz w:val="24"/>
          <w:szCs w:val="24"/>
          <w:vertAlign w:val="superscript"/>
        </w:rPr>
        <w:t>94</w:t>
      </w:r>
      <w:r w:rsidR="00280746">
        <w:rPr>
          <w:rFonts w:ascii="Arial" w:hAnsi="Arial" w:cs="Arial"/>
          <w:sz w:val="24"/>
          <w:szCs w:val="24"/>
        </w:rPr>
        <w:fldChar w:fldCharType="end"/>
      </w:r>
    </w:p>
    <w:p w:rsidR="00A74824" w:rsidRDefault="00A74824" w:rsidP="00491682">
      <w:pPr>
        <w:spacing w:after="0" w:line="360" w:lineRule="auto"/>
        <w:jc w:val="both"/>
        <w:rPr>
          <w:rFonts w:ascii="Arial" w:hAnsi="Arial" w:cs="Arial"/>
          <w:sz w:val="24"/>
          <w:szCs w:val="24"/>
        </w:rPr>
      </w:pPr>
    </w:p>
    <w:p w:rsidR="00190633" w:rsidRDefault="00E37B88" w:rsidP="00491682">
      <w:pPr>
        <w:spacing w:after="0" w:line="360" w:lineRule="auto"/>
        <w:jc w:val="both"/>
        <w:rPr>
          <w:rFonts w:ascii="Arial" w:hAnsi="Arial" w:cs="Arial"/>
          <w:sz w:val="24"/>
        </w:rPr>
      </w:pPr>
      <w:r>
        <w:rPr>
          <w:rFonts w:ascii="Arial" w:hAnsi="Arial" w:cs="Arial"/>
          <w:sz w:val="24"/>
          <w:szCs w:val="24"/>
        </w:rPr>
        <w:lastRenderedPageBreak/>
        <w:t>Embora a versão original do instrumento tenha sido elaborada para ser autoaplicável</w:t>
      </w:r>
      <w:r w:rsidR="00AA69E2">
        <w:rPr>
          <w:rFonts w:ascii="Arial" w:hAnsi="Arial" w:cs="Arial"/>
          <w:sz w:val="24"/>
          <w:szCs w:val="24"/>
        </w:rPr>
        <w:t>,</w:t>
      </w:r>
      <w:r w:rsidR="00280746">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"10.1016/j.pcl.2009.05.016", "author" : [ { "dropping-particle" : "", "family" : "Varni", "given" : "James W", "non-dropping-particle" : "", "parse-names" : false, "suffix" : "" }, { "dropping-particle" : "", "family" : "Limbers", "given" : "Christine A", "non-dropping-particle" : "", "parse-names" : false, "suffix" : "" } ], "container-title" : "Pediatr Clin North Am", "id" : "ITEM-1", "issue" : "4", "issued" : { "date-parts" : [ [ "2009" ] ] }, "page" : "843-863", "title" : "The Pediatric Quality of Life Inventory : measuring pediatric Hhealth - related quality of life from the perspective of children and their parents", "type" : "article-journal", "volume" : "56" }, "uris" : [ "http://www.mendeley.com/documents/?uuid=debe4b20-86dc-4813-83b1-2b0c1cdf5774" ] } ], "mendeley" : { "formattedCitation" : "&lt;sup&gt;92&lt;/sup&gt;", "plainTextFormattedCitation" : "92", "previouslyFormattedCitation" : "&lt;sup&gt;92&lt;/sup&gt;" }, "properties" : { "noteIndex" : 0 }, "schema" : "https://github.com/citation-style-language/schema/raw/master/csl-citation.json" }</w:instrText>
      </w:r>
      <w:r w:rsidR="00280746">
        <w:rPr>
          <w:rFonts w:ascii="Arial" w:hAnsi="Arial" w:cs="Arial"/>
          <w:sz w:val="24"/>
          <w:szCs w:val="24"/>
        </w:rPr>
        <w:fldChar w:fldCharType="separate"/>
      </w:r>
      <w:r w:rsidR="00412B48" w:rsidRPr="00412B48">
        <w:rPr>
          <w:rFonts w:ascii="Arial" w:hAnsi="Arial" w:cs="Arial"/>
          <w:noProof/>
          <w:sz w:val="24"/>
          <w:szCs w:val="24"/>
          <w:vertAlign w:val="superscript"/>
        </w:rPr>
        <w:t>92</w:t>
      </w:r>
      <w:r w:rsidR="00280746">
        <w:rPr>
          <w:rFonts w:ascii="Arial" w:hAnsi="Arial" w:cs="Arial"/>
          <w:sz w:val="24"/>
          <w:szCs w:val="24"/>
        </w:rPr>
        <w:fldChar w:fldCharType="end"/>
      </w:r>
      <w:r>
        <w:rPr>
          <w:rFonts w:ascii="Arial" w:hAnsi="Arial" w:cs="Arial"/>
          <w:sz w:val="24"/>
          <w:szCs w:val="24"/>
        </w:rPr>
        <w:t xml:space="preserve"> o estudo de validação da versão brasileira evidencia a possibilidade </w:t>
      </w:r>
      <w:r w:rsidR="00AE4F6E">
        <w:rPr>
          <w:rFonts w:ascii="Arial" w:hAnsi="Arial" w:cs="Arial"/>
          <w:sz w:val="24"/>
          <w:szCs w:val="24"/>
        </w:rPr>
        <w:t>de</w:t>
      </w:r>
      <w:r>
        <w:rPr>
          <w:rFonts w:ascii="Arial" w:hAnsi="Arial" w:cs="Arial"/>
          <w:sz w:val="24"/>
          <w:szCs w:val="24"/>
        </w:rPr>
        <w:t xml:space="preserve"> ser administrado por um entrevistador, com um tempo médio para aplicação de 5 minutos</w:t>
      </w:r>
      <w:r w:rsidR="00026F32">
        <w:rPr>
          <w:rFonts w:ascii="Arial" w:hAnsi="Arial" w:cs="Arial"/>
          <w:sz w:val="24"/>
          <w:szCs w:val="24"/>
        </w:rPr>
        <w:t>.</w:t>
      </w:r>
      <w:r w:rsidR="00280746">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"10.2223/JPED.1788", "ISSN" : "0021-7557", "PMID" : "18679557", "abstract" : "OBJECTIVES: To evaluate the reliability and validity of the Brazilian version of the Pediatric Quality of Life Inventory (PedsQL 4.0) Generic Core Scales and measure the quality of life of healthy children and adolescents and patients with rheumatic diseases. METHODS: We followed the translation methodology proposed by the developer of the original English version of the PedsQL 4.0. The instrument was administered by interviews in two groups: 240 apparently healthy children and adolescents from S\u00e3o Paulo (SP, Brazil) and 105 patients with chronic rheumatic diseases matched by age, as well as their respective parents or caregivers. The parent proxy-report was administered to the children's parents or caregivers separately on the same day. RESULTS: Cronbach's alpha values were between 0.6 and 0.9 for all dimensions, demonstrating adequate internal consistency. Patients with rheumatic diseases reported significantly lower PedsQL scores on all dimensions when compared to the healthy control group (p &lt; 0.0001). Construct validity of the Brazilian Portuguese version of the PedsQL 4.0 was also confirmed. Parent proxy-report of patients with rheumatic diseases highly correlated with child self-report for physical functioning (r = 0.77, p &lt; 0.001) and school functioning (r = 0.73, p &lt; 0.001). Lower correlations were observed for emotional and social functioning (r = 0.40 and 0.59, respectively, p &lt; 0.001). CONCLUSIONS: The tool demonstrated reliability, validity, and the administration was fast and easy. Quality of life in patients with rheumatic diseases was significantly lower than in the healthy control group, supporting the necessity of a comprehensive approach to rheumatic disease management, focused on the psychosocial dimensions.", "author" : [ { "dropping-particle" : "", "family" : "Klatchoian", "given" : "Denise A", "non-dropping-particle" : "", "parse-names" : false, "suffix" : "" }, { "dropping-particle" : "", "family" : "Len", "given" : "Claudio A", "non-dropping-particle" : "", "parse-names" : false, "suffix" : "" }, { "dropping-particle" : "", "family" : "Terreri", "given" : "Maria Teresa R A", "non-dropping-particle" : "", "parse-names" : false, "suffix" : "" }, { "dropping-particle" : "", "family" : "Silva", "given" : "Marina", "non-dropping-particle" : "", "parse-names" : false, "suffix" : "" }, { "dropping-particle" : "", "family" : "Itamoto", "given" : "Caroline", "non-dropping-particle" : "", "parse-names" : false, "suffix" : "" }, { "dropping-particle" : "", "family" : "Ciconelli", "given" : "Rozana M", "non-dropping-particle" : "", "parse-names" : false, "suffix" : "" }, { "dropping-particle" : "", "family" : "Varni", "given" : "James W", "non-dropping-particle" : "", "parse-names" : false, "suffix" : "" }, { "dropping-particle" : "", "family" : "Hil\u00e1rio", "given" : "Maria Odete E", "non-dropping-particle" : "", "parse-names" : false, "suffix" : "" } ], "container-title" : "Jornal de Pediatria", "id" : "ITEM-1", "issue" : "4", "issued" : { "date-parts" : [ [ "2008" ] ] }, "page" : "308-315", "title" : "Quality of life of children and adolescents from S\u00e3o Paulo: reliability and validity of the Brazilian version of the Pediatric Quality of Life Inventory version 4.0 Generic Core Scales", "type" : "article-journal", "volume" : "84" }, "uris" : [ "http://www.mendeley.com/documents/?uuid=44dc1bef-bacf-44cc-a1cc-5f8e82b50507" ] } ], "mendeley" : { "formattedCitation" : "&lt;sup&gt;94&lt;/sup&gt;", "plainTextFormattedCitation" : "94", "previouslyFormattedCitation" : "&lt;sup&gt;94&lt;/sup&gt;" }, "properties" : { "noteIndex" : 0 }, "schema" : "https://github.com/citation-style-language/schema/raw/master/csl-citation.json" }</w:instrText>
      </w:r>
      <w:r w:rsidR="00280746">
        <w:rPr>
          <w:rFonts w:ascii="Arial" w:hAnsi="Arial" w:cs="Arial"/>
          <w:sz w:val="24"/>
          <w:szCs w:val="24"/>
        </w:rPr>
        <w:fldChar w:fldCharType="separate"/>
      </w:r>
      <w:r w:rsidR="00412B48" w:rsidRPr="00412B48">
        <w:rPr>
          <w:rFonts w:ascii="Arial" w:hAnsi="Arial" w:cs="Arial"/>
          <w:noProof/>
          <w:sz w:val="24"/>
          <w:szCs w:val="24"/>
          <w:vertAlign w:val="superscript"/>
        </w:rPr>
        <w:t>94</w:t>
      </w:r>
      <w:r w:rsidR="00280746">
        <w:rPr>
          <w:rFonts w:ascii="Arial" w:hAnsi="Arial" w:cs="Arial"/>
          <w:sz w:val="24"/>
          <w:szCs w:val="24"/>
        </w:rPr>
        <w:fldChar w:fldCharType="end"/>
      </w:r>
      <w:r w:rsidR="00A74824">
        <w:rPr>
          <w:rFonts w:ascii="Arial" w:hAnsi="Arial" w:cs="Arial"/>
          <w:sz w:val="24"/>
          <w:szCs w:val="24"/>
        </w:rPr>
        <w:t xml:space="preserve"> </w:t>
      </w:r>
      <w:r>
        <w:rPr>
          <w:rFonts w:ascii="Arial" w:hAnsi="Arial" w:cs="Arial"/>
          <w:sz w:val="24"/>
          <w:szCs w:val="24"/>
        </w:rPr>
        <w:t xml:space="preserve">O formulário para </w:t>
      </w:r>
      <w:r w:rsidR="00E25813">
        <w:rPr>
          <w:rFonts w:ascii="Arial" w:hAnsi="Arial" w:cs="Arial"/>
          <w:sz w:val="24"/>
          <w:szCs w:val="24"/>
        </w:rPr>
        <w:t xml:space="preserve">a </w:t>
      </w:r>
      <w:r>
        <w:rPr>
          <w:rFonts w:ascii="Arial" w:hAnsi="Arial" w:cs="Arial"/>
          <w:sz w:val="24"/>
          <w:szCs w:val="24"/>
        </w:rPr>
        <w:t>autoavaliação possui versões para crianças com faixa etária de 5 a 7 anos, 8 a 12 e 13 a 18 anos. A versão do questionário direcionad</w:t>
      </w:r>
      <w:r w:rsidR="00AE4F6E">
        <w:rPr>
          <w:rFonts w:ascii="Arial" w:hAnsi="Arial" w:cs="Arial"/>
          <w:sz w:val="24"/>
          <w:szCs w:val="24"/>
        </w:rPr>
        <w:t>a</w:t>
      </w:r>
      <w:r>
        <w:rPr>
          <w:rFonts w:ascii="Arial" w:hAnsi="Arial" w:cs="Arial"/>
          <w:sz w:val="24"/>
          <w:szCs w:val="24"/>
        </w:rPr>
        <w:t xml:space="preserve"> aos pais inclui as faixas etárias de 2 a 4 anos (criança em idade pré-escolar), 5 a 7 anos (criança pequena), 8 a 12 anos (criança) e 13 a 18 anos (adolescente). Os itens para cada um dos formulários apresentam semelhança de conteúdo</w:t>
      </w:r>
      <w:r w:rsidR="007F03B1">
        <w:rPr>
          <w:rFonts w:ascii="Arial" w:hAnsi="Arial" w:cs="Arial"/>
          <w:sz w:val="24"/>
          <w:szCs w:val="24"/>
        </w:rPr>
        <w:t xml:space="preserve">, diferindo quanto à linguagem </w:t>
      </w:r>
      <w:r>
        <w:rPr>
          <w:rFonts w:ascii="Arial" w:hAnsi="Arial" w:cs="Arial"/>
          <w:sz w:val="24"/>
          <w:szCs w:val="24"/>
        </w:rPr>
        <w:t>empregada</w:t>
      </w:r>
      <w:r w:rsidR="007F03B1">
        <w:rPr>
          <w:rFonts w:ascii="Arial" w:hAnsi="Arial" w:cs="Arial"/>
          <w:sz w:val="24"/>
          <w:szCs w:val="24"/>
        </w:rPr>
        <w:t>. Esta deve ser modificada</w:t>
      </w:r>
      <w:r>
        <w:rPr>
          <w:rFonts w:ascii="Arial" w:hAnsi="Arial" w:cs="Arial"/>
          <w:sz w:val="24"/>
          <w:szCs w:val="24"/>
        </w:rPr>
        <w:t xml:space="preserve"> de acordo</w:t>
      </w:r>
      <w:r w:rsidR="00026F32">
        <w:rPr>
          <w:rFonts w:ascii="Arial" w:hAnsi="Arial" w:cs="Arial"/>
          <w:sz w:val="24"/>
          <w:szCs w:val="24"/>
        </w:rPr>
        <w:t xml:space="preserve"> com </w:t>
      </w:r>
      <w:r w:rsidR="000B391B">
        <w:rPr>
          <w:rFonts w:ascii="Arial" w:hAnsi="Arial" w:cs="Arial"/>
          <w:sz w:val="24"/>
          <w:szCs w:val="24"/>
        </w:rPr>
        <w:t>a fase do</w:t>
      </w:r>
      <w:r w:rsidR="00026F32">
        <w:rPr>
          <w:rFonts w:ascii="Arial" w:hAnsi="Arial" w:cs="Arial"/>
          <w:sz w:val="24"/>
          <w:szCs w:val="24"/>
        </w:rPr>
        <w:t xml:space="preserve"> desenvolvimento</w:t>
      </w:r>
      <w:r w:rsidR="007F03B1">
        <w:rPr>
          <w:rFonts w:ascii="Arial" w:hAnsi="Arial" w:cs="Arial"/>
          <w:sz w:val="24"/>
          <w:szCs w:val="24"/>
        </w:rPr>
        <w:t xml:space="preserve"> neuropsicomotor </w:t>
      </w:r>
      <w:r w:rsidR="000B391B">
        <w:rPr>
          <w:rFonts w:ascii="Arial" w:hAnsi="Arial" w:cs="Arial"/>
          <w:sz w:val="24"/>
          <w:szCs w:val="24"/>
        </w:rPr>
        <w:t xml:space="preserve">na qual </w:t>
      </w:r>
      <w:r w:rsidR="007F03B1">
        <w:rPr>
          <w:rFonts w:ascii="Arial" w:hAnsi="Arial" w:cs="Arial"/>
          <w:sz w:val="24"/>
          <w:szCs w:val="24"/>
        </w:rPr>
        <w:t>o sujeito avaliado</w:t>
      </w:r>
      <w:r w:rsidR="000B391B">
        <w:rPr>
          <w:rFonts w:ascii="Arial" w:hAnsi="Arial" w:cs="Arial"/>
          <w:sz w:val="24"/>
          <w:szCs w:val="24"/>
        </w:rPr>
        <w:t xml:space="preserve"> se encontra,</w:t>
      </w:r>
      <w:r w:rsidR="007F03B1">
        <w:rPr>
          <w:rFonts w:ascii="Arial" w:hAnsi="Arial" w:cs="Arial"/>
          <w:sz w:val="24"/>
          <w:szCs w:val="24"/>
        </w:rPr>
        <w:t xml:space="preserve"> </w:t>
      </w:r>
      <w:r>
        <w:rPr>
          <w:rFonts w:ascii="Arial" w:hAnsi="Arial" w:cs="Arial"/>
          <w:sz w:val="24"/>
          <w:szCs w:val="24"/>
        </w:rPr>
        <w:t>e quanto ao uso da primeira</w:t>
      </w:r>
      <w:r w:rsidR="0087430E">
        <w:rPr>
          <w:rFonts w:ascii="Arial" w:hAnsi="Arial" w:cs="Arial"/>
          <w:sz w:val="24"/>
          <w:szCs w:val="24"/>
        </w:rPr>
        <w:t xml:space="preserve"> pessoa (versão das crianças)</w:t>
      </w:r>
      <w:r>
        <w:rPr>
          <w:rFonts w:ascii="Arial" w:hAnsi="Arial" w:cs="Arial"/>
          <w:sz w:val="24"/>
          <w:szCs w:val="24"/>
        </w:rPr>
        <w:t xml:space="preserve"> o</w:t>
      </w:r>
      <w:r w:rsidR="008921C5">
        <w:rPr>
          <w:rFonts w:ascii="Arial" w:hAnsi="Arial" w:cs="Arial"/>
          <w:sz w:val="24"/>
          <w:szCs w:val="24"/>
        </w:rPr>
        <w:t>u</w:t>
      </w:r>
      <w:r w:rsidR="0087430E">
        <w:rPr>
          <w:rFonts w:ascii="Arial" w:hAnsi="Arial" w:cs="Arial"/>
          <w:sz w:val="24"/>
          <w:szCs w:val="24"/>
        </w:rPr>
        <w:t xml:space="preserve"> da</w:t>
      </w:r>
      <w:r w:rsidR="008921C5">
        <w:rPr>
          <w:rFonts w:ascii="Arial" w:hAnsi="Arial" w:cs="Arial"/>
          <w:sz w:val="24"/>
          <w:szCs w:val="24"/>
        </w:rPr>
        <w:t xml:space="preserve"> terceira pessoa do singular</w:t>
      </w:r>
      <w:r w:rsidR="0087430E">
        <w:rPr>
          <w:rFonts w:ascii="Arial" w:hAnsi="Arial" w:cs="Arial"/>
          <w:sz w:val="24"/>
          <w:szCs w:val="24"/>
        </w:rPr>
        <w:t xml:space="preserve"> (versão para os pais)</w:t>
      </w:r>
      <w:r w:rsidR="00A74824">
        <w:rPr>
          <w:rFonts w:ascii="Arial" w:hAnsi="Arial" w:cs="Arial"/>
          <w:sz w:val="24"/>
          <w:szCs w:val="24"/>
        </w:rPr>
        <w:t>.</w:t>
      </w:r>
      <w:r w:rsidR="00A74824">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"10.2223/JPED.1788", "ISSN" : "0021-7557", "PMID" : "18679557", "abstract" : "OBJECTIVES: To evaluate the reliability and validity of the Brazilian version of the Pediatric Quality of Life Inventory (PedsQL 4.0) Generic Core Scales and measure the quality of life of healthy children and adolescents and patients with rheumatic diseases. METHODS: We followed the translation methodology proposed by the developer of the original English version of the PedsQL 4.0. The instrument was administered by interviews in two groups: 240 apparently healthy children and adolescents from S\u00e3o Paulo (SP, Brazil) and 105 patients with chronic rheumatic diseases matched by age, as well as their respective parents or caregivers. The parent proxy-report was administered to the children's parents or caregivers separately on the same day. RESULTS: Cronbach's alpha values were between 0.6 and 0.9 for all dimensions, demonstrating adequate internal consistency. Patients with rheumatic diseases reported significantly lower PedsQL scores on all dimensions when compared to the healthy control group (p &lt; 0.0001). Construct validity of the Brazilian Portuguese version of the PedsQL 4.0 was also confirmed. Parent proxy-report of patients with rheumatic diseases highly correlated with child self-report for physical functioning (r = 0.77, p &lt; 0.001) and school functioning (r = 0.73, p &lt; 0.001). Lower correlations were observed for emotional and social functioning (r = 0.40 and 0.59, respectively, p &lt; 0.001). CONCLUSIONS: The tool demonstrated reliability, validity, and the administration was fast and easy. Quality of life in patients with rheumatic diseases was significantly lower than in the healthy control group, supporting the necessity of a comprehensive approach to rheumatic disease management, focused on the psychosocial dimensions.", "author" : [ { "dropping-particle" : "", "family" : "Klatchoian", "given" : "Denise A", "non-dropping-particle" : "", "parse-names" : false, "suffix" : "" }, { "dropping-particle" : "", "family" : "Len", "given" : "Claudio A", "non-dropping-particle" : "", "parse-names" : false, "suffix" : "" }, { "dropping-particle" : "", "family" : "Terreri", "given" : "Maria Teresa R A", "non-dropping-particle" : "", "parse-names" : false, "suffix" : "" }, { "dropping-particle" : "", "family" : "Silva", "given" : "Marina", "non-dropping-particle" : "", "parse-names" : false, "suffix" : "" }, { "dropping-particle" : "", "family" : "Itamoto", "given" : "Caroline", "non-dropping-particle" : "", "parse-names" : false, "suffix" : "" }, { "dropping-particle" : "", "family" : "Ciconelli", "given" : "Rozana M", "non-dropping-particle" : "", "parse-names" : false, "suffix" : "" }, { "dropping-particle" : "", "family" : "Varni", "given" : "James W", "non-dropping-particle" : "", "parse-names" : false, "suffix" : "" }, { "dropping-particle" : "", "family" : "Hil\u00e1rio", "given" : "Maria Odete E", "non-dropping-particle" : "", "parse-names" : false, "suffix" : "" } ], "container-title" : "Jornal de Pediatria", "id" : "ITEM-1", "issue" : "4", "issued" : { "date-parts" : [ [ "2008" ] ] }, "page" : "308-315", "title" : "Quality of life of children and adolescents from S\u00e3o Paulo: reliability and validity of the Brazilian version of the Pediatric Quality of Life Inventory version 4.0 Generic Core Scales", "type" : "article-journal", "volume" : "84" }, "uris" : [ "http://www.mendeley.com/documents/?uuid=44dc1bef-bacf-44cc-a1cc-5f8e82b50507" ] } ], "mendeley" : { "formattedCitation" : "&lt;sup&gt;94&lt;/sup&gt;", "plainTextFormattedCitation" : "94", "previouslyFormattedCitation" : "&lt;sup&gt;94&lt;/sup&gt;" }, "properties" : { "noteIndex" : 0 }, "schema" : "https://github.com/citation-style-language/schema/raw/master/csl-citation.json" }</w:instrText>
      </w:r>
      <w:r w:rsidR="00A74824">
        <w:rPr>
          <w:rFonts w:ascii="Arial" w:hAnsi="Arial" w:cs="Arial"/>
          <w:sz w:val="24"/>
          <w:szCs w:val="24"/>
        </w:rPr>
        <w:fldChar w:fldCharType="separate"/>
      </w:r>
      <w:r w:rsidR="00412B48" w:rsidRPr="00412B48">
        <w:rPr>
          <w:rFonts w:ascii="Arial" w:hAnsi="Arial" w:cs="Arial"/>
          <w:noProof/>
          <w:sz w:val="24"/>
          <w:szCs w:val="24"/>
          <w:vertAlign w:val="superscript"/>
        </w:rPr>
        <w:t>94</w:t>
      </w:r>
      <w:r w:rsidR="00A74824">
        <w:rPr>
          <w:rFonts w:ascii="Arial" w:hAnsi="Arial" w:cs="Arial"/>
          <w:sz w:val="24"/>
          <w:szCs w:val="24"/>
        </w:rPr>
        <w:fldChar w:fldCharType="end"/>
      </w:r>
    </w:p>
    <w:p w:rsidR="0060248E" w:rsidRDefault="0060248E" w:rsidP="00491682">
      <w:pPr>
        <w:spacing w:after="0" w:line="360" w:lineRule="auto"/>
        <w:jc w:val="both"/>
        <w:rPr>
          <w:rFonts w:ascii="Arial" w:hAnsi="Arial" w:cs="Arial"/>
          <w:sz w:val="24"/>
          <w:szCs w:val="24"/>
        </w:rPr>
      </w:pPr>
    </w:p>
    <w:p w:rsidR="00190633" w:rsidRPr="00B12A0B" w:rsidRDefault="005021D2" w:rsidP="00491682">
      <w:pPr>
        <w:spacing w:after="0" w:line="360" w:lineRule="auto"/>
        <w:jc w:val="both"/>
        <w:rPr>
          <w:rFonts w:ascii="Arial" w:hAnsi="Arial" w:cs="Arial"/>
          <w:sz w:val="24"/>
          <w:szCs w:val="24"/>
        </w:rPr>
      </w:pPr>
      <w:r>
        <w:rPr>
          <w:rFonts w:ascii="Arial" w:hAnsi="Arial" w:cs="Arial"/>
          <w:sz w:val="24"/>
          <w:szCs w:val="24"/>
        </w:rPr>
        <w:t>Os questionamentos d</w:t>
      </w:r>
      <w:r w:rsidR="008921C5">
        <w:rPr>
          <w:rFonts w:ascii="Arial" w:hAnsi="Arial" w:cs="Arial"/>
          <w:sz w:val="24"/>
          <w:szCs w:val="24"/>
        </w:rPr>
        <w:t>o instrumento PedsQL</w:t>
      </w:r>
      <w:r w:rsidR="008921C5" w:rsidRPr="008921C5">
        <w:rPr>
          <w:rFonts w:ascii="Arial" w:hAnsi="Arial" w:cs="Arial"/>
          <w:sz w:val="24"/>
          <w:szCs w:val="24"/>
          <w:vertAlign w:val="superscript"/>
        </w:rPr>
        <w:t>TM</w:t>
      </w:r>
      <w:r w:rsidR="008921C5">
        <w:rPr>
          <w:rFonts w:ascii="Arial" w:hAnsi="Arial" w:cs="Arial"/>
          <w:sz w:val="24"/>
          <w:szCs w:val="24"/>
        </w:rPr>
        <w:t xml:space="preserve"> 4.0 </w:t>
      </w:r>
      <w:r>
        <w:rPr>
          <w:rFonts w:ascii="Arial" w:hAnsi="Arial" w:cs="Arial"/>
          <w:sz w:val="24"/>
          <w:szCs w:val="24"/>
        </w:rPr>
        <w:t>referem-se ao</w:t>
      </w:r>
      <w:r w:rsidR="00B12A0B">
        <w:rPr>
          <w:rFonts w:ascii="Arial" w:hAnsi="Arial" w:cs="Arial"/>
          <w:sz w:val="24"/>
          <w:szCs w:val="24"/>
        </w:rPr>
        <w:t xml:space="preserve"> quanto </w:t>
      </w:r>
      <w:r>
        <w:rPr>
          <w:rFonts w:ascii="Arial" w:hAnsi="Arial" w:cs="Arial"/>
          <w:sz w:val="24"/>
          <w:szCs w:val="24"/>
        </w:rPr>
        <w:t>as tarefas distribuídas nas dimensões da QVRS</w:t>
      </w:r>
      <w:r w:rsidR="00B12A0B">
        <w:rPr>
          <w:rFonts w:ascii="Arial" w:hAnsi="Arial" w:cs="Arial"/>
          <w:sz w:val="24"/>
          <w:szCs w:val="24"/>
        </w:rPr>
        <w:t xml:space="preserve"> representaram um problema para o indivíduo</w:t>
      </w:r>
      <w:r>
        <w:rPr>
          <w:rFonts w:ascii="Arial" w:hAnsi="Arial" w:cs="Arial"/>
          <w:sz w:val="24"/>
          <w:szCs w:val="24"/>
        </w:rPr>
        <w:t>, considerando o último mês. As resposta</w:t>
      </w:r>
      <w:r w:rsidR="00B12A0B">
        <w:rPr>
          <w:rFonts w:ascii="Arial" w:hAnsi="Arial" w:cs="Arial"/>
          <w:sz w:val="24"/>
          <w:szCs w:val="24"/>
        </w:rPr>
        <w:t>s</w:t>
      </w:r>
      <w:r>
        <w:rPr>
          <w:rFonts w:ascii="Arial" w:hAnsi="Arial" w:cs="Arial"/>
          <w:sz w:val="24"/>
          <w:szCs w:val="24"/>
        </w:rPr>
        <w:t xml:space="preserve"> baseiam-se em uma escala</w:t>
      </w:r>
      <w:r w:rsidR="006A246B">
        <w:rPr>
          <w:rFonts w:ascii="Arial" w:hAnsi="Arial" w:cs="Arial"/>
          <w:sz w:val="24"/>
          <w:szCs w:val="24"/>
        </w:rPr>
        <w:t xml:space="preserve"> com cinco opções</w:t>
      </w:r>
      <w:r w:rsidR="00B12A0B">
        <w:rPr>
          <w:rFonts w:ascii="Arial" w:hAnsi="Arial" w:cs="Arial"/>
          <w:sz w:val="24"/>
          <w:szCs w:val="24"/>
        </w:rPr>
        <w:t>, variando de 0 (nunca é um problema) a 4 (quase sempre é um problema). Após a obtenção das pontuações, os escores são invertidos e transformados linearmente para uma escala de 0 a 100 (0=100, 1=75, 2=50, 3=25, 4=0)</w:t>
      </w:r>
      <w:r w:rsidR="00395EE2">
        <w:rPr>
          <w:rFonts w:ascii="Arial" w:hAnsi="Arial" w:cs="Arial"/>
          <w:sz w:val="24"/>
          <w:szCs w:val="24"/>
        </w:rPr>
        <w:t xml:space="preserve">; </w:t>
      </w:r>
      <w:r w:rsidR="008921C5">
        <w:rPr>
          <w:rFonts w:ascii="Arial" w:hAnsi="Arial" w:cs="Arial"/>
          <w:sz w:val="24"/>
          <w:szCs w:val="24"/>
        </w:rPr>
        <w:t>quanto maior a pontuação, melhor será a QVRS.</w:t>
      </w:r>
      <w:r w:rsidR="0097065D">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"10.2223/JPED.1788", "ISSN" : "0021-7557", "PMID" : "18679557", "abstract" : "OBJECTIVES: To evaluate the reliability and validity of the Brazilian version of the Pediatric Quality of Life Inventory (PedsQL 4.0) Generic Core Scales and measure the quality of life of healthy children and adolescents and patients with rheumatic diseases. METHODS: We followed the translation methodology proposed by the developer of the original English version of the PedsQL 4.0. The instrument was administered by interviews in two groups: 240 apparently healthy children and adolescents from S\u00e3o Paulo (SP, Brazil) and 105 patients with chronic rheumatic diseases matched by age, as well as their respective parents or caregivers. The parent proxy-report was administered to the children's parents or caregivers separately on the same day. RESULTS: Cronbach's alpha values were between 0.6 and 0.9 for all dimensions, demonstrating adequate internal consistency. Patients with rheumatic diseases reported significantly lower PedsQL scores on all dimensions when compared to the healthy control group (p &lt; 0.0001). Construct validity of the Brazilian Portuguese version of the PedsQL 4.0 was also confirmed. Parent proxy-report of patients with rheumatic diseases highly correlated with child self-report for physical functioning (r = 0.77, p &lt; 0.001) and school functioning (r = 0.73, p &lt; 0.001). Lower correlations were observed for emotional and social functioning (r = 0.40 and 0.59, respectively, p &lt; 0.001). CONCLUSIONS: The tool demonstrated reliability, validity, and the administration was fast and easy. Quality of life in patients with rheumatic diseases was significantly lower than in the healthy control group, supporting the necessity of a comprehensive approach to rheumatic disease management, focused on the psychosocial dimensions.", "author" : [ { "dropping-particle" : "", "family" : "Klatchoian", "given" : "Denise A", "non-dropping-particle" : "", "parse-names" : false, "suffix" : "" }, { "dropping-particle" : "", "family" : "Len", "given" : "Claudio A", "non-dropping-particle" : "", "parse-names" : false, "suffix" : "" }, { "dropping-particle" : "", "family" : "Terreri", "given" : "Maria Teresa R A", "non-dropping-particle" : "", "parse-names" : false, "suffix" : "" }, { "dropping-particle" : "", "family" : "Silva", "given" : "Marina", "non-dropping-particle" : "", "parse-names" : false, "suffix" : "" }, { "dropping-particle" : "", "family" : "Itamoto", "given" : "Caroline", "non-dropping-particle" : "", "parse-names" : false, "suffix" : "" }, { "dropping-particle" : "", "family" : "Ciconelli", "given" : "Rozana M", "non-dropping-particle" : "", "parse-names" : false, "suffix" : "" }, { "dropping-particle" : "", "family" : "Varni", "given" : "James W", "non-dropping-particle" : "", "parse-names" : false, "suffix" : "" }, { "dropping-particle" : "", "family" : "Hil\u00e1rio", "given" : "Maria Odete E", "non-dropping-particle" : "", "parse-names" : false, "suffix" : "" } ], "container-title" : "Jornal de Pediatria", "id" : "ITEM-1", "issue" : "4", "issued" : { "date-parts" : [ [ "2008" ] ] }, "page" : "308-315", "title" : "Quality of life of children and adolescents from S\u00e3o Paulo: reliability and validity of the Brazilian version of the Pediatric Quality of Life Inventory version 4.0 Generic Core Scales", "type" : "article-journal", "volume" : "84" }, "uris" : [ "http://www.mendeley.com/documents/?uuid=44dc1bef-bacf-44cc-a1cc-5f8e82b50507" ] } ], "mendeley" : { "formattedCitation" : "&lt;sup&gt;94&lt;/sup&gt;", "plainTextFormattedCitation" : "94", "previouslyFormattedCitation" : "&lt;sup&gt;94&lt;/sup&gt;" }, "properties" : { "noteIndex" : 0 }, "schema" : "https://github.com/citation-style-language/schema/raw/master/csl-citation.json" }</w:instrText>
      </w:r>
      <w:r w:rsidR="0097065D">
        <w:rPr>
          <w:rFonts w:ascii="Arial" w:hAnsi="Arial" w:cs="Arial"/>
          <w:sz w:val="24"/>
          <w:szCs w:val="24"/>
        </w:rPr>
        <w:fldChar w:fldCharType="separate"/>
      </w:r>
      <w:r w:rsidR="00412B48" w:rsidRPr="00412B48">
        <w:rPr>
          <w:rFonts w:ascii="Arial" w:hAnsi="Arial" w:cs="Arial"/>
          <w:noProof/>
          <w:sz w:val="24"/>
          <w:szCs w:val="24"/>
          <w:vertAlign w:val="superscript"/>
        </w:rPr>
        <w:t>94</w:t>
      </w:r>
      <w:r w:rsidR="0097065D">
        <w:rPr>
          <w:rFonts w:ascii="Arial" w:hAnsi="Arial" w:cs="Arial"/>
          <w:sz w:val="24"/>
          <w:szCs w:val="24"/>
        </w:rPr>
        <w:fldChar w:fldCharType="end"/>
      </w:r>
    </w:p>
    <w:p w:rsidR="00714FBA" w:rsidRDefault="00714FBA" w:rsidP="00491682">
      <w:pPr>
        <w:spacing w:after="0" w:line="360" w:lineRule="auto"/>
        <w:jc w:val="both"/>
        <w:rPr>
          <w:rFonts w:ascii="Arial" w:hAnsi="Arial" w:cs="Arial"/>
          <w:sz w:val="24"/>
        </w:rPr>
      </w:pPr>
    </w:p>
    <w:p w:rsidR="00B30B15" w:rsidRDefault="009E2CCD" w:rsidP="00491682">
      <w:pPr>
        <w:spacing w:after="0" w:line="360" w:lineRule="auto"/>
        <w:jc w:val="both"/>
        <w:rPr>
          <w:rFonts w:ascii="Arial" w:hAnsi="Arial" w:cs="Arial"/>
          <w:sz w:val="24"/>
        </w:rPr>
      </w:pPr>
      <w:r>
        <w:rPr>
          <w:rFonts w:ascii="Arial" w:hAnsi="Arial" w:cs="Arial"/>
          <w:sz w:val="24"/>
        </w:rPr>
        <w:t>Na versão em portug</w:t>
      </w:r>
      <w:r w:rsidR="000F408C">
        <w:rPr>
          <w:rFonts w:ascii="Arial" w:hAnsi="Arial" w:cs="Arial"/>
          <w:sz w:val="24"/>
        </w:rPr>
        <w:t>uês brasileiro do questionário</w:t>
      </w:r>
      <w:r>
        <w:rPr>
          <w:rFonts w:ascii="Arial" w:hAnsi="Arial" w:cs="Arial"/>
          <w:sz w:val="24"/>
        </w:rPr>
        <w:t xml:space="preserve"> </w:t>
      </w:r>
      <w:r w:rsidR="00D62FA5">
        <w:rPr>
          <w:rFonts w:ascii="Arial" w:hAnsi="Arial" w:cs="Arial"/>
          <w:sz w:val="24"/>
        </w:rPr>
        <w:t>PedsQL</w:t>
      </w:r>
      <w:r w:rsidR="00D62FA5" w:rsidRPr="00D62FA5">
        <w:rPr>
          <w:rFonts w:ascii="Arial" w:hAnsi="Arial" w:cs="Arial"/>
          <w:sz w:val="24"/>
          <w:vertAlign w:val="superscript"/>
        </w:rPr>
        <w:t>TM</w:t>
      </w:r>
      <w:r w:rsidR="00D62FA5">
        <w:rPr>
          <w:rFonts w:ascii="Arial" w:hAnsi="Arial" w:cs="Arial"/>
          <w:sz w:val="24"/>
        </w:rPr>
        <w:t xml:space="preserve"> 4.0</w:t>
      </w:r>
      <w:r w:rsidR="00B517C1">
        <w:rPr>
          <w:rFonts w:ascii="Arial" w:hAnsi="Arial" w:cs="Arial"/>
          <w:sz w:val="24"/>
        </w:rPr>
        <w:t>,</w:t>
      </w:r>
      <w:r>
        <w:rPr>
          <w:rFonts w:ascii="Arial" w:hAnsi="Arial" w:cs="Arial"/>
          <w:sz w:val="24"/>
        </w:rPr>
        <w:fldChar w:fldCharType="begin" w:fldLock="1"/>
      </w:r>
      <w:r w:rsidR="00195481">
        <w:rPr>
          <w:rFonts w:ascii="Arial" w:hAnsi="Arial" w:cs="Arial"/>
          <w:sz w:val="24"/>
        </w:rPr>
        <w:instrText>ADDIN CSL_CITATION { "citationItems" : [ { "id" : "ITEM-1", "itemData" : { "DOI" : "10.2223/JPED.1788", "ISSN" : "0021-7557", "PMID" : "18679557", "abstract" : "OBJECTIVES: To evaluate the reliability and validity of the Brazilian version of the Pediatric Quality of Life Inventory (PedsQL 4.0) Generic Core Scales and measure the quality of life of healthy children and adolescents and patients with rheumatic diseases. METHODS: We followed the translation methodology proposed by the developer of the original English version of the PedsQL 4.0. The instrument was administered by interviews in two groups: 240 apparently healthy children and adolescents from S\u00e3o Paulo (SP, Brazil) and 105 patients with chronic rheumatic diseases matched by age, as well as their respective parents or caregivers. The parent proxy-report was administered to the children's parents or caregivers separately on the same day. RESULTS: Cronbach's alpha values were between 0.6 and 0.9 for all dimensions, demonstrating adequate internal consistency. Patients with rheumatic diseases reported significantly lower PedsQL scores on all dimensions when compared to the healthy control group (p &lt; 0.0001). Construct validity of the Brazilian Portuguese version of the PedsQL 4.0 was also confirmed. Parent proxy-report of patients with rheumatic diseases highly correlated with child self-report for physical functioning (r = 0.77, p &lt; 0.001) and school functioning (r = 0.73, p &lt; 0.001). Lower correlations were observed for emotional and social functioning (r = 0.40 and 0.59, respectively, p &lt; 0.001). CONCLUSIONS: The tool demonstrated reliability, validity, and the administration was fast and easy. Quality of life in patients with rheumatic diseases was significantly lower than in the healthy control group, supporting the necessity of a comprehensive approach to rheumatic disease management, focused on the psychosocial dimensions.", "author" : [ { "dropping-particle" : "", "family" : "Klatchoian", "given" : "Denise A", "non-dropping-particle" : "", "parse-names" : false, "suffix" : "" }, { "dropping-particle" : "", "family" : "Len", "given" : "Claudio A", "non-dropping-particle" : "", "parse-names" : false, "suffix" : "" }, { "dropping-particle" : "", "family" : "Terreri", "given" : "Maria Teresa R A", "non-dropping-particle" : "", "parse-names" : false, "suffix" : "" }, { "dropping-particle" : "", "family" : "Silva", "given" : "Marina", "non-dropping-particle" : "", "parse-names" : false, "suffix" : "" }, { "dropping-particle" : "", "family" : "Itamoto", "given" : "Caroline", "non-dropping-particle" : "", "parse-names" : false, "suffix" : "" }, { "dropping-particle" : "", "family" : "Ciconelli", "given" : "Rozana M", "non-dropping-particle" : "", "parse-names" : false, "suffix" : "" }, { "dropping-particle" : "", "family" : "Varni", "given" : "James W", "non-dropping-particle" : "", "parse-names" : false, "suffix" : "" }, { "dropping-particle" : "", "family" : "Hil\u00e1rio", "given" : "Maria Odete E", "non-dropping-particle" : "", "parse-names" : false, "suffix" : "" } ], "container-title" : "Jornal de Pediatria", "id" : "ITEM-1", "issue" : "4", "issued" : { "date-parts" : [ [ "2008" ] ] }, "page" : "308-315", "title" : "Quality of life of children and adolescents from S\u00e3o Paulo: reliability and validity of the Brazilian version of the Pediatric Quality of Life Inventory version 4.0 Generic Core Scales", "type" : "article-journal", "volume" : "84" }, "uris" : [ "http://www.mendeley.com/documents/?uuid=44dc1bef-bacf-44cc-a1cc-5f8e82b50507" ] } ], "mendeley" : { "formattedCitation" : "&lt;sup&gt;94&lt;/sup&gt;", "plainTextFormattedCitation" : "94", "previouslyFormattedCitation" : "&lt;sup&gt;94&lt;/sup&gt;" }, "properties" : { "noteIndex" : 0 }, "schema" : "https://github.com/citation-style-language/schema/raw/master/csl-citation.json" }</w:instrText>
      </w:r>
      <w:r>
        <w:rPr>
          <w:rFonts w:ascii="Arial" w:hAnsi="Arial" w:cs="Arial"/>
          <w:sz w:val="24"/>
        </w:rPr>
        <w:fldChar w:fldCharType="separate"/>
      </w:r>
      <w:r w:rsidR="00412B48" w:rsidRPr="00412B48">
        <w:rPr>
          <w:rFonts w:ascii="Arial" w:hAnsi="Arial" w:cs="Arial"/>
          <w:noProof/>
          <w:sz w:val="24"/>
          <w:vertAlign w:val="superscript"/>
        </w:rPr>
        <w:t>94</w:t>
      </w:r>
      <w:r>
        <w:rPr>
          <w:rFonts w:ascii="Arial" w:hAnsi="Arial" w:cs="Arial"/>
          <w:sz w:val="24"/>
        </w:rPr>
        <w:fldChar w:fldCharType="end"/>
      </w:r>
      <w:r>
        <w:rPr>
          <w:rFonts w:ascii="Arial" w:hAnsi="Arial" w:cs="Arial"/>
          <w:sz w:val="24"/>
        </w:rPr>
        <w:t xml:space="preserve"> o domínio capacidade física</w:t>
      </w:r>
      <w:r w:rsidR="00D62FA5">
        <w:rPr>
          <w:rFonts w:ascii="Arial" w:hAnsi="Arial" w:cs="Arial"/>
          <w:sz w:val="24"/>
        </w:rPr>
        <w:t xml:space="preserve"> avalia o nível de dificuldade para atividades como a</w:t>
      </w:r>
      <w:r w:rsidR="00B517C1">
        <w:rPr>
          <w:rFonts w:ascii="Arial" w:hAnsi="Arial" w:cs="Arial"/>
          <w:sz w:val="24"/>
        </w:rPr>
        <w:t>ndar, correr, praticar esportes/</w:t>
      </w:r>
      <w:r w:rsidR="00D62FA5">
        <w:rPr>
          <w:rFonts w:ascii="Arial" w:hAnsi="Arial" w:cs="Arial"/>
          <w:sz w:val="24"/>
        </w:rPr>
        <w:t>exercícios, levantar coisas pesadas, tomar banho sozinho e ajudar nas tarefas domésticas</w:t>
      </w:r>
      <w:r w:rsidR="00B517C1">
        <w:rPr>
          <w:rFonts w:ascii="Arial" w:hAnsi="Arial" w:cs="Arial"/>
          <w:sz w:val="24"/>
        </w:rPr>
        <w:t>. D</w:t>
      </w:r>
      <w:r w:rsidR="00D62FA5">
        <w:rPr>
          <w:rFonts w:ascii="Arial" w:hAnsi="Arial" w:cs="Arial"/>
          <w:sz w:val="24"/>
        </w:rPr>
        <w:t>or e energia</w:t>
      </w:r>
      <w:r w:rsidR="008E1B5B">
        <w:rPr>
          <w:rFonts w:ascii="Arial" w:hAnsi="Arial" w:cs="Arial"/>
          <w:sz w:val="24"/>
        </w:rPr>
        <w:t>/</w:t>
      </w:r>
      <w:r w:rsidR="00D62FA5">
        <w:rPr>
          <w:rFonts w:ascii="Arial" w:hAnsi="Arial" w:cs="Arial"/>
          <w:sz w:val="24"/>
        </w:rPr>
        <w:t>disposição</w:t>
      </w:r>
      <w:r w:rsidR="008E1B5B">
        <w:rPr>
          <w:rFonts w:ascii="Arial" w:hAnsi="Arial" w:cs="Arial"/>
          <w:sz w:val="24"/>
        </w:rPr>
        <w:t xml:space="preserve"> também são</w:t>
      </w:r>
      <w:r w:rsidR="00B517C1">
        <w:rPr>
          <w:rFonts w:ascii="Arial" w:hAnsi="Arial" w:cs="Arial"/>
          <w:sz w:val="24"/>
        </w:rPr>
        <w:t xml:space="preserve"> itens</w:t>
      </w:r>
      <w:r w:rsidR="008E1B5B">
        <w:rPr>
          <w:rFonts w:ascii="Arial" w:hAnsi="Arial" w:cs="Arial"/>
          <w:sz w:val="24"/>
        </w:rPr>
        <w:t xml:space="preserve"> </w:t>
      </w:r>
      <w:r w:rsidR="00B517C1">
        <w:rPr>
          <w:rFonts w:ascii="Arial" w:hAnsi="Arial" w:cs="Arial"/>
          <w:sz w:val="24"/>
        </w:rPr>
        <w:t>avaliado</w:t>
      </w:r>
      <w:r w:rsidR="008E1B5B">
        <w:rPr>
          <w:rFonts w:ascii="Arial" w:hAnsi="Arial" w:cs="Arial"/>
          <w:sz w:val="24"/>
        </w:rPr>
        <w:t>s</w:t>
      </w:r>
      <w:r w:rsidR="000F6FDC">
        <w:rPr>
          <w:rFonts w:ascii="Arial" w:hAnsi="Arial" w:cs="Arial"/>
          <w:sz w:val="24"/>
        </w:rPr>
        <w:t xml:space="preserve"> por est</w:t>
      </w:r>
      <w:r w:rsidR="00B517C1">
        <w:rPr>
          <w:rFonts w:ascii="Arial" w:hAnsi="Arial" w:cs="Arial"/>
          <w:sz w:val="24"/>
        </w:rPr>
        <w:t>e domínio</w:t>
      </w:r>
      <w:r w:rsidR="008E1B5B">
        <w:rPr>
          <w:rFonts w:ascii="Arial" w:hAnsi="Arial" w:cs="Arial"/>
          <w:sz w:val="24"/>
        </w:rPr>
        <w:t>.</w:t>
      </w:r>
      <w:r w:rsidR="00B517C1">
        <w:rPr>
          <w:rFonts w:ascii="Arial" w:hAnsi="Arial" w:cs="Arial"/>
          <w:sz w:val="24"/>
        </w:rPr>
        <w:t xml:space="preserve"> Aspectos </w:t>
      </w:r>
      <w:r w:rsidR="00337CAF">
        <w:rPr>
          <w:rFonts w:ascii="Arial" w:hAnsi="Arial" w:cs="Arial"/>
          <w:sz w:val="24"/>
        </w:rPr>
        <w:t xml:space="preserve">emocionais </w:t>
      </w:r>
      <w:r w:rsidR="00B517C1">
        <w:rPr>
          <w:rFonts w:ascii="Arial" w:hAnsi="Arial" w:cs="Arial"/>
          <w:sz w:val="24"/>
        </w:rPr>
        <w:t>compreende</w:t>
      </w:r>
      <w:r w:rsidR="00FF338E">
        <w:rPr>
          <w:rFonts w:ascii="Arial" w:hAnsi="Arial" w:cs="Arial"/>
          <w:sz w:val="24"/>
        </w:rPr>
        <w:t>m</w:t>
      </w:r>
      <w:r w:rsidR="00337CAF">
        <w:rPr>
          <w:rFonts w:ascii="Arial" w:hAnsi="Arial" w:cs="Arial"/>
          <w:sz w:val="24"/>
        </w:rPr>
        <w:t xml:space="preserve"> itens como medo, tristeza, raiva, sono e preocupação. </w:t>
      </w:r>
      <w:r w:rsidR="00B517C1">
        <w:rPr>
          <w:rFonts w:ascii="Arial" w:hAnsi="Arial" w:cs="Arial"/>
          <w:sz w:val="24"/>
        </w:rPr>
        <w:t xml:space="preserve">O domínio aspectos sociais avalia </w:t>
      </w:r>
      <w:r w:rsidR="0084548A">
        <w:rPr>
          <w:rFonts w:ascii="Arial" w:hAnsi="Arial" w:cs="Arial"/>
          <w:sz w:val="24"/>
        </w:rPr>
        <w:t>a dificuldade para convivência, amizade, aceitação, capacidade de realizar tarefas comuns aos pares e participação em brincadeiras.</w:t>
      </w:r>
      <w:r w:rsidR="00BA3E24">
        <w:rPr>
          <w:rFonts w:ascii="Arial" w:hAnsi="Arial" w:cs="Arial"/>
          <w:sz w:val="24"/>
        </w:rPr>
        <w:t xml:space="preserve"> E</w:t>
      </w:r>
      <w:r w:rsidR="006538D0">
        <w:rPr>
          <w:rFonts w:ascii="Arial" w:hAnsi="Arial" w:cs="Arial"/>
          <w:sz w:val="24"/>
        </w:rPr>
        <w:t>,</w:t>
      </w:r>
      <w:r w:rsidR="00BA3E24">
        <w:rPr>
          <w:rFonts w:ascii="Arial" w:hAnsi="Arial" w:cs="Arial"/>
          <w:sz w:val="24"/>
        </w:rPr>
        <w:t xml:space="preserve"> o domínio relacionado às atividades escolares avalia a dificuldade de atenção, memória, </w:t>
      </w:r>
      <w:r w:rsidR="00863B3C">
        <w:rPr>
          <w:rFonts w:ascii="Arial" w:hAnsi="Arial" w:cs="Arial"/>
          <w:sz w:val="24"/>
        </w:rPr>
        <w:t>acompanhamento do aprendizado escolar e falta às aulas.</w:t>
      </w:r>
      <w:r w:rsidR="00E65A90">
        <w:rPr>
          <w:rFonts w:ascii="Arial" w:hAnsi="Arial" w:cs="Arial"/>
          <w:sz w:val="24"/>
        </w:rPr>
        <w:t xml:space="preserve"> (Anexo B).</w:t>
      </w:r>
    </w:p>
    <w:p w:rsidR="00D62FA5" w:rsidRDefault="00D62FA5" w:rsidP="00B30B15">
      <w:pPr>
        <w:spacing w:after="0" w:line="360" w:lineRule="auto"/>
        <w:jc w:val="both"/>
        <w:rPr>
          <w:rFonts w:ascii="Arial" w:hAnsi="Arial" w:cs="Arial"/>
          <w:sz w:val="24"/>
        </w:rPr>
      </w:pPr>
    </w:p>
    <w:p w:rsidR="00A32220" w:rsidRDefault="00967831" w:rsidP="00491682">
      <w:pPr>
        <w:spacing w:after="0" w:line="360" w:lineRule="auto"/>
        <w:jc w:val="both"/>
        <w:rPr>
          <w:rFonts w:ascii="Arial" w:hAnsi="Arial" w:cs="Arial"/>
          <w:sz w:val="24"/>
        </w:rPr>
      </w:pPr>
      <w:r>
        <w:rPr>
          <w:rFonts w:ascii="Arial" w:hAnsi="Arial" w:cs="Arial"/>
          <w:sz w:val="24"/>
        </w:rPr>
        <w:t xml:space="preserve">A presença de doenças crônicas e incapacitantes no período da infância </w:t>
      </w:r>
      <w:r w:rsidR="009034C6">
        <w:rPr>
          <w:rFonts w:ascii="Arial" w:hAnsi="Arial" w:cs="Arial"/>
          <w:sz w:val="24"/>
        </w:rPr>
        <w:t>pode</w:t>
      </w:r>
      <w:r>
        <w:rPr>
          <w:rFonts w:ascii="Arial" w:hAnsi="Arial" w:cs="Arial"/>
          <w:sz w:val="24"/>
        </w:rPr>
        <w:t xml:space="preserve"> impactar na QVRS, acarretando prejuízos a longo prazo.</w:t>
      </w:r>
      <w:r w:rsidR="00584206">
        <w:rPr>
          <w:rFonts w:ascii="Arial" w:hAnsi="Arial" w:cs="Arial"/>
          <w:sz w:val="24"/>
        </w:rPr>
        <w:fldChar w:fldCharType="begin" w:fldLock="1"/>
      </w:r>
      <w:r w:rsidR="00195481">
        <w:rPr>
          <w:rFonts w:ascii="Arial" w:hAnsi="Arial" w:cs="Arial"/>
          <w:sz w:val="24"/>
        </w:rPr>
        <w:instrText>ADDIN CSL_CITATION { "citationItems" : [ { "id" : "ITEM-1", "itemData" : { "DOI" : "10.5935/abc.20130244", "author" : [ { "dropping-particle" : "", "family" : "Bertoletti", "given" : "Juliana", "non-dropping-particle" : "", "parse-names" : false, "suffix" : "" }, { "dropping-particle" : "", "family" : "Marx", "given" : "Giovana Caroline", "non-dropping-particle" : "", "parse-names" : false, "suffix" : "" }, { "dropping-particle" : "", "family" : "Hattge J\u00fanior", "given" : "S\u00e9rgio Pedro", "non-dropping-particle" : "", "parse-names" : false, "suffix" : "" }, { "dropping-particle" : "", "family" : "Pellanda", "given" : "Lucia Campos", "non-dropping-particle" : "", "parse-names" : false, "suffix" : "" } ], "container-title" : "Arq Bras Cardiol.", "id" : "ITEM-1", "issue" : "2", "issued" : { "date-parts" : [ [ "2014" ] ] }, "page" : "192-198", "title" : "Qualidade de vida e cardiopatia cong\u00eanita na inf\u00e2ncia e adolesc\u00eancia", "type" : "article-journal", "volume" : "10" }, "uris" : [ "http://www.mendeley.com/documents/?uuid=149554b7-e763-446d-87a3-305e558f84cc" ] } ], "mendeley" : { "formattedCitation" : "&lt;sup&gt;95&lt;/sup&gt;", "plainTextFormattedCitation" : "95", "previouslyFormattedCitation" : "&lt;sup&gt;95&lt;/sup&gt;" }, "properties" : { "noteIndex" : 0 }, "schema" : "https://github.com/citation-style-language/schema/raw/master/csl-citation.json" }</w:instrText>
      </w:r>
      <w:r w:rsidR="00584206">
        <w:rPr>
          <w:rFonts w:ascii="Arial" w:hAnsi="Arial" w:cs="Arial"/>
          <w:sz w:val="24"/>
        </w:rPr>
        <w:fldChar w:fldCharType="separate"/>
      </w:r>
      <w:r w:rsidR="00412B48" w:rsidRPr="00412B48">
        <w:rPr>
          <w:rFonts w:ascii="Arial" w:hAnsi="Arial" w:cs="Arial"/>
          <w:noProof/>
          <w:sz w:val="24"/>
          <w:vertAlign w:val="superscript"/>
        </w:rPr>
        <w:t>95</w:t>
      </w:r>
      <w:r w:rsidR="00584206">
        <w:rPr>
          <w:rFonts w:ascii="Arial" w:hAnsi="Arial" w:cs="Arial"/>
          <w:sz w:val="24"/>
        </w:rPr>
        <w:fldChar w:fldCharType="end"/>
      </w:r>
      <w:r w:rsidR="00A32220">
        <w:rPr>
          <w:rFonts w:ascii="Arial" w:hAnsi="Arial" w:cs="Arial"/>
          <w:sz w:val="24"/>
        </w:rPr>
        <w:t xml:space="preserve"> Por esta razão, a </w:t>
      </w:r>
      <w:r w:rsidR="00074837">
        <w:rPr>
          <w:rFonts w:ascii="Arial" w:hAnsi="Arial" w:cs="Arial"/>
          <w:sz w:val="24"/>
        </w:rPr>
        <w:lastRenderedPageBreak/>
        <w:t xml:space="preserve">avaliação </w:t>
      </w:r>
      <w:r w:rsidR="00EF4C75">
        <w:rPr>
          <w:rFonts w:ascii="Arial" w:hAnsi="Arial" w:cs="Arial"/>
          <w:sz w:val="24"/>
        </w:rPr>
        <w:t>desse constructo em</w:t>
      </w:r>
      <w:r w:rsidR="00A32220">
        <w:rPr>
          <w:rFonts w:ascii="Arial" w:hAnsi="Arial" w:cs="Arial"/>
          <w:sz w:val="24"/>
        </w:rPr>
        <w:t xml:space="preserve"> crianças e adolescentes</w:t>
      </w:r>
      <w:r w:rsidR="007771B9">
        <w:rPr>
          <w:rFonts w:ascii="Arial" w:hAnsi="Arial" w:cs="Arial"/>
          <w:sz w:val="24"/>
        </w:rPr>
        <w:t xml:space="preserve"> </w:t>
      </w:r>
      <w:r w:rsidR="00EF4C75">
        <w:rPr>
          <w:rFonts w:ascii="Arial" w:hAnsi="Arial" w:cs="Arial"/>
          <w:sz w:val="24"/>
        </w:rPr>
        <w:t>com diagnóstico de</w:t>
      </w:r>
      <w:r w:rsidR="007771B9">
        <w:rPr>
          <w:rFonts w:ascii="Arial" w:hAnsi="Arial" w:cs="Arial"/>
          <w:sz w:val="24"/>
        </w:rPr>
        <w:t xml:space="preserve"> MPS</w:t>
      </w:r>
      <w:r w:rsidR="00A32220">
        <w:rPr>
          <w:rFonts w:ascii="Arial" w:hAnsi="Arial" w:cs="Arial"/>
          <w:sz w:val="24"/>
        </w:rPr>
        <w:t xml:space="preserve"> </w:t>
      </w:r>
      <w:r w:rsidR="00074837">
        <w:rPr>
          <w:rFonts w:ascii="Arial" w:hAnsi="Arial" w:cs="Arial"/>
          <w:sz w:val="24"/>
        </w:rPr>
        <w:t>deve ser considerada</w:t>
      </w:r>
      <w:r w:rsidR="00A32220">
        <w:rPr>
          <w:rFonts w:ascii="Arial" w:hAnsi="Arial" w:cs="Arial"/>
          <w:sz w:val="24"/>
        </w:rPr>
        <w:t>, pois</w:t>
      </w:r>
      <w:r w:rsidR="007C2DAC">
        <w:rPr>
          <w:rFonts w:ascii="Arial" w:hAnsi="Arial" w:cs="Arial"/>
          <w:sz w:val="24"/>
        </w:rPr>
        <w:t xml:space="preserve"> </w:t>
      </w:r>
      <w:r w:rsidR="009034C6">
        <w:rPr>
          <w:rFonts w:ascii="Arial" w:hAnsi="Arial" w:cs="Arial"/>
          <w:sz w:val="24"/>
        </w:rPr>
        <w:t>esses dados poderão</w:t>
      </w:r>
      <w:r w:rsidR="00E235F3">
        <w:rPr>
          <w:rFonts w:ascii="Arial" w:hAnsi="Arial" w:cs="Arial"/>
          <w:sz w:val="24"/>
        </w:rPr>
        <w:t xml:space="preserve"> </w:t>
      </w:r>
      <w:r w:rsidR="00A32220">
        <w:rPr>
          <w:rFonts w:ascii="Arial" w:hAnsi="Arial" w:cs="Arial"/>
          <w:sz w:val="24"/>
        </w:rPr>
        <w:t>auxilia</w:t>
      </w:r>
      <w:r w:rsidR="00E235F3">
        <w:rPr>
          <w:rFonts w:ascii="Arial" w:hAnsi="Arial" w:cs="Arial"/>
          <w:sz w:val="24"/>
        </w:rPr>
        <w:t>r</w:t>
      </w:r>
      <w:r w:rsidR="009034C6">
        <w:rPr>
          <w:rFonts w:ascii="Arial" w:hAnsi="Arial" w:cs="Arial"/>
          <w:sz w:val="24"/>
        </w:rPr>
        <w:t xml:space="preserve"> o entendimento das consequências biopsicossociais da doença </w:t>
      </w:r>
      <w:r w:rsidR="00E235F3">
        <w:rPr>
          <w:rFonts w:ascii="Arial" w:hAnsi="Arial" w:cs="Arial"/>
          <w:sz w:val="24"/>
        </w:rPr>
        <w:t>e</w:t>
      </w:r>
      <w:r w:rsidR="00A32220">
        <w:rPr>
          <w:rFonts w:ascii="Arial" w:hAnsi="Arial" w:cs="Arial"/>
          <w:sz w:val="24"/>
        </w:rPr>
        <w:t xml:space="preserve"> o planejamento de estratégias de intervenção para </w:t>
      </w:r>
      <w:r w:rsidR="00B61998">
        <w:rPr>
          <w:rFonts w:ascii="Arial" w:hAnsi="Arial" w:cs="Arial"/>
          <w:sz w:val="24"/>
        </w:rPr>
        <w:t>melhor enfrentamento da mesm</w:t>
      </w:r>
      <w:r w:rsidR="009D611A">
        <w:rPr>
          <w:rFonts w:ascii="Arial" w:hAnsi="Arial" w:cs="Arial"/>
          <w:sz w:val="24"/>
        </w:rPr>
        <w:t>a</w:t>
      </w:r>
      <w:r w:rsidR="00A32220">
        <w:rPr>
          <w:rFonts w:ascii="Arial" w:hAnsi="Arial" w:cs="Arial"/>
          <w:sz w:val="24"/>
        </w:rPr>
        <w:t>.</w:t>
      </w:r>
    </w:p>
    <w:p w:rsidR="00622424" w:rsidRDefault="00622424" w:rsidP="005A1D16">
      <w:pPr>
        <w:spacing w:after="0" w:line="360" w:lineRule="auto"/>
        <w:jc w:val="both"/>
        <w:rPr>
          <w:rFonts w:ascii="Arial" w:hAnsi="Arial" w:cs="Arial"/>
          <w:sz w:val="24"/>
        </w:rPr>
      </w:pPr>
    </w:p>
    <w:p w:rsidR="00E012C6" w:rsidRDefault="0060179D" w:rsidP="004D4A6B">
      <w:pPr>
        <w:pStyle w:val="Ttulo2"/>
      </w:pPr>
      <w:bookmarkStart w:id="14" w:name="_Toc496749606"/>
      <w:r>
        <w:t>3.3</w:t>
      </w:r>
      <w:r w:rsidR="00E012C6">
        <w:t>.1 Qualidade de vida relacionada à saúde na MPS</w:t>
      </w:r>
      <w:bookmarkEnd w:id="14"/>
    </w:p>
    <w:p w:rsidR="005A1D16" w:rsidRDefault="005A1D16" w:rsidP="005A1D16">
      <w:pPr>
        <w:spacing w:after="0" w:line="360" w:lineRule="auto"/>
        <w:jc w:val="both"/>
        <w:rPr>
          <w:rFonts w:ascii="Arial" w:hAnsi="Arial" w:cs="Arial"/>
          <w:sz w:val="24"/>
        </w:rPr>
      </w:pPr>
    </w:p>
    <w:p w:rsidR="00E012C6" w:rsidRDefault="00E012C6" w:rsidP="00491682">
      <w:pPr>
        <w:spacing w:after="0" w:line="360" w:lineRule="auto"/>
        <w:jc w:val="both"/>
        <w:rPr>
          <w:rFonts w:ascii="Arial" w:hAnsi="Arial" w:cs="Arial"/>
          <w:sz w:val="24"/>
        </w:rPr>
      </w:pPr>
      <w:r>
        <w:rPr>
          <w:rFonts w:ascii="Arial" w:hAnsi="Arial" w:cs="Arial"/>
          <w:sz w:val="24"/>
        </w:rPr>
        <w:t xml:space="preserve">A mucopolissacaridose uma vez instalada gera </w:t>
      </w:r>
      <w:r w:rsidR="00831048">
        <w:rPr>
          <w:rFonts w:ascii="Arial" w:hAnsi="Arial" w:cs="Arial"/>
          <w:sz w:val="24"/>
        </w:rPr>
        <w:t xml:space="preserve">envolvimento multissistêmico, em virtude das alterações físicas, neurológicas, sociais e emocionais associadas à doença. </w:t>
      </w:r>
      <w:r>
        <w:rPr>
          <w:rFonts w:ascii="Arial" w:hAnsi="Arial" w:cs="Arial"/>
          <w:sz w:val="24"/>
        </w:rPr>
        <w:t xml:space="preserve">As manifestações clínicas diferem a depender dos sistemas acometidos e da gravidade do tipo de MPS. Entre </w:t>
      </w:r>
      <w:r w:rsidR="00B21870">
        <w:rPr>
          <w:rFonts w:ascii="Arial" w:hAnsi="Arial" w:cs="Arial"/>
          <w:sz w:val="24"/>
        </w:rPr>
        <w:t>as alterações</w:t>
      </w:r>
      <w:r>
        <w:rPr>
          <w:rFonts w:ascii="Arial" w:hAnsi="Arial" w:cs="Arial"/>
          <w:sz w:val="24"/>
        </w:rPr>
        <w:t xml:space="preserve"> físic</w:t>
      </w:r>
      <w:r w:rsidR="00B21870">
        <w:rPr>
          <w:rFonts w:ascii="Arial" w:hAnsi="Arial" w:cs="Arial"/>
          <w:sz w:val="24"/>
        </w:rPr>
        <w:t>a</w:t>
      </w:r>
      <w:r>
        <w:rPr>
          <w:rFonts w:ascii="Arial" w:hAnsi="Arial" w:cs="Arial"/>
          <w:sz w:val="24"/>
        </w:rPr>
        <w:t>s da doença destacam-se as deformidades ósseas, o comprometimento articular, problemas de visão e audição e o baixo condicionamento card</w:t>
      </w:r>
      <w:r w:rsidR="004834F7">
        <w:rPr>
          <w:rFonts w:ascii="Arial" w:hAnsi="Arial" w:cs="Arial"/>
          <w:sz w:val="24"/>
        </w:rPr>
        <w:t>iorrespiratório,</w:t>
      </w:r>
      <w:r w:rsidR="00831048">
        <w:rPr>
          <w:rFonts w:ascii="Arial" w:hAnsi="Arial" w:cs="Arial"/>
          <w:sz w:val="24"/>
        </w:rPr>
        <w:t xml:space="preserve"> o qual</w:t>
      </w:r>
      <w:r w:rsidR="00315ACB">
        <w:rPr>
          <w:rFonts w:ascii="Arial" w:hAnsi="Arial" w:cs="Arial"/>
          <w:sz w:val="24"/>
        </w:rPr>
        <w:t xml:space="preserve"> afeta o desempenho de atividades como subir e descer escadas, caminhar longas dist</w:t>
      </w:r>
      <w:r w:rsidR="00831048">
        <w:rPr>
          <w:rFonts w:ascii="Arial" w:hAnsi="Arial" w:cs="Arial"/>
          <w:sz w:val="24"/>
        </w:rPr>
        <w:t xml:space="preserve">âncias </w:t>
      </w:r>
      <w:r w:rsidR="007B1D3D">
        <w:rPr>
          <w:rFonts w:ascii="Arial" w:hAnsi="Arial" w:cs="Arial"/>
          <w:sz w:val="24"/>
        </w:rPr>
        <w:t>e/ou</w:t>
      </w:r>
      <w:r w:rsidR="00831048">
        <w:rPr>
          <w:rFonts w:ascii="Arial" w:hAnsi="Arial" w:cs="Arial"/>
          <w:sz w:val="24"/>
        </w:rPr>
        <w:t xml:space="preserve"> </w:t>
      </w:r>
      <w:r w:rsidR="00AA7BA3">
        <w:rPr>
          <w:rFonts w:ascii="Arial" w:hAnsi="Arial" w:cs="Arial"/>
          <w:sz w:val="24"/>
        </w:rPr>
        <w:t>a pr</w:t>
      </w:r>
      <w:r w:rsidR="007B1D3D">
        <w:rPr>
          <w:rFonts w:ascii="Arial" w:hAnsi="Arial" w:cs="Arial"/>
          <w:sz w:val="24"/>
        </w:rPr>
        <w:t>á</w:t>
      </w:r>
      <w:r w:rsidR="006358CC">
        <w:rPr>
          <w:rFonts w:ascii="Arial" w:hAnsi="Arial" w:cs="Arial"/>
          <w:sz w:val="24"/>
        </w:rPr>
        <w:t>tica</w:t>
      </w:r>
      <w:r w:rsidR="007B1D3D">
        <w:rPr>
          <w:rFonts w:ascii="Arial" w:hAnsi="Arial" w:cs="Arial"/>
          <w:sz w:val="24"/>
        </w:rPr>
        <w:t xml:space="preserve"> de esportes.</w:t>
      </w:r>
      <w:r w:rsidR="007B1D3D">
        <w:rPr>
          <w:rFonts w:ascii="Arial" w:hAnsi="Arial" w:cs="Arial"/>
          <w:sz w:val="24"/>
        </w:rPr>
        <w:fldChar w:fldCharType="begin" w:fldLock="1"/>
      </w:r>
      <w:r w:rsidR="00195481">
        <w:rPr>
          <w:rFonts w:ascii="Arial" w:hAnsi="Arial" w:cs="Arial"/>
          <w:sz w:val="24"/>
        </w:rPr>
        <w:instrText>ADDIN CSL_CITATION { "citationItems" : [ { "id" : "ITEM-1", "itemData" : { "DOI" : "10.1186/s13023-016-0503-2", "ISSN" : "1750-1172 (Electronic)", "PMID" : "27561270", "abstract" : "The mucopolysaccharidoses (MPS) comprise a heterogeneous family of rare, genetic lysosomal storage disorders that result in severe morbidity and reduced life expectancy. Emerging treatments for several of these disorders have triggered the search for clinically relevant biomarkers and clinical markers associated with treatment efficacy in populations and individuals. However, biomedical measures do not tell the whole story when characterizing a complex chronic disorder such as MPS. Health-related quality of life (HRQoL) tools that utilize patient reported outcomes to address patient parameters such as symptoms (pain, fatigue, psychological health), functioning (activity and limitations), or quality of life, have been used to supplement traditional biomedical endpoints. Many of these HRQoL tools have demonstrated that quality of life is negatively impacted in patients with MPS. There is both the opportunity and need to formally standardize and validate HRQoL tools for the different MPS disorders.", "author" : [ { "dropping-particle" : "", "family" : "Hendriksz", "given" : "Christian J", "non-dropping-particle" : "", "parse-names" : false, "suffix" : "" }, { "dropping-particle" : "", "family" : "Berger", "given" : "Kenneth I", "non-dropping-particle" : "", "parse-names" : false, "suffix" : "" }, { "dropping-particle" : "", "family" : "Lampe", "given" : "Christina", "non-dropping-particle" : "", "parse-names" : false, "suffix" : "" }, { "dropping-particle" : "", "family" : "Kircher", "given" : "Susanne G", "non-dropping-particle" : "", "parse-names" : false, "suffix" : "" }, { "dropping-particle" : "", "family" : "Orchard", "given" : "Paul J", "non-dropping-particle" : "", "parse-names" : false, "suffix" : "" }, { "dropping-particle" : "", "family" : "Southall", "given" : "Rebecca", "non-dropping-particle" : "", "parse-names" : false, "suffix" : "" }, { "dropping-particle" : "", "family" : "Long", "given" : "Sarah", "non-dropping-particle" : "", "parse-names" : false, "suffix" : "" }, { "dropping-particle" : "", "family" : "Sande", "given" : "Stephen", "non-dropping-particle" : "", "parse-names" : false, "suffix" : "" }, { "dropping-particle" : "", "family" : "Gold", "given" : "Jeffrey I", "non-dropping-particle" : "", "parse-names" : false, "suffix" : "" } ], "container-title" : "Orphanet Journal of Rare Diseases", "id" : "ITEM-1", "issue" : "119", "issued" : { "date-parts" : [ [ "2016" ] ] }, "page" : "1-15", "title" : "Health-related quality of life in mucopolysaccharidosis: looking beyond biomedical issues", "type" : "article-journal", "volume" : "11" }, "uris" : [ "http://www.mendeley.com/documents/?uuid=e0a666de-3614-31b7-b842-57e2b6e5c374" ] }, { "id" : "ITEM-2", "itemData" : { "DOI" : "10.1007/s10545-012-9459-0", "author" : [ { "dropping-particle" : "", "family" : "Hendriksz", "given" : "CJ", "non-dropping-particle" : "", "parse-names" : false, "suffix" : "" }, { "dropping-particle" : "", "family" : "Al-jawad", "given" : "M", "non-dropping-particle" : "", "parse-names" : false, "suffix" : "" }, { "dropping-particle" : "", "family" : "Berger", "given" : "KI", "non-dropping-particle" : "", "parse-names" : false, "suffix" : "" }, { "dropping-particle" : "", "family" : "Hawley", "given" : "SM", "non-dropping-particle" : "", "parse-names" : false, "suffix" : "" }, { "dropping-particle" : "", "family" : "Lawrence", "given" : "R", "non-dropping-particle" : "", "parse-names" : false, "suffix" : "" }, { "dropping-particle" : "", "family" : "Ardle", "given" : "CM", "non-dropping-particle" : "", "parse-names" : false, "suffix" : "" }, { "dropping-particle" : "", "family" : "Summers", "given" : "CG", "non-dropping-particle" : "", "parse-names" : false, "suffix" : "" }, { "dropping-particle" : "", "family" : "Wright", "given" : "E", "non-dropping-particle" : "", "parse-names" : false, "suffix" : "" }, { "dropping-particle" : "", "family" : "Braunlin", "given" : "E", "non-dropping-particle" : "", "parse-names" : false, "suffix" : "" } ], "container-title" : "J Inherit Metab Dis", "id" : "ITEM-2", "issue" : "2", "issued" : { "date-parts" : [ [ "2013" ] ] }, "page" : "309-322", "title" : "Clinical overview and treatment options for non-skeletal manifestations of mucopolysaccharidosis type IVA", "type" : "article-journal", "volume" : "36" }, "uris" : [ "http://www.mendeley.com/documents/?uuid=7581eeaa-9796-4ed1-8ac9-b10e04bb803b" ] }, { "id" : "ITEM-3", "itemData" : { "DOI" : "10.1177/2326409815613804", "author" : [ { "dropping-particle" : "", "family" : "Guarany", "given" : "NR", "non-dropping-particle" : "", "parse-names" : false, "suffix" : "" }, { "dropping-particle" : "", "family" : "Vanz", "given" : "AP", "non-dropping-particle" : "", "parse-names" : false, "suffix" : "" }, { "dropping-particle" : "", "family" : "Wilke", "given" : "MV", "non-dropping-particle" : "", "parse-names" : false, "suffix" : "" }, { "dropping-particle" : "", "family" : "Bender", "given" : "DD", "non-dropping-particle" : "", "parse-names" : false, "suffix" : "" }, { "dropping-particle" : "", "family" : "Borges", "given" : "MD", "non-dropping-particle" : "", "parse-names" : false, "suffix" : "" }, { "dropping-particle" : "", "family" : "Giugliani", "given" : "R", "non-dropping-particle" : "", "parse-names" : false, "suffix" : "" }, { "dropping-particle" : "", "family" : "Schwartz", "given" : "IV", "non-dropping-particle" : "", "parse-names" : false, "suffix" : "" } ], "container-title" : "Journal of Inborn Errors of Metabolism and Screening", "id" : "ITEM-3", "issued" : { "date-parts" : [ [ "2015" ] ] }, "page" : "1-7", "title" : "Mucopolysaccharidosis: caregiver quality of life", "type" : "article-journal", "volume" : "3" }, "uris" : [ "http://www.mendeley.com/documents/?uuid=07c5b9c2-b429-4d35-8bce-79da8113720b" ] } ], "mendeley" : { "formattedCitation" : "&lt;sup&gt;10,96,97&lt;/sup&gt;", "plainTextFormattedCitation" : "10,96,97", "previouslyFormattedCitation" : "&lt;sup&gt;10,96,97&lt;/sup&gt;" }, "properties" : { "noteIndex" : 0 }, "schema" : "https://github.com/citation-style-language/schema/raw/master/csl-citation.json" }</w:instrText>
      </w:r>
      <w:r w:rsidR="007B1D3D">
        <w:rPr>
          <w:rFonts w:ascii="Arial" w:hAnsi="Arial" w:cs="Arial"/>
          <w:sz w:val="24"/>
        </w:rPr>
        <w:fldChar w:fldCharType="separate"/>
      </w:r>
      <w:r w:rsidR="00412B48" w:rsidRPr="00412B48">
        <w:rPr>
          <w:rFonts w:ascii="Arial" w:hAnsi="Arial" w:cs="Arial"/>
          <w:noProof/>
          <w:sz w:val="24"/>
          <w:vertAlign w:val="superscript"/>
        </w:rPr>
        <w:t>10,96,97</w:t>
      </w:r>
      <w:r w:rsidR="007B1D3D">
        <w:rPr>
          <w:rFonts w:ascii="Arial" w:hAnsi="Arial" w:cs="Arial"/>
          <w:sz w:val="24"/>
        </w:rPr>
        <w:fldChar w:fldCharType="end"/>
      </w:r>
    </w:p>
    <w:p w:rsidR="00547F3D" w:rsidRDefault="00547F3D" w:rsidP="00491682">
      <w:pPr>
        <w:spacing w:after="0" w:line="360" w:lineRule="auto"/>
        <w:jc w:val="both"/>
        <w:rPr>
          <w:rFonts w:ascii="Arial" w:hAnsi="Arial" w:cs="Arial"/>
          <w:sz w:val="24"/>
        </w:rPr>
      </w:pPr>
    </w:p>
    <w:p w:rsidR="005A1D16" w:rsidRDefault="00E012C6" w:rsidP="00491682">
      <w:pPr>
        <w:spacing w:after="0" w:line="360" w:lineRule="auto"/>
        <w:jc w:val="both"/>
        <w:rPr>
          <w:rFonts w:ascii="Arial" w:hAnsi="Arial" w:cs="Arial"/>
          <w:sz w:val="24"/>
        </w:rPr>
      </w:pPr>
      <w:r>
        <w:rPr>
          <w:rFonts w:ascii="Arial" w:hAnsi="Arial" w:cs="Arial"/>
          <w:sz w:val="24"/>
        </w:rPr>
        <w:t xml:space="preserve">Alterações neurológicas, evidenciadas </w:t>
      </w:r>
      <w:r w:rsidR="00503151">
        <w:rPr>
          <w:rFonts w:ascii="Arial" w:hAnsi="Arial" w:cs="Arial"/>
          <w:sz w:val="24"/>
        </w:rPr>
        <w:t xml:space="preserve">por </w:t>
      </w:r>
      <w:r>
        <w:rPr>
          <w:rFonts w:ascii="Arial" w:hAnsi="Arial" w:cs="Arial"/>
          <w:sz w:val="24"/>
        </w:rPr>
        <w:t>compressão medular e de outros componentes neurais</w:t>
      </w:r>
      <w:r w:rsidR="00C43D64">
        <w:rPr>
          <w:rFonts w:ascii="Arial" w:hAnsi="Arial" w:cs="Arial"/>
          <w:sz w:val="24"/>
        </w:rPr>
        <w:t>,</w:t>
      </w:r>
      <w:r>
        <w:rPr>
          <w:rFonts w:ascii="Arial" w:hAnsi="Arial" w:cs="Arial"/>
          <w:sz w:val="24"/>
        </w:rPr>
        <w:t xml:space="preserve"> presença de dor crônica</w:t>
      </w:r>
      <w:r w:rsidR="00C43D64">
        <w:rPr>
          <w:rFonts w:ascii="Arial" w:hAnsi="Arial" w:cs="Arial"/>
          <w:sz w:val="24"/>
        </w:rPr>
        <w:t xml:space="preserve"> e </w:t>
      </w:r>
      <w:r w:rsidR="006358CC">
        <w:rPr>
          <w:rFonts w:ascii="Arial" w:hAnsi="Arial" w:cs="Arial"/>
          <w:sz w:val="24"/>
        </w:rPr>
        <w:t>envolvimento</w:t>
      </w:r>
      <w:r w:rsidR="00C43D64">
        <w:rPr>
          <w:rFonts w:ascii="Arial" w:hAnsi="Arial" w:cs="Arial"/>
          <w:sz w:val="24"/>
        </w:rPr>
        <w:t xml:space="preserve"> cognitivo</w:t>
      </w:r>
      <w:r w:rsidR="006358CC">
        <w:rPr>
          <w:rFonts w:ascii="Arial" w:hAnsi="Arial" w:cs="Arial"/>
          <w:sz w:val="24"/>
        </w:rPr>
        <w:t xml:space="preserve"> (cara</w:t>
      </w:r>
      <w:r w:rsidR="00E23F4B">
        <w:rPr>
          <w:rFonts w:ascii="Arial" w:hAnsi="Arial" w:cs="Arial"/>
          <w:sz w:val="24"/>
        </w:rPr>
        <w:t>cterística de alguns tipos de M</w:t>
      </w:r>
      <w:r w:rsidR="006358CC">
        <w:rPr>
          <w:rFonts w:ascii="Arial" w:hAnsi="Arial" w:cs="Arial"/>
          <w:sz w:val="24"/>
        </w:rPr>
        <w:t>PS)</w:t>
      </w:r>
      <w:r>
        <w:rPr>
          <w:rFonts w:ascii="Arial" w:hAnsi="Arial" w:cs="Arial"/>
          <w:sz w:val="24"/>
        </w:rPr>
        <w:t xml:space="preserve">, também poderão interferir na </w:t>
      </w:r>
      <w:r w:rsidR="00622424">
        <w:rPr>
          <w:rFonts w:ascii="Arial" w:hAnsi="Arial" w:cs="Arial"/>
          <w:sz w:val="24"/>
        </w:rPr>
        <w:t>QVRS</w:t>
      </w:r>
      <w:r>
        <w:rPr>
          <w:rFonts w:ascii="Arial" w:hAnsi="Arial" w:cs="Arial"/>
          <w:sz w:val="24"/>
        </w:rPr>
        <w:t xml:space="preserve"> dos </w:t>
      </w:r>
      <w:r w:rsidR="00503151">
        <w:rPr>
          <w:rFonts w:ascii="Arial" w:hAnsi="Arial" w:cs="Arial"/>
          <w:sz w:val="24"/>
        </w:rPr>
        <w:t>pacientes diagnosticados com</w:t>
      </w:r>
      <w:r w:rsidR="006358CC">
        <w:rPr>
          <w:rFonts w:ascii="Arial" w:hAnsi="Arial" w:cs="Arial"/>
          <w:sz w:val="24"/>
        </w:rPr>
        <w:t xml:space="preserve"> a doença</w:t>
      </w:r>
      <w:r w:rsidR="00C43D64">
        <w:rPr>
          <w:rFonts w:ascii="Arial" w:hAnsi="Arial" w:cs="Arial"/>
          <w:sz w:val="24"/>
        </w:rPr>
        <w:t>. Es</w:t>
      </w:r>
      <w:r w:rsidR="00503151">
        <w:rPr>
          <w:rFonts w:ascii="Arial" w:hAnsi="Arial" w:cs="Arial"/>
          <w:sz w:val="24"/>
        </w:rPr>
        <w:t>s</w:t>
      </w:r>
      <w:r w:rsidR="00C43D64">
        <w:rPr>
          <w:rFonts w:ascii="Arial" w:hAnsi="Arial" w:cs="Arial"/>
          <w:sz w:val="24"/>
        </w:rPr>
        <w:t>es fatores</w:t>
      </w:r>
      <w:r>
        <w:rPr>
          <w:rFonts w:ascii="Arial" w:hAnsi="Arial" w:cs="Arial"/>
          <w:sz w:val="24"/>
        </w:rPr>
        <w:t xml:space="preserve"> geram</w:t>
      </w:r>
      <w:r w:rsidR="006358CC">
        <w:rPr>
          <w:rFonts w:ascii="Arial" w:hAnsi="Arial" w:cs="Arial"/>
          <w:sz w:val="24"/>
        </w:rPr>
        <w:t xml:space="preserve"> aos indivíduos</w:t>
      </w:r>
      <w:r>
        <w:rPr>
          <w:rFonts w:ascii="Arial" w:hAnsi="Arial" w:cs="Arial"/>
          <w:sz w:val="24"/>
        </w:rPr>
        <w:t xml:space="preserve"> condição de dependência física e emocional, lim</w:t>
      </w:r>
      <w:r w:rsidR="006358CC">
        <w:rPr>
          <w:rFonts w:ascii="Arial" w:hAnsi="Arial" w:cs="Arial"/>
          <w:sz w:val="24"/>
        </w:rPr>
        <w:t>itando-os quanto à mobilidade;</w:t>
      </w:r>
      <w:r w:rsidR="004A6E56">
        <w:rPr>
          <w:rFonts w:ascii="Arial" w:hAnsi="Arial" w:cs="Arial"/>
          <w:sz w:val="24"/>
        </w:rPr>
        <w:t xml:space="preserve"> </w:t>
      </w:r>
      <w:r w:rsidR="00547F3D">
        <w:rPr>
          <w:rFonts w:ascii="Arial" w:hAnsi="Arial" w:cs="Arial"/>
          <w:sz w:val="24"/>
        </w:rPr>
        <w:t xml:space="preserve">na </w:t>
      </w:r>
      <w:r>
        <w:rPr>
          <w:rFonts w:ascii="Arial" w:hAnsi="Arial" w:cs="Arial"/>
          <w:sz w:val="24"/>
        </w:rPr>
        <w:t xml:space="preserve">realização </w:t>
      </w:r>
      <w:r w:rsidR="006358CC">
        <w:rPr>
          <w:rFonts w:ascii="Arial" w:hAnsi="Arial" w:cs="Arial"/>
          <w:sz w:val="24"/>
        </w:rPr>
        <w:t xml:space="preserve">independente </w:t>
      </w:r>
      <w:r>
        <w:rPr>
          <w:rFonts w:ascii="Arial" w:hAnsi="Arial" w:cs="Arial"/>
          <w:sz w:val="24"/>
        </w:rPr>
        <w:t xml:space="preserve">de atividades habituais </w:t>
      </w:r>
      <w:r w:rsidR="00E23F4B">
        <w:rPr>
          <w:rFonts w:ascii="Arial" w:hAnsi="Arial" w:cs="Arial"/>
          <w:sz w:val="24"/>
        </w:rPr>
        <w:t xml:space="preserve">do dia-a-dia, </w:t>
      </w:r>
      <w:r w:rsidR="00827BEF">
        <w:rPr>
          <w:rFonts w:ascii="Arial" w:hAnsi="Arial" w:cs="Arial"/>
          <w:sz w:val="24"/>
        </w:rPr>
        <w:t>como alimentar-se sozinho e</w:t>
      </w:r>
      <w:r w:rsidR="006358CC">
        <w:rPr>
          <w:rFonts w:ascii="Arial" w:hAnsi="Arial" w:cs="Arial"/>
          <w:sz w:val="24"/>
        </w:rPr>
        <w:t xml:space="preserve"> </w:t>
      </w:r>
      <w:r w:rsidR="00E23F4B">
        <w:rPr>
          <w:rFonts w:ascii="Arial" w:hAnsi="Arial" w:cs="Arial"/>
          <w:sz w:val="24"/>
        </w:rPr>
        <w:t>tomar banho</w:t>
      </w:r>
      <w:r w:rsidR="006358CC">
        <w:rPr>
          <w:rFonts w:ascii="Arial" w:hAnsi="Arial" w:cs="Arial"/>
          <w:sz w:val="24"/>
        </w:rPr>
        <w:t xml:space="preserve">; </w:t>
      </w:r>
      <w:r w:rsidR="00547F3D">
        <w:rPr>
          <w:rFonts w:ascii="Arial" w:hAnsi="Arial" w:cs="Arial"/>
          <w:sz w:val="24"/>
        </w:rPr>
        <w:t xml:space="preserve">na </w:t>
      </w:r>
      <w:r w:rsidR="006358CC">
        <w:rPr>
          <w:rFonts w:ascii="Arial" w:hAnsi="Arial" w:cs="Arial"/>
          <w:sz w:val="24"/>
        </w:rPr>
        <w:t>participação em</w:t>
      </w:r>
      <w:r>
        <w:rPr>
          <w:rFonts w:ascii="Arial" w:hAnsi="Arial" w:cs="Arial"/>
          <w:sz w:val="24"/>
        </w:rPr>
        <w:t xml:space="preserve"> atividades de</w:t>
      </w:r>
      <w:r w:rsidR="006358CC">
        <w:rPr>
          <w:rFonts w:ascii="Arial" w:hAnsi="Arial" w:cs="Arial"/>
          <w:sz w:val="24"/>
        </w:rPr>
        <w:t xml:space="preserve"> lazer e em outros</w:t>
      </w:r>
      <w:r w:rsidR="00E23F4B">
        <w:rPr>
          <w:rFonts w:ascii="Arial" w:hAnsi="Arial" w:cs="Arial"/>
          <w:sz w:val="24"/>
        </w:rPr>
        <w:t xml:space="preserve"> contextos, a exemplo da </w:t>
      </w:r>
      <w:r>
        <w:rPr>
          <w:rFonts w:ascii="Arial" w:hAnsi="Arial" w:cs="Arial"/>
          <w:sz w:val="24"/>
        </w:rPr>
        <w:t>escola e</w:t>
      </w:r>
      <w:r w:rsidR="00E23F4B">
        <w:rPr>
          <w:rFonts w:ascii="Arial" w:hAnsi="Arial" w:cs="Arial"/>
          <w:sz w:val="24"/>
        </w:rPr>
        <w:t xml:space="preserve"> do local de</w:t>
      </w:r>
      <w:r>
        <w:rPr>
          <w:rFonts w:ascii="Arial" w:hAnsi="Arial" w:cs="Arial"/>
          <w:sz w:val="24"/>
        </w:rPr>
        <w:t xml:space="preserve"> trabalho</w:t>
      </w:r>
      <w:r w:rsidR="006358CC">
        <w:rPr>
          <w:rFonts w:ascii="Arial" w:hAnsi="Arial" w:cs="Arial"/>
          <w:sz w:val="24"/>
        </w:rPr>
        <w:t>;</w:t>
      </w:r>
      <w:r>
        <w:rPr>
          <w:rFonts w:ascii="Arial" w:hAnsi="Arial" w:cs="Arial"/>
          <w:sz w:val="24"/>
        </w:rPr>
        <w:t xml:space="preserve"> no estabelecimento de relações sociais</w:t>
      </w:r>
      <w:r w:rsidR="006358CC">
        <w:rPr>
          <w:rFonts w:ascii="Arial" w:hAnsi="Arial" w:cs="Arial"/>
          <w:sz w:val="24"/>
        </w:rPr>
        <w:t>;</w:t>
      </w:r>
      <w:r>
        <w:rPr>
          <w:rFonts w:ascii="Arial" w:hAnsi="Arial" w:cs="Arial"/>
          <w:sz w:val="24"/>
        </w:rPr>
        <w:t xml:space="preserve"> e na </w:t>
      </w:r>
      <w:r w:rsidRPr="006358CC">
        <w:rPr>
          <w:rFonts w:ascii="Arial" w:hAnsi="Arial" w:cs="Arial"/>
          <w:sz w:val="24"/>
        </w:rPr>
        <w:t>independência funcional propriamente dita.</w:t>
      </w:r>
      <w:r w:rsidR="006358CC">
        <w:rPr>
          <w:rFonts w:ascii="Arial" w:hAnsi="Arial" w:cs="Arial"/>
          <w:sz w:val="24"/>
        </w:rPr>
        <w:fldChar w:fldCharType="begin" w:fldLock="1"/>
      </w:r>
      <w:r w:rsidR="00195481">
        <w:rPr>
          <w:rFonts w:ascii="Arial" w:hAnsi="Arial" w:cs="Arial"/>
          <w:sz w:val="24"/>
        </w:rPr>
        <w:instrText>ADDIN CSL_CITATION { "citationItems" : [ { "id" : "ITEM-1", "itemData" : { "DOI" : "10.1177/2326409815613804", "author" : [ { "dropping-particle" : "", "family" : "Guarany", "given" : "NR", "non-dropping-particle" : "", "parse-names" : false, "suffix" : "" }, { "dropping-particle" : "", "family" : "Vanz", "given" : "AP", "non-dropping-particle" : "", "parse-names" : false, "suffix" : "" }, { "dropping-particle" : "", "family" : "Wilke", "given" : "MV", "non-dropping-particle" : "", "parse-names" : false, "suffix" : "" }, { "dropping-particle" : "", "family" : "Bender", "given" : "DD", "non-dropping-particle" : "", "parse-names" : false, "suffix" : "" }, { "dropping-particle" : "", "family" : "Borges", "given" : "MD", "non-dropping-particle" : "", "parse-names" : false, "suffix" : "" }, { "dropping-particle" : "", "family" : "Giugliani", "given" : "R", "non-dropping-particle" : "", "parse-names" : false, "suffix" : "" }, { "dropping-particle" : "", "family" : "Schwartz", "given" : "IV", "non-dropping-particle" : "", "parse-names" : false, "suffix" : "" } ], "container-title" : "Journal of Inborn Errors of Metabolism and Screening", "id" : "ITEM-1", "issued" : { "date-parts" : [ [ "2015" ] ] }, "page" : "1-7", "title" : "Mucopolysaccharidosis: caregiver quality of life", "type" : "article-journal", "volume" : "3" }, "uris" : [ "http://www.mendeley.com/documents/?uuid=07c5b9c2-b429-4d35-8bce-79da8113720b" ] } ], "mendeley" : { "formattedCitation" : "&lt;sup&gt;97&lt;/sup&gt;", "plainTextFormattedCitation" : "97", "previouslyFormattedCitation" : "&lt;sup&gt;97&lt;/sup&gt;" }, "properties" : { "noteIndex" : 0 }, "schema" : "https://github.com/citation-style-language/schema/raw/master/csl-citation.json" }</w:instrText>
      </w:r>
      <w:r w:rsidR="006358CC">
        <w:rPr>
          <w:rFonts w:ascii="Arial" w:hAnsi="Arial" w:cs="Arial"/>
          <w:sz w:val="24"/>
        </w:rPr>
        <w:fldChar w:fldCharType="separate"/>
      </w:r>
      <w:r w:rsidR="00412B48" w:rsidRPr="00412B48">
        <w:rPr>
          <w:rFonts w:ascii="Arial" w:hAnsi="Arial" w:cs="Arial"/>
          <w:noProof/>
          <w:sz w:val="24"/>
          <w:vertAlign w:val="superscript"/>
        </w:rPr>
        <w:t>97</w:t>
      </w:r>
      <w:r w:rsidR="006358CC">
        <w:rPr>
          <w:rFonts w:ascii="Arial" w:hAnsi="Arial" w:cs="Arial"/>
          <w:sz w:val="24"/>
        </w:rPr>
        <w:fldChar w:fldCharType="end"/>
      </w:r>
    </w:p>
    <w:p w:rsidR="00081167" w:rsidRDefault="00081167" w:rsidP="00081167">
      <w:pPr>
        <w:spacing w:after="0" w:line="360" w:lineRule="auto"/>
        <w:jc w:val="both"/>
        <w:rPr>
          <w:rFonts w:ascii="Arial" w:hAnsi="Arial" w:cs="Arial"/>
          <w:sz w:val="24"/>
        </w:rPr>
      </w:pPr>
    </w:p>
    <w:p w:rsidR="00890D5B" w:rsidRPr="00983D7D" w:rsidRDefault="00762F67" w:rsidP="00762F67">
      <w:pPr>
        <w:spacing w:after="0" w:line="360" w:lineRule="auto"/>
        <w:jc w:val="both"/>
        <w:rPr>
          <w:rFonts w:ascii="Arial" w:hAnsi="Arial" w:cs="Arial"/>
          <w:sz w:val="24"/>
        </w:rPr>
      </w:pPr>
      <w:r>
        <w:rPr>
          <w:rFonts w:ascii="Arial" w:hAnsi="Arial" w:cs="Arial"/>
          <w:sz w:val="24"/>
        </w:rPr>
        <w:t>Em uma pesquisa realizada por Needham et al.</w:t>
      </w:r>
      <w:r>
        <w:rPr>
          <w:rFonts w:ascii="Arial" w:hAnsi="Arial" w:cs="Arial"/>
          <w:sz w:val="24"/>
        </w:rPr>
        <w:fldChar w:fldCharType="begin" w:fldLock="1"/>
      </w:r>
      <w:r>
        <w:rPr>
          <w:rFonts w:ascii="Arial" w:hAnsi="Arial" w:cs="Arial"/>
          <w:sz w:val="24"/>
        </w:rPr>
        <w:instrText>ADDIN CSL_CITATION { "citationItems" : [ { "id" : "ITEM-1", "itemData" : { "DOI" : "10.1007/s10897-014-9791-7", "ISBN" : "1059-7700", "ISSN" : "15733599", "PMID" : "25395377", "abstract" : "Mucopolysaccharidosis type II (MPS II), also known as Hunter syndrome, is a chronic and progressive X-linked lysosomal disease that mainly affects males. The National MPS Society (2013) reports that MPS II affects 1 in 100,000 to 1 in 150,000 males worldwide. Two distinct forms of the disease are based on age of onset and clinical course: attenuated and severe. MPS II affects many organ systems including the nervous, cardiovascular, gastrointestinal and respiratory systems. Clinical manifestations can include progressive hearing loss, mental impairment, and enlarged liver and spleen. This study focuses on the health-related quality of life of individuals (HRQOL) with MPS II as measured by the parent and self-report versions of the Pediatric Quality of Life Inventory (PedsQL\u2122). Both parents of patients with MPS II as well as patients themselves reported lower scores on all domains of the PedsQL\u2122 (physical, emotional, social and school functioning) indicating that children with MPS II have an overall lower HRQOL when compared to a healthy sample. When compared with patients with other chronic illnesses (cancer, MSUD, galactosemia,), the MPS II sample had significantly lower scores on a number of PedsQL\u2122 scales, suggesting an overall lower HRQOL. No significant relationships were found using scores from parent or self report PedsQL\u2122 measures and length of time on ERT.", "author" : [ { "dropping-particle" : "", "family" : "Needham", "given" : "Mary", "non-dropping-particle" : "", "parse-names" : false, "suffix" : "" }, { "dropping-particle" : "", "family" : "Packman", "given" : "Wendy", "non-dropping-particle" : "", "parse-names" : false, "suffix" : "" }, { "dropping-particle" : "", "family" : "Quinn", "given" : "Natasha", "non-dropping-particle" : "", "parse-names" : false, "suffix" : "" }, { "dropping-particle" : "", "family" : "Rappoport", "given" : "Maxwell", "non-dropping-particle" : "", "parse-names" : false, "suffix" : "" }, { "dropping-particle" : "", "family" : "Aoki", "given" : "Christa", "non-dropping-particle" : "", "parse-names" : false, "suffix" : "" }, { "dropping-particle" : "", "family" : "Bostrom", "given" : "Alan", "non-dropping-particle" : "", "parse-names" : false, "suffix" : "" }, { "dropping-particle" : "", "family" : "Cordova", "given" : "Matthew", "non-dropping-particle" : "", "parse-names" : false, "suffix" : "" }, { "dropping-particle" : "", "family" : "Macias", "given" : "Sandra", "non-dropping-particle" : "", "parse-names" : false, "suffix" : "" }, { "dropping-particle" : "", "family" : "Morgan", "given" : "Cynthia", "non-dropping-particle" : "", "parse-names" : false, "suffix" : "" }, { "dropping-particle" : "", "family" : "Packman", "given" : "Seymour", "non-dropping-particle" : "", "parse-names" : false, "suffix" : "" } ], "container-title" : "Journal of Genetic Counseling", "id" : "ITEM-1", "issue" : "4", "issued" : { "date-parts" : [ [ "2015" ] ] }, "page" : "635-644", "title" : "Health-Related Quality of Life in Patients with MPS II", "type" : "article-journal", "volume" : "24" }, "uris" : [ "http://www.mendeley.com/documents/?uuid=c0f32ae7-7e62-41cc-a7ba-47d4f03fda28" ] } ], "mendeley" : { "formattedCitation" : "&lt;sup&gt;11&lt;/sup&gt;", "plainTextFormattedCitation" : "11", "previouslyFormattedCitation" : "&lt;sup&gt;11&lt;/sup&gt;" }, "properties" : { "noteIndex" : 0 }, "schema" : "https://github.com/citation-style-language/schema/raw/master/csl-citation.json" }</w:instrText>
      </w:r>
      <w:r>
        <w:rPr>
          <w:rFonts w:ascii="Arial" w:hAnsi="Arial" w:cs="Arial"/>
          <w:sz w:val="24"/>
        </w:rPr>
        <w:fldChar w:fldCharType="separate"/>
      </w:r>
      <w:r w:rsidRPr="001F649C">
        <w:rPr>
          <w:rFonts w:ascii="Arial" w:hAnsi="Arial" w:cs="Arial"/>
          <w:noProof/>
          <w:sz w:val="24"/>
          <w:vertAlign w:val="superscript"/>
        </w:rPr>
        <w:t>11</w:t>
      </w:r>
      <w:r>
        <w:rPr>
          <w:rFonts w:ascii="Arial" w:hAnsi="Arial" w:cs="Arial"/>
          <w:sz w:val="24"/>
        </w:rPr>
        <w:fldChar w:fldCharType="end"/>
      </w:r>
      <w:r w:rsidR="00BE4425">
        <w:rPr>
          <w:rFonts w:ascii="Arial" w:hAnsi="Arial" w:cs="Arial"/>
          <w:sz w:val="24"/>
        </w:rPr>
        <w:t xml:space="preserve"> </w:t>
      </w:r>
      <w:r>
        <w:rPr>
          <w:rFonts w:ascii="Arial" w:hAnsi="Arial" w:cs="Arial"/>
          <w:sz w:val="24"/>
        </w:rPr>
        <w:t>para avalia</w:t>
      </w:r>
      <w:r w:rsidR="00E60BBE">
        <w:rPr>
          <w:rFonts w:ascii="Arial" w:hAnsi="Arial" w:cs="Arial"/>
          <w:sz w:val="24"/>
        </w:rPr>
        <w:t xml:space="preserve">r </w:t>
      </w:r>
      <w:r>
        <w:rPr>
          <w:rFonts w:ascii="Arial" w:hAnsi="Arial" w:cs="Arial"/>
          <w:sz w:val="24"/>
        </w:rPr>
        <w:t>a QVRS de pacientes com MPS, foi utilizad</w:t>
      </w:r>
      <w:r w:rsidR="00E60BBE">
        <w:rPr>
          <w:rFonts w:ascii="Arial" w:hAnsi="Arial" w:cs="Arial"/>
          <w:sz w:val="24"/>
        </w:rPr>
        <w:t>o</w:t>
      </w:r>
      <w:r>
        <w:rPr>
          <w:rFonts w:ascii="Arial" w:hAnsi="Arial" w:cs="Arial"/>
          <w:sz w:val="24"/>
        </w:rPr>
        <w:t xml:space="preserve"> como instrumento de coleta a versão paterna do questionário PedsQL</w:t>
      </w:r>
      <w:r w:rsidRPr="00C75E4E">
        <w:rPr>
          <w:rFonts w:ascii="Arial" w:hAnsi="Arial" w:cs="Arial"/>
          <w:sz w:val="24"/>
          <w:vertAlign w:val="superscript"/>
        </w:rPr>
        <w:t>TM</w:t>
      </w:r>
      <w:r>
        <w:rPr>
          <w:rFonts w:ascii="Arial" w:hAnsi="Arial" w:cs="Arial"/>
          <w:sz w:val="24"/>
        </w:rPr>
        <w:t xml:space="preserve"> 4.0. Os achados demonstraram que a avaliação</w:t>
      </w:r>
      <w:r w:rsidR="006E63D6">
        <w:rPr>
          <w:rFonts w:ascii="Arial" w:hAnsi="Arial" w:cs="Arial"/>
          <w:sz w:val="24"/>
        </w:rPr>
        <w:t>,</w:t>
      </w:r>
      <w:r>
        <w:rPr>
          <w:rFonts w:ascii="Arial" w:hAnsi="Arial" w:cs="Arial"/>
          <w:sz w:val="24"/>
        </w:rPr>
        <w:t xml:space="preserve"> relatada pelos pais de 73 crianças e adolescentes com a forma atenuada e/ou grave de MPS tipo II</w:t>
      </w:r>
      <w:r w:rsidR="006E63D6">
        <w:rPr>
          <w:rFonts w:ascii="Arial" w:hAnsi="Arial" w:cs="Arial"/>
          <w:sz w:val="24"/>
        </w:rPr>
        <w:t>,</w:t>
      </w:r>
      <w:r>
        <w:rPr>
          <w:rFonts w:ascii="Arial" w:hAnsi="Arial" w:cs="Arial"/>
          <w:sz w:val="24"/>
        </w:rPr>
        <w:t xml:space="preserve"> apresentou escores significativamente mais baixos quando comparados aos escores relatados pelos pais de indivíduos saudáveis</w:t>
      </w:r>
      <w:r w:rsidR="00A40195">
        <w:rPr>
          <w:rFonts w:ascii="Arial" w:hAnsi="Arial" w:cs="Arial"/>
          <w:sz w:val="24"/>
        </w:rPr>
        <w:t>,</w:t>
      </w:r>
      <w:r>
        <w:rPr>
          <w:rFonts w:ascii="Arial" w:hAnsi="Arial" w:cs="Arial"/>
          <w:sz w:val="24"/>
        </w:rPr>
        <w:t xml:space="preserve"> e aos dos pais de crianças e adolescentes com outras doenças crônicas, a exemplo de pacientes oncológicos.</w:t>
      </w:r>
      <w:r w:rsidR="00890D5B">
        <w:rPr>
          <w:rFonts w:ascii="Arial" w:hAnsi="Arial" w:cs="Arial"/>
          <w:sz w:val="24"/>
        </w:rPr>
        <w:fldChar w:fldCharType="begin" w:fldLock="1"/>
      </w:r>
      <w:r w:rsidR="00461C08">
        <w:rPr>
          <w:rFonts w:ascii="Arial" w:hAnsi="Arial" w:cs="Arial"/>
          <w:sz w:val="24"/>
        </w:rPr>
        <w:instrText>ADDIN CSL_CITATION { "citationItems" : [ { "id" : "ITEM-1", "itemData" : { "DOI" : "10.1007/s10897-014-9791-7", "ISBN" : "1059-7700", "ISSN" : "15733599", "PMID" : "25395377", "abstract" : "Mucopolysaccharidosis type II (MPS II), also known as Hunter syndrome, is a chronic and progressive X-linked lysosomal disease that mainly affects males. The National MPS Society (2013) reports that MPS II affects 1 in 100,000 to 1 in 150,000 males worldwide. Two distinct forms of the disease are based on age of onset and clinical course: attenuated and severe. MPS II affects many organ systems including the nervous, cardiovascular, gastrointestinal and respiratory systems. Clinical manifestations can include progressive hearing loss, mental impairment, and enlarged liver and spleen. This study focuses on the health-related quality of life of individuals (HRQOL) with MPS II as measured by the parent and self-report versions of the Pediatric Quality of Life Inventory (PedsQL\u2122). Both parents of patients with MPS II as well as patients themselves reported lower scores on all domains of the PedsQL\u2122 (physical, emotional, social and school functioning) indicating that children with MPS II have an overall lower HRQOL when compared to a healthy sample. When compared with patients with other chronic illnesses (cancer, MSUD, galactosemia,), the MPS II sample had significantly lower scores on a number of PedsQL\u2122 scales, suggesting an overall lower HRQOL. No significant relationships were found using scores from parent or self report PedsQL\u2122 measures and length of time on ERT.", "author" : [ { "dropping-particle" : "", "family" : "Needham", "given" : "Mary", "non-dropping-particle" : "", "parse-names" : false, "suffix" : "" }, { "dropping-particle" : "", "family" : "Packman", "given" : "Wendy", "non-dropping-particle" : "", "parse-names" : false, "suffix" : "" }, { "dropping-particle" : "", "family" : "Quinn", "given" : "Natasha", "non-dropping-particle" : "", "parse-names" : false, "suffix" : "" }, { "dropping-particle" : "", "family" : "Rappoport", "given" : "Maxwell", "non-dropping-particle" : "", "parse-names" : false, "suffix" : "" }, { "dropping-particle" : "", "family" : "Aoki", "given" : "Christa", "non-dropping-particle" : "", "parse-names" : false, "suffix" : "" }, { "dropping-particle" : "", "family" : "Bostrom", "given" : "Alan", "non-dropping-particle" : "", "parse-names" : false, "suffix" : "" }, { "dropping-particle" : "", "family" : "Cordova", "given" : "Matthew", "non-dropping-particle" : "", "parse-names" : false, "suffix" : "" }, { "dropping-particle" : "", "family" : "Macias", "given" : "Sandra", "non-dropping-particle" : "", "parse-names" : false, "suffix" : "" }, { "dropping-particle" : "", "family" : "Morgan", "given" : "Cynthia", "non-dropping-particle" : "", "parse-names" : false, "suffix" : "" }, { "dropping-particle" : "", "family" : "Packman", "given" : "Seymour", "non-dropping-particle" : "", "parse-names" : false, "suffix" : "" } ], "container-title" : "Journal of Genetic Counseling", "id" : "ITEM-1", "issue" : "4", "issued" : { "date-parts" : [ [ "2015" ] ] }, "page" : "635-644", "title" : "Health-Related Quality of Life in Patients with MPS II", "type" : "article-journal", "volume" : "24" }, "uris" : [ "http://www.mendeley.com/documents/?uuid=c0f32ae7-7e62-41cc-a7ba-47d4f03fda28" ] } ], "mendeley" : { "formattedCitation" : "&lt;sup&gt;11&lt;/sup&gt;", "plainTextFormattedCitation" : "11", "previouslyFormattedCitation" : "&lt;sup&gt;11&lt;/sup&gt;" }, "properties" : { "noteIndex" : 0 }, "schema" : "https://github.com/citation-style-language/schema/raw/master/csl-citation.json" }</w:instrText>
      </w:r>
      <w:r w:rsidR="00890D5B">
        <w:rPr>
          <w:rFonts w:ascii="Arial" w:hAnsi="Arial" w:cs="Arial"/>
          <w:sz w:val="24"/>
        </w:rPr>
        <w:fldChar w:fldCharType="separate"/>
      </w:r>
      <w:r w:rsidR="00890D5B" w:rsidRPr="00983D7D">
        <w:rPr>
          <w:rFonts w:ascii="Arial" w:hAnsi="Arial" w:cs="Arial"/>
          <w:noProof/>
          <w:sz w:val="24"/>
          <w:vertAlign w:val="superscript"/>
        </w:rPr>
        <w:t>11</w:t>
      </w:r>
      <w:r w:rsidR="00890D5B">
        <w:rPr>
          <w:rFonts w:ascii="Arial" w:hAnsi="Arial" w:cs="Arial"/>
          <w:sz w:val="24"/>
        </w:rPr>
        <w:fldChar w:fldCharType="end"/>
      </w:r>
    </w:p>
    <w:p w:rsidR="00762F67" w:rsidRPr="00890D5B" w:rsidRDefault="00890D5B" w:rsidP="00762F67">
      <w:pPr>
        <w:spacing w:after="0" w:line="360" w:lineRule="auto"/>
        <w:jc w:val="both"/>
        <w:rPr>
          <w:rFonts w:ascii="Arial" w:hAnsi="Arial" w:cs="Arial"/>
          <w:sz w:val="24"/>
        </w:rPr>
      </w:pPr>
      <w:r w:rsidRPr="00890D5B">
        <w:rPr>
          <w:rFonts w:ascii="Arial" w:hAnsi="Arial" w:cs="Arial"/>
          <w:sz w:val="24"/>
        </w:rPr>
        <w:lastRenderedPageBreak/>
        <w:t>No estudo em questão, h</w:t>
      </w:r>
      <w:r w:rsidR="00762F67" w:rsidRPr="00890D5B">
        <w:rPr>
          <w:rFonts w:ascii="Arial" w:hAnsi="Arial" w:cs="Arial"/>
          <w:sz w:val="24"/>
        </w:rPr>
        <w:t>ouve diferenças estatisticamente significativas na comparação entre os grupos – MPS tipo II versus indivíduos saudáveis</w:t>
      </w:r>
      <w:r>
        <w:rPr>
          <w:rFonts w:ascii="Arial" w:hAnsi="Arial" w:cs="Arial"/>
          <w:sz w:val="24"/>
        </w:rPr>
        <w:t>,</w:t>
      </w:r>
      <w:r w:rsidR="00762F67" w:rsidRPr="00890D5B">
        <w:rPr>
          <w:rFonts w:ascii="Arial" w:hAnsi="Arial" w:cs="Arial"/>
          <w:sz w:val="24"/>
        </w:rPr>
        <w:t xml:space="preserve"> e</w:t>
      </w:r>
      <w:r w:rsidRPr="00890D5B">
        <w:rPr>
          <w:rFonts w:ascii="Arial" w:hAnsi="Arial" w:cs="Arial"/>
          <w:sz w:val="24"/>
        </w:rPr>
        <w:t xml:space="preserve"> na comparaç</w:t>
      </w:r>
      <w:r>
        <w:rPr>
          <w:rFonts w:ascii="Arial" w:hAnsi="Arial" w:cs="Arial"/>
          <w:sz w:val="24"/>
        </w:rPr>
        <w:t xml:space="preserve">ão entre </w:t>
      </w:r>
      <w:r w:rsidR="00762F67" w:rsidRPr="00890D5B">
        <w:rPr>
          <w:rFonts w:ascii="Arial" w:hAnsi="Arial" w:cs="Arial"/>
          <w:sz w:val="24"/>
        </w:rPr>
        <w:t>MPS tipo II versus pacientes oncológicos. A menor condição de QVRS percebida pelos pais das crianças e adolescentes com MPS II foi, principalmente, em termos de capacidade física, saúde psicossocial e qualidade de vida geral. Segundo os autores, o comprometimento físico e cognitivo, secundários à forma grave da MPS tipo II, parecem repercutir negativamente em maior proporção na QVRS desses sujeitos.</w:t>
      </w:r>
      <w:r w:rsidR="00762F67" w:rsidRPr="00890D5B">
        <w:rPr>
          <w:rFonts w:ascii="Arial" w:hAnsi="Arial" w:cs="Arial"/>
          <w:sz w:val="24"/>
        </w:rPr>
        <w:fldChar w:fldCharType="begin" w:fldLock="1"/>
      </w:r>
      <w:r w:rsidR="00762F67" w:rsidRPr="00890D5B">
        <w:rPr>
          <w:rFonts w:ascii="Arial" w:hAnsi="Arial" w:cs="Arial"/>
          <w:sz w:val="24"/>
        </w:rPr>
        <w:instrText>ADDIN CSL_CITATION { "citationItems" : [ { "id" : "ITEM-1", "itemData" : { "DOI" : "10.1007/s10897-014-9791-7", "ISBN" : "1059-7700", "ISSN" : "15733599", "PMID" : "25395377", "abstract" : "Mucopolysaccharidosis type II (MPS II), also known as Hunter syndrome, is a chronic and progressive X-linked lysosomal disease that mainly affects males. The National MPS Society (2013) reports that MPS II affects 1 in 100,000 to 1 in 150,000 males worldwide. Two distinct forms of the disease are based on age of onset and clinical course: attenuated and severe. MPS II affects many organ systems including the nervous, cardiovascular, gastrointestinal and respiratory systems. Clinical manifestations can include progressive hearing loss, mental impairment, and enlarged liver and spleen. This study focuses on the health-related quality of life of individuals (HRQOL) with MPS II as measured by the parent and self-report versions of the Pediatric Quality of Life Inventory (PedsQL\u2122). Both parents of patients with MPS II as well as patients themselves reported lower scores on all domains of the PedsQL\u2122 (physical, emotional, social and school functioning) indicating that children with MPS II have an overall lower HRQOL when compared to a healthy sample. When compared with patients with other chronic illnesses (cancer, MSUD, galactosemia,), the MPS II sample had significantly lower scores on a number of PedsQL\u2122 scales, suggesting an overall lower HRQOL. No significant relationships were found using scores from parent or self report PedsQL\u2122 measures and length of time on ERT.", "author" : [ { "dropping-particle" : "", "family" : "Needham", "given" : "Mary", "non-dropping-particle" : "", "parse-names" : false, "suffix" : "" }, { "dropping-particle" : "", "family" : "Packman", "given" : "Wendy", "non-dropping-particle" : "", "parse-names" : false, "suffix" : "" }, { "dropping-particle" : "", "family" : "Quinn", "given" : "Natasha", "non-dropping-particle" : "", "parse-names" : false, "suffix" : "" }, { "dropping-particle" : "", "family" : "Rappoport", "given" : "Maxwell", "non-dropping-particle" : "", "parse-names" : false, "suffix" : "" }, { "dropping-particle" : "", "family" : "Aoki", "given" : "Christa", "non-dropping-particle" : "", "parse-names" : false, "suffix" : "" }, { "dropping-particle" : "", "family" : "Bostrom", "given" : "Alan", "non-dropping-particle" : "", "parse-names" : false, "suffix" : "" }, { "dropping-particle" : "", "family" : "Cordova", "given" : "Matthew", "non-dropping-particle" : "", "parse-names" : false, "suffix" : "" }, { "dropping-particle" : "", "family" : "Macias", "given" : "Sandra", "non-dropping-particle" : "", "parse-names" : false, "suffix" : "" }, { "dropping-particle" : "", "family" : "Morgan", "given" : "Cynthia", "non-dropping-particle" : "", "parse-names" : false, "suffix" : "" }, { "dropping-particle" : "", "family" : "Packman", "given" : "Seymour", "non-dropping-particle" : "", "parse-names" : false, "suffix" : "" } ], "container-title" : "Journal of Genetic Counseling", "id" : "ITEM-1", "issue" : "4", "issued" : { "date-parts" : [ [ "2015" ] ] }, "page" : "635-644", "title" : "Health-Related Quality of Life in Patients with MPS II", "type" : "article-journal", "volume" : "24" }, "uris" : [ "http://www.mendeley.com/documents/?uuid=c0f32ae7-7e62-41cc-a7ba-47d4f03fda28" ] } ], "mendeley" : { "formattedCitation" : "&lt;sup&gt;11&lt;/sup&gt;", "plainTextFormattedCitation" : "11", "previouslyFormattedCitation" : "&lt;sup&gt;11&lt;/sup&gt;" }, "properties" : { "noteIndex" : 0 }, "schema" : "https://github.com/citation-style-language/schema/raw/master/csl-citation.json" }</w:instrText>
      </w:r>
      <w:r w:rsidR="00762F67" w:rsidRPr="00890D5B">
        <w:rPr>
          <w:rFonts w:ascii="Arial" w:hAnsi="Arial" w:cs="Arial"/>
          <w:sz w:val="24"/>
        </w:rPr>
        <w:fldChar w:fldCharType="separate"/>
      </w:r>
      <w:r w:rsidR="00762F67" w:rsidRPr="00890D5B">
        <w:rPr>
          <w:rFonts w:ascii="Arial" w:hAnsi="Arial" w:cs="Arial"/>
          <w:noProof/>
          <w:sz w:val="24"/>
          <w:vertAlign w:val="superscript"/>
        </w:rPr>
        <w:t>11</w:t>
      </w:r>
      <w:r w:rsidR="00762F67" w:rsidRPr="00890D5B">
        <w:rPr>
          <w:rFonts w:ascii="Arial" w:hAnsi="Arial" w:cs="Arial"/>
          <w:sz w:val="24"/>
        </w:rPr>
        <w:fldChar w:fldCharType="end"/>
      </w:r>
    </w:p>
    <w:p w:rsidR="00762F67" w:rsidRDefault="00762F67" w:rsidP="00081167">
      <w:pPr>
        <w:spacing w:after="0" w:line="360" w:lineRule="auto"/>
        <w:jc w:val="both"/>
        <w:rPr>
          <w:rFonts w:ascii="Arial" w:hAnsi="Arial" w:cs="Arial"/>
          <w:sz w:val="24"/>
        </w:rPr>
      </w:pPr>
    </w:p>
    <w:p w:rsidR="00461C08" w:rsidRDefault="00FA40C4" w:rsidP="00491682">
      <w:pPr>
        <w:spacing w:after="0" w:line="360" w:lineRule="auto"/>
        <w:jc w:val="both"/>
        <w:rPr>
          <w:rFonts w:ascii="Arial" w:hAnsi="Arial" w:cs="Arial"/>
          <w:sz w:val="24"/>
        </w:rPr>
      </w:pPr>
      <w:r>
        <w:rPr>
          <w:rFonts w:ascii="Arial" w:hAnsi="Arial" w:cs="Arial"/>
          <w:sz w:val="24"/>
        </w:rPr>
        <w:t>A ausência de um questionário doença-específico para avaliar o impacto da MPS tipo I</w:t>
      </w:r>
      <w:r w:rsidR="00F077AF">
        <w:rPr>
          <w:rFonts w:ascii="Arial" w:hAnsi="Arial" w:cs="Arial"/>
          <w:sz w:val="24"/>
        </w:rPr>
        <w:t xml:space="preserve"> </w:t>
      </w:r>
      <w:r w:rsidR="00021BC7">
        <w:rPr>
          <w:rFonts w:ascii="Arial" w:hAnsi="Arial" w:cs="Arial"/>
          <w:sz w:val="24"/>
        </w:rPr>
        <w:t>na</w:t>
      </w:r>
      <w:r>
        <w:rPr>
          <w:rFonts w:ascii="Arial" w:hAnsi="Arial" w:cs="Arial"/>
          <w:sz w:val="24"/>
        </w:rPr>
        <w:t xml:space="preserve"> QVRS de crianças e adolescentes acometidos pela doença</w:t>
      </w:r>
      <w:r w:rsidR="00A85206">
        <w:rPr>
          <w:rFonts w:ascii="Arial" w:hAnsi="Arial" w:cs="Arial"/>
          <w:sz w:val="24"/>
        </w:rPr>
        <w:t>,</w:t>
      </w:r>
      <w:r>
        <w:rPr>
          <w:rFonts w:ascii="Arial" w:hAnsi="Arial" w:cs="Arial"/>
          <w:sz w:val="24"/>
        </w:rPr>
        <w:t xml:space="preserve"> e de seus familiares, foi um dos </w:t>
      </w:r>
      <w:r w:rsidR="00832B6D">
        <w:rPr>
          <w:rFonts w:ascii="Arial" w:hAnsi="Arial" w:cs="Arial"/>
          <w:sz w:val="24"/>
        </w:rPr>
        <w:t>aspecto</w:t>
      </w:r>
      <w:r>
        <w:rPr>
          <w:rFonts w:ascii="Arial" w:hAnsi="Arial" w:cs="Arial"/>
          <w:sz w:val="24"/>
        </w:rPr>
        <w:t xml:space="preserve">s que motivou </w:t>
      </w:r>
      <w:r w:rsidR="009F5C48">
        <w:rPr>
          <w:rFonts w:ascii="Arial" w:hAnsi="Arial" w:cs="Arial"/>
          <w:sz w:val="24"/>
        </w:rPr>
        <w:t>o</w:t>
      </w:r>
      <w:r>
        <w:rPr>
          <w:rFonts w:ascii="Arial" w:hAnsi="Arial" w:cs="Arial"/>
          <w:sz w:val="24"/>
        </w:rPr>
        <w:t xml:space="preserve"> estudo qualitativo desenvolvido por Soni-Jaiswal et al.</w:t>
      </w:r>
      <w:r w:rsidR="00D0119B">
        <w:rPr>
          <w:rFonts w:ascii="Arial" w:hAnsi="Arial" w:cs="Arial"/>
          <w:sz w:val="24"/>
        </w:rPr>
        <w:fldChar w:fldCharType="begin" w:fldLock="1"/>
      </w:r>
      <w:r w:rsidR="00195481">
        <w:rPr>
          <w:rFonts w:ascii="Arial" w:hAnsi="Arial" w:cs="Arial"/>
          <w:sz w:val="24"/>
        </w:rPr>
        <w:instrText>ADDIN CSL_CITATION { "citationItems" : [ { "id" : "ITEM-1", "itemData" : { "DOI" : "10.1186/s13023-016-0478-z", "ISSN" : "1750-1172", "author" : [ { "dropping-particle" : "", "family" : "Soni-Jaiswal", "given" : "A", "non-dropping-particle" : "", "parse-names" : false, "suffix" : "" }, { "dropping-particle" : "", "family" : "Mercer", "given" : "J", "non-dropping-particle" : "", "parse-names" : false, "suffix" : "" }, { "dropping-particle" : "", "family" : "Jones", "given" : "SA", "non-dropping-particle" : "", "parse-names" : false, "suffix" : "" }, { "dropping-particle" : "", "family" : "Bruce", "given" : "IA", "non-dropping-particle" : "", "parse-names" : false, "suffix" : "" }, { "dropping-particle" : "", "family" : "Callery", "given" : "P", "non-dropping-particle" : "", "parse-names" : false, "suffix" : "" } ], "container-title" : "Orphanet Journal of Rare Diseases", "id" : "ITEM-1", "issue" : "96", "issued" : { "date-parts" : [ [ "2016" ] ] }, "page" : "1-9", "publisher" : "Orphanet Journal of Rare Diseases", "title" : "Mucopolysaccharidosis I; Parental beliefs about the impact of disease on the quality of life of their children", "type" : "article-journal", "volume" : "11" }, "uris" : [ "http://www.mendeley.com/documents/?uuid=757f9cee-93bf-49c0-b96b-5d45703fafd1" ] } ], "mendeley" : { "formattedCitation" : "&lt;sup&gt;98&lt;/sup&gt;", "plainTextFormattedCitation" : "98", "previouslyFormattedCitation" : "&lt;sup&gt;98&lt;/sup&gt;" }, "properties" : { "noteIndex" : 0 }, "schema" : "https://github.com/citation-style-language/schema/raw/master/csl-citation.json" }</w:instrText>
      </w:r>
      <w:r w:rsidR="00D0119B">
        <w:rPr>
          <w:rFonts w:ascii="Arial" w:hAnsi="Arial" w:cs="Arial"/>
          <w:sz w:val="24"/>
        </w:rPr>
        <w:fldChar w:fldCharType="separate"/>
      </w:r>
      <w:r w:rsidR="00412B48" w:rsidRPr="00412B48">
        <w:rPr>
          <w:rFonts w:ascii="Arial" w:hAnsi="Arial" w:cs="Arial"/>
          <w:noProof/>
          <w:sz w:val="24"/>
          <w:vertAlign w:val="superscript"/>
        </w:rPr>
        <w:t>98</w:t>
      </w:r>
      <w:r w:rsidR="00D0119B">
        <w:rPr>
          <w:rFonts w:ascii="Arial" w:hAnsi="Arial" w:cs="Arial"/>
          <w:sz w:val="24"/>
        </w:rPr>
        <w:fldChar w:fldCharType="end"/>
      </w:r>
      <w:r w:rsidR="00BE4425">
        <w:rPr>
          <w:rFonts w:ascii="Arial" w:hAnsi="Arial" w:cs="Arial"/>
          <w:sz w:val="24"/>
        </w:rPr>
        <w:t xml:space="preserve"> </w:t>
      </w:r>
      <w:r w:rsidR="00021BC7">
        <w:rPr>
          <w:rFonts w:ascii="Arial" w:hAnsi="Arial" w:cs="Arial"/>
          <w:sz w:val="24"/>
        </w:rPr>
        <w:t xml:space="preserve">Por meio de entrevistas semiestruturadas, os autores </w:t>
      </w:r>
      <w:r w:rsidR="00F077AF">
        <w:rPr>
          <w:rFonts w:ascii="Arial" w:hAnsi="Arial" w:cs="Arial"/>
          <w:sz w:val="24"/>
        </w:rPr>
        <w:t>identificar</w:t>
      </w:r>
      <w:r w:rsidR="00021BC7">
        <w:rPr>
          <w:rFonts w:ascii="Arial" w:hAnsi="Arial" w:cs="Arial"/>
          <w:sz w:val="24"/>
        </w:rPr>
        <w:t>am</w:t>
      </w:r>
      <w:r w:rsidR="00A85206">
        <w:rPr>
          <w:rFonts w:ascii="Arial" w:hAnsi="Arial" w:cs="Arial"/>
          <w:sz w:val="24"/>
        </w:rPr>
        <w:t xml:space="preserve"> a percepção dos pais de 11</w:t>
      </w:r>
      <w:r w:rsidR="00C062B1">
        <w:rPr>
          <w:rFonts w:ascii="Arial" w:hAnsi="Arial" w:cs="Arial"/>
          <w:sz w:val="24"/>
        </w:rPr>
        <w:t xml:space="preserve"> </w:t>
      </w:r>
      <w:r w:rsidR="00021BC7">
        <w:rPr>
          <w:rFonts w:ascii="Arial" w:hAnsi="Arial" w:cs="Arial"/>
          <w:sz w:val="24"/>
        </w:rPr>
        <w:t>crianças</w:t>
      </w:r>
      <w:r w:rsidR="00C062B1">
        <w:rPr>
          <w:rFonts w:ascii="Arial" w:hAnsi="Arial" w:cs="Arial"/>
          <w:sz w:val="24"/>
        </w:rPr>
        <w:t xml:space="preserve"> e </w:t>
      </w:r>
      <w:r w:rsidR="009725F6">
        <w:rPr>
          <w:rFonts w:ascii="Arial" w:hAnsi="Arial" w:cs="Arial"/>
          <w:sz w:val="24"/>
        </w:rPr>
        <w:t>adolescentes</w:t>
      </w:r>
      <w:r w:rsidR="00A85206">
        <w:rPr>
          <w:rFonts w:ascii="Arial" w:hAnsi="Arial" w:cs="Arial"/>
          <w:sz w:val="24"/>
        </w:rPr>
        <w:t>,</w:t>
      </w:r>
      <w:r w:rsidR="00021BC7">
        <w:rPr>
          <w:rFonts w:ascii="Arial" w:hAnsi="Arial" w:cs="Arial"/>
          <w:sz w:val="24"/>
        </w:rPr>
        <w:t xml:space="preserve"> com idade entre 6 meses e 16 anos</w:t>
      </w:r>
      <w:r w:rsidR="00F077AF">
        <w:rPr>
          <w:rFonts w:ascii="Arial" w:hAnsi="Arial" w:cs="Arial"/>
          <w:sz w:val="24"/>
        </w:rPr>
        <w:t>,</w:t>
      </w:r>
      <w:r w:rsidR="00C062B1">
        <w:rPr>
          <w:rFonts w:ascii="Arial" w:hAnsi="Arial" w:cs="Arial"/>
          <w:sz w:val="24"/>
        </w:rPr>
        <w:t xml:space="preserve"> em relação aos</w:t>
      </w:r>
      <w:r w:rsidR="00F077AF">
        <w:rPr>
          <w:rFonts w:ascii="Arial" w:hAnsi="Arial" w:cs="Arial"/>
          <w:sz w:val="24"/>
        </w:rPr>
        <w:t xml:space="preserve"> sinais clínicos associados à MPS</w:t>
      </w:r>
      <w:r w:rsidR="00A85206">
        <w:rPr>
          <w:rFonts w:ascii="Arial" w:hAnsi="Arial" w:cs="Arial"/>
          <w:sz w:val="24"/>
        </w:rPr>
        <w:t xml:space="preserve"> I</w:t>
      </w:r>
      <w:r w:rsidR="00461C08">
        <w:rPr>
          <w:rFonts w:ascii="Arial" w:hAnsi="Arial" w:cs="Arial"/>
          <w:sz w:val="24"/>
        </w:rPr>
        <w:t xml:space="preserve"> e</w:t>
      </w:r>
      <w:r w:rsidR="00F077AF">
        <w:rPr>
          <w:rFonts w:ascii="Arial" w:hAnsi="Arial" w:cs="Arial"/>
          <w:sz w:val="24"/>
        </w:rPr>
        <w:t xml:space="preserve"> responsáveis por gerar alteração à vida desses indivíduos.</w:t>
      </w:r>
      <w:r w:rsidR="00461C08">
        <w:rPr>
          <w:rFonts w:ascii="Arial" w:hAnsi="Arial" w:cs="Arial"/>
          <w:sz w:val="24"/>
        </w:rPr>
        <w:fldChar w:fldCharType="begin" w:fldLock="1"/>
      </w:r>
      <w:r w:rsidR="00461C08">
        <w:rPr>
          <w:rFonts w:ascii="Arial" w:hAnsi="Arial" w:cs="Arial"/>
          <w:sz w:val="24"/>
        </w:rPr>
        <w:instrText>ADDIN CSL_CITATION { "citationItems" : [ { "id" : "ITEM-1", "itemData" : { "DOI" : "10.1186/s13023-016-0478-z", "ISSN" : "1750-1172", "author" : [ { "dropping-particle" : "", "family" : "Soni-Jaiswal", "given" : "A", "non-dropping-particle" : "", "parse-names" : false, "suffix" : "" }, { "dropping-particle" : "", "family" : "Mercer", "given" : "J", "non-dropping-particle" : "", "parse-names" : false, "suffix" : "" }, { "dropping-particle" : "", "family" : "Jones", "given" : "SA", "non-dropping-particle" : "", "parse-names" : false, "suffix" : "" }, { "dropping-particle" : "", "family" : "Bruce", "given" : "IA", "non-dropping-particle" : "", "parse-names" : false, "suffix" : "" }, { "dropping-particle" : "", "family" : "Callery", "given" : "P", "non-dropping-particle" : "", "parse-names" : false, "suffix" : "" } ], "container-title" : "Orphanet Journal of Rare Diseases", "id" : "ITEM-1", "issue" : "96", "issued" : { "date-parts" : [ [ "2016" ] ] }, "page" : "1-9", "publisher" : "Orphanet Journal of Rare Diseases", "title" : "Mucopolysaccharidosis I; Parental beliefs about the impact of disease on the quality of life of their children", "type" : "article-journal", "volume" : "11" }, "uris" : [ "http://www.mendeley.com/documents/?uuid=757f9cee-93bf-49c0-b96b-5d45703fafd1" ] } ], "mendeley" : { "formattedCitation" : "&lt;sup&gt;98&lt;/sup&gt;", "plainTextFormattedCitation" : "98", "previouslyFormattedCitation" : "&lt;sup&gt;98&lt;/sup&gt;" }, "properties" : { "noteIndex" : 0 }, "schema" : "https://github.com/citation-style-language/schema/raw/master/csl-citation.json" }</w:instrText>
      </w:r>
      <w:r w:rsidR="00461C08">
        <w:rPr>
          <w:rFonts w:ascii="Arial" w:hAnsi="Arial" w:cs="Arial"/>
          <w:sz w:val="24"/>
        </w:rPr>
        <w:fldChar w:fldCharType="separate"/>
      </w:r>
      <w:r w:rsidR="00461C08" w:rsidRPr="00461C08">
        <w:rPr>
          <w:rFonts w:ascii="Arial" w:hAnsi="Arial" w:cs="Arial"/>
          <w:noProof/>
          <w:sz w:val="24"/>
          <w:vertAlign w:val="superscript"/>
        </w:rPr>
        <w:t>98</w:t>
      </w:r>
      <w:r w:rsidR="00461C08">
        <w:rPr>
          <w:rFonts w:ascii="Arial" w:hAnsi="Arial" w:cs="Arial"/>
          <w:sz w:val="24"/>
        </w:rPr>
        <w:fldChar w:fldCharType="end"/>
      </w:r>
    </w:p>
    <w:p w:rsidR="00461C08" w:rsidRDefault="00461C08" w:rsidP="00491682">
      <w:pPr>
        <w:spacing w:after="0" w:line="360" w:lineRule="auto"/>
        <w:jc w:val="both"/>
        <w:rPr>
          <w:rFonts w:ascii="Arial" w:hAnsi="Arial" w:cs="Arial"/>
          <w:sz w:val="24"/>
        </w:rPr>
      </w:pPr>
    </w:p>
    <w:p w:rsidR="009F42FD" w:rsidRDefault="001B505F" w:rsidP="00491682">
      <w:pPr>
        <w:spacing w:after="0" w:line="360" w:lineRule="auto"/>
        <w:jc w:val="both"/>
        <w:rPr>
          <w:rFonts w:ascii="Arial" w:hAnsi="Arial" w:cs="Arial"/>
          <w:sz w:val="24"/>
        </w:rPr>
      </w:pPr>
      <w:r>
        <w:rPr>
          <w:rFonts w:ascii="Arial" w:hAnsi="Arial" w:cs="Arial"/>
          <w:sz w:val="24"/>
        </w:rPr>
        <w:t xml:space="preserve">Um dos </w:t>
      </w:r>
      <w:r w:rsidR="00F077AF">
        <w:rPr>
          <w:rFonts w:ascii="Arial" w:hAnsi="Arial" w:cs="Arial"/>
          <w:sz w:val="24"/>
        </w:rPr>
        <w:t>principais fatores apontados</w:t>
      </w:r>
      <w:r w:rsidR="00461C08">
        <w:rPr>
          <w:rFonts w:ascii="Arial" w:hAnsi="Arial" w:cs="Arial"/>
          <w:sz w:val="24"/>
        </w:rPr>
        <w:t xml:space="preserve"> no estudo</w:t>
      </w:r>
      <w:r w:rsidR="00461C08">
        <w:rPr>
          <w:rFonts w:ascii="Arial" w:hAnsi="Arial" w:cs="Arial"/>
          <w:sz w:val="24"/>
        </w:rPr>
        <w:fldChar w:fldCharType="begin" w:fldLock="1"/>
      </w:r>
      <w:r w:rsidR="00F6591C">
        <w:rPr>
          <w:rFonts w:ascii="Arial" w:hAnsi="Arial" w:cs="Arial"/>
          <w:sz w:val="24"/>
        </w:rPr>
        <w:instrText>ADDIN CSL_CITATION { "citationItems" : [ { "id" : "ITEM-1", "itemData" : { "DOI" : "10.1186/s13023-016-0478-z", "ISSN" : "1750-1172", "author" : [ { "dropping-particle" : "", "family" : "Soni-Jaiswal", "given" : "A", "non-dropping-particle" : "", "parse-names" : false, "suffix" : "" }, { "dropping-particle" : "", "family" : "Mercer", "given" : "J", "non-dropping-particle" : "", "parse-names" : false, "suffix" : "" }, { "dropping-particle" : "", "family" : "Jones", "given" : "SA", "non-dropping-particle" : "", "parse-names" : false, "suffix" : "" }, { "dropping-particle" : "", "family" : "Bruce", "given" : "IA", "non-dropping-particle" : "", "parse-names" : false, "suffix" : "" }, { "dropping-particle" : "", "family" : "Callery", "given" : "P", "non-dropping-particle" : "", "parse-names" : false, "suffix" : "" } ], "container-title" : "Orphanet Journal of Rare Diseases", "id" : "ITEM-1", "issue" : "96", "issued" : { "date-parts" : [ [ "2016" ] ] }, "page" : "1-9", "publisher" : "Orphanet Journal of Rare Diseases", "title" : "Mucopolysaccharidosis I; Parental beliefs about the impact of disease on the quality of life of their children", "type" : "article-journal", "volume" : "11" }, "uris" : [ "http://www.mendeley.com/documents/?uuid=757f9cee-93bf-49c0-b96b-5d45703fafd1" ] } ], "mendeley" : { "formattedCitation" : "&lt;sup&gt;98&lt;/sup&gt;", "plainTextFormattedCitation" : "98", "previouslyFormattedCitation" : "&lt;sup&gt;98&lt;/sup&gt;" }, "properties" : { "noteIndex" : 0 }, "schema" : "https://github.com/citation-style-language/schema/raw/master/csl-citation.json" }</w:instrText>
      </w:r>
      <w:r w:rsidR="00461C08">
        <w:rPr>
          <w:rFonts w:ascii="Arial" w:hAnsi="Arial" w:cs="Arial"/>
          <w:sz w:val="24"/>
        </w:rPr>
        <w:fldChar w:fldCharType="separate"/>
      </w:r>
      <w:r w:rsidR="00461C08" w:rsidRPr="00461C08">
        <w:rPr>
          <w:rFonts w:ascii="Arial" w:hAnsi="Arial" w:cs="Arial"/>
          <w:noProof/>
          <w:sz w:val="24"/>
          <w:vertAlign w:val="superscript"/>
        </w:rPr>
        <w:t>98</w:t>
      </w:r>
      <w:r w:rsidR="00461C08">
        <w:rPr>
          <w:rFonts w:ascii="Arial" w:hAnsi="Arial" w:cs="Arial"/>
          <w:sz w:val="24"/>
        </w:rPr>
        <w:fldChar w:fldCharType="end"/>
      </w:r>
      <w:r w:rsidR="00614B6E">
        <w:rPr>
          <w:rFonts w:ascii="Arial" w:hAnsi="Arial" w:cs="Arial"/>
          <w:sz w:val="24"/>
        </w:rPr>
        <w:t>,</w:t>
      </w:r>
      <w:r w:rsidR="00F077AF">
        <w:rPr>
          <w:rFonts w:ascii="Arial" w:hAnsi="Arial" w:cs="Arial"/>
          <w:sz w:val="24"/>
        </w:rPr>
        <w:t xml:space="preserve"> </w:t>
      </w:r>
      <w:r w:rsidR="009F42FD">
        <w:rPr>
          <w:rFonts w:ascii="Arial" w:hAnsi="Arial" w:cs="Arial"/>
          <w:sz w:val="24"/>
        </w:rPr>
        <w:t>tanto pelas crianças</w:t>
      </w:r>
      <w:r w:rsidR="00461C08">
        <w:rPr>
          <w:rFonts w:ascii="Arial" w:hAnsi="Arial" w:cs="Arial"/>
          <w:sz w:val="24"/>
        </w:rPr>
        <w:t>/</w:t>
      </w:r>
      <w:r w:rsidR="009725F6">
        <w:rPr>
          <w:rFonts w:ascii="Arial" w:hAnsi="Arial" w:cs="Arial"/>
          <w:sz w:val="24"/>
        </w:rPr>
        <w:t>adol</w:t>
      </w:r>
      <w:r w:rsidR="00614B6E">
        <w:rPr>
          <w:rFonts w:ascii="Arial" w:hAnsi="Arial" w:cs="Arial"/>
          <w:sz w:val="24"/>
        </w:rPr>
        <w:t>e</w:t>
      </w:r>
      <w:r w:rsidR="009725F6">
        <w:rPr>
          <w:rFonts w:ascii="Arial" w:hAnsi="Arial" w:cs="Arial"/>
          <w:sz w:val="24"/>
        </w:rPr>
        <w:t>scentes</w:t>
      </w:r>
      <w:r w:rsidR="009F42FD">
        <w:rPr>
          <w:rFonts w:ascii="Arial" w:hAnsi="Arial" w:cs="Arial"/>
          <w:sz w:val="24"/>
        </w:rPr>
        <w:t xml:space="preserve"> quanto por seus pais</w:t>
      </w:r>
      <w:r w:rsidR="00614B6E">
        <w:rPr>
          <w:rFonts w:ascii="Arial" w:hAnsi="Arial" w:cs="Arial"/>
          <w:sz w:val="24"/>
        </w:rPr>
        <w:t>,</w:t>
      </w:r>
      <w:r w:rsidR="009F42FD">
        <w:rPr>
          <w:rFonts w:ascii="Arial" w:hAnsi="Arial" w:cs="Arial"/>
          <w:sz w:val="24"/>
        </w:rPr>
        <w:t xml:space="preserve"> </w:t>
      </w:r>
      <w:r>
        <w:rPr>
          <w:rFonts w:ascii="Arial" w:hAnsi="Arial" w:cs="Arial"/>
          <w:sz w:val="24"/>
        </w:rPr>
        <w:t>foi a</w:t>
      </w:r>
      <w:r w:rsidR="00F077AF">
        <w:rPr>
          <w:rFonts w:ascii="Arial" w:hAnsi="Arial" w:cs="Arial"/>
          <w:sz w:val="24"/>
        </w:rPr>
        <w:t xml:space="preserve"> </w:t>
      </w:r>
      <w:r w:rsidR="003B2217">
        <w:rPr>
          <w:rFonts w:ascii="Arial" w:hAnsi="Arial" w:cs="Arial"/>
          <w:sz w:val="24"/>
        </w:rPr>
        <w:t>obstrução das vias a</w:t>
      </w:r>
      <w:r w:rsidR="009C126E">
        <w:rPr>
          <w:rFonts w:ascii="Arial" w:hAnsi="Arial" w:cs="Arial"/>
          <w:sz w:val="24"/>
        </w:rPr>
        <w:t>éreas superiores</w:t>
      </w:r>
      <w:r w:rsidR="006742B1">
        <w:rPr>
          <w:rFonts w:ascii="Arial" w:hAnsi="Arial" w:cs="Arial"/>
          <w:sz w:val="24"/>
        </w:rPr>
        <w:t>. A</w:t>
      </w:r>
      <w:r w:rsidR="008F4496">
        <w:rPr>
          <w:rFonts w:ascii="Arial" w:hAnsi="Arial" w:cs="Arial"/>
          <w:sz w:val="24"/>
        </w:rPr>
        <w:t xml:space="preserve"> deposição de GAGs nestas áreas gera </w:t>
      </w:r>
      <w:r w:rsidR="00D55901">
        <w:rPr>
          <w:rFonts w:ascii="Arial" w:hAnsi="Arial" w:cs="Arial"/>
          <w:sz w:val="24"/>
        </w:rPr>
        <w:t>estreitamento das vias aéreas e</w:t>
      </w:r>
      <w:r w:rsidR="008F4496">
        <w:rPr>
          <w:rFonts w:ascii="Arial" w:hAnsi="Arial" w:cs="Arial"/>
          <w:sz w:val="24"/>
        </w:rPr>
        <w:t xml:space="preserve"> consequente predisposição para </w:t>
      </w:r>
      <w:r w:rsidR="00F077AF">
        <w:rPr>
          <w:rFonts w:ascii="Arial" w:hAnsi="Arial" w:cs="Arial"/>
          <w:sz w:val="24"/>
        </w:rPr>
        <w:t>a</w:t>
      </w:r>
      <w:r w:rsidR="00021BC7">
        <w:rPr>
          <w:rFonts w:ascii="Arial" w:hAnsi="Arial" w:cs="Arial"/>
          <w:sz w:val="24"/>
        </w:rPr>
        <w:t>pnéia obstrutiva do sono</w:t>
      </w:r>
      <w:r w:rsidR="009F42FD">
        <w:rPr>
          <w:rFonts w:ascii="Arial" w:hAnsi="Arial" w:cs="Arial"/>
          <w:sz w:val="24"/>
        </w:rPr>
        <w:t xml:space="preserve">. Por esta razão, </w:t>
      </w:r>
      <w:r w:rsidR="001F1197">
        <w:rPr>
          <w:rFonts w:ascii="Arial" w:hAnsi="Arial" w:cs="Arial"/>
          <w:sz w:val="24"/>
        </w:rPr>
        <w:t>a</w:t>
      </w:r>
      <w:r w:rsidR="009F42FD">
        <w:rPr>
          <w:rFonts w:ascii="Arial" w:hAnsi="Arial" w:cs="Arial"/>
          <w:sz w:val="24"/>
        </w:rPr>
        <w:t xml:space="preserve"> dificuldade</w:t>
      </w:r>
      <w:r w:rsidR="00F65CD3">
        <w:rPr>
          <w:rFonts w:ascii="Arial" w:hAnsi="Arial" w:cs="Arial"/>
          <w:sz w:val="24"/>
        </w:rPr>
        <w:t xml:space="preserve"> </w:t>
      </w:r>
      <w:r w:rsidR="008F4496">
        <w:rPr>
          <w:rFonts w:ascii="Arial" w:hAnsi="Arial" w:cs="Arial"/>
          <w:sz w:val="24"/>
        </w:rPr>
        <w:t>respiratória</w:t>
      </w:r>
      <w:r w:rsidR="009F42FD">
        <w:rPr>
          <w:rFonts w:ascii="Arial" w:hAnsi="Arial" w:cs="Arial"/>
          <w:sz w:val="24"/>
        </w:rPr>
        <w:t xml:space="preserve"> </w:t>
      </w:r>
      <w:r w:rsidR="008F4496">
        <w:rPr>
          <w:rFonts w:ascii="Arial" w:hAnsi="Arial" w:cs="Arial"/>
          <w:sz w:val="24"/>
        </w:rPr>
        <w:t>ocasiona</w:t>
      </w:r>
      <w:r w:rsidR="00F65CD3">
        <w:rPr>
          <w:rFonts w:ascii="Arial" w:hAnsi="Arial" w:cs="Arial"/>
          <w:sz w:val="24"/>
        </w:rPr>
        <w:t xml:space="preserve"> </w:t>
      </w:r>
      <w:r>
        <w:rPr>
          <w:rFonts w:ascii="Arial" w:hAnsi="Arial" w:cs="Arial"/>
          <w:sz w:val="24"/>
        </w:rPr>
        <w:t>privação do sono</w:t>
      </w:r>
      <w:r w:rsidR="009C126E">
        <w:rPr>
          <w:rFonts w:ascii="Arial" w:hAnsi="Arial" w:cs="Arial"/>
          <w:sz w:val="24"/>
        </w:rPr>
        <w:t xml:space="preserve"> </w:t>
      </w:r>
      <w:r w:rsidR="00C329E8">
        <w:rPr>
          <w:rFonts w:ascii="Arial" w:hAnsi="Arial" w:cs="Arial"/>
          <w:sz w:val="24"/>
        </w:rPr>
        <w:t>e</w:t>
      </w:r>
      <w:r w:rsidR="00F92BA8">
        <w:rPr>
          <w:rFonts w:ascii="Arial" w:hAnsi="Arial" w:cs="Arial"/>
          <w:sz w:val="24"/>
        </w:rPr>
        <w:t xml:space="preserve"> </w:t>
      </w:r>
      <w:r w:rsidR="000A54C9">
        <w:rPr>
          <w:rFonts w:ascii="Arial" w:hAnsi="Arial" w:cs="Arial"/>
          <w:sz w:val="24"/>
        </w:rPr>
        <w:t>interfer</w:t>
      </w:r>
      <w:r w:rsidR="00F92BA8">
        <w:rPr>
          <w:rFonts w:ascii="Arial" w:hAnsi="Arial" w:cs="Arial"/>
          <w:sz w:val="24"/>
        </w:rPr>
        <w:t>e</w:t>
      </w:r>
      <w:r w:rsidR="009725F6">
        <w:rPr>
          <w:rFonts w:ascii="Arial" w:hAnsi="Arial" w:cs="Arial"/>
          <w:sz w:val="24"/>
        </w:rPr>
        <w:t xml:space="preserve"> no</w:t>
      </w:r>
      <w:r w:rsidR="008C63BC">
        <w:rPr>
          <w:rFonts w:ascii="Arial" w:hAnsi="Arial" w:cs="Arial"/>
          <w:sz w:val="24"/>
        </w:rPr>
        <w:t xml:space="preserve"> condicionamento</w:t>
      </w:r>
      <w:r w:rsidR="00F077AF">
        <w:rPr>
          <w:rFonts w:ascii="Arial" w:hAnsi="Arial" w:cs="Arial"/>
          <w:sz w:val="24"/>
        </w:rPr>
        <w:t xml:space="preserve"> </w:t>
      </w:r>
      <w:r w:rsidR="00614B6E">
        <w:rPr>
          <w:rFonts w:ascii="Arial" w:hAnsi="Arial" w:cs="Arial"/>
          <w:sz w:val="24"/>
        </w:rPr>
        <w:t>desse</w:t>
      </w:r>
      <w:r w:rsidR="009725F6">
        <w:rPr>
          <w:rFonts w:ascii="Arial" w:hAnsi="Arial" w:cs="Arial"/>
          <w:sz w:val="24"/>
        </w:rPr>
        <w:t>s</w:t>
      </w:r>
      <w:r w:rsidR="00614B6E">
        <w:rPr>
          <w:rFonts w:ascii="Arial" w:hAnsi="Arial" w:cs="Arial"/>
          <w:sz w:val="24"/>
        </w:rPr>
        <w:t xml:space="preserve"> pacientes</w:t>
      </w:r>
      <w:r w:rsidR="00F3670D">
        <w:rPr>
          <w:rFonts w:ascii="Arial" w:hAnsi="Arial" w:cs="Arial"/>
          <w:sz w:val="24"/>
        </w:rPr>
        <w:t xml:space="preserve"> </w:t>
      </w:r>
      <w:r w:rsidR="00461C08">
        <w:rPr>
          <w:rFonts w:ascii="Arial" w:hAnsi="Arial" w:cs="Arial"/>
          <w:sz w:val="24"/>
        </w:rPr>
        <w:t xml:space="preserve">para executar suas </w:t>
      </w:r>
      <w:r w:rsidR="00F077AF">
        <w:rPr>
          <w:rFonts w:ascii="Arial" w:hAnsi="Arial" w:cs="Arial"/>
          <w:sz w:val="24"/>
        </w:rPr>
        <w:t>atividades</w:t>
      </w:r>
      <w:r w:rsidR="00F65CD3">
        <w:rPr>
          <w:rFonts w:ascii="Arial" w:hAnsi="Arial" w:cs="Arial"/>
          <w:sz w:val="24"/>
        </w:rPr>
        <w:t xml:space="preserve">, </w:t>
      </w:r>
      <w:r w:rsidR="00F92BA8">
        <w:rPr>
          <w:rFonts w:ascii="Arial" w:hAnsi="Arial" w:cs="Arial"/>
          <w:sz w:val="24"/>
        </w:rPr>
        <w:t xml:space="preserve">podendo </w:t>
      </w:r>
      <w:r w:rsidR="00C329E8">
        <w:rPr>
          <w:rFonts w:ascii="Arial" w:hAnsi="Arial" w:cs="Arial"/>
          <w:sz w:val="24"/>
        </w:rPr>
        <w:t>r</w:t>
      </w:r>
      <w:r w:rsidR="00EF7585">
        <w:rPr>
          <w:rFonts w:ascii="Arial" w:hAnsi="Arial" w:cs="Arial"/>
          <w:sz w:val="24"/>
        </w:rPr>
        <w:t>efletir</w:t>
      </w:r>
      <w:r>
        <w:rPr>
          <w:rFonts w:ascii="Arial" w:hAnsi="Arial" w:cs="Arial"/>
          <w:sz w:val="24"/>
        </w:rPr>
        <w:t>,</w:t>
      </w:r>
      <w:r w:rsidR="00EF7585">
        <w:rPr>
          <w:rFonts w:ascii="Arial" w:hAnsi="Arial" w:cs="Arial"/>
          <w:sz w:val="24"/>
        </w:rPr>
        <w:t xml:space="preserve"> também, </w:t>
      </w:r>
      <w:r w:rsidR="00C329E8">
        <w:rPr>
          <w:rFonts w:ascii="Arial" w:hAnsi="Arial" w:cs="Arial"/>
          <w:sz w:val="24"/>
        </w:rPr>
        <w:t xml:space="preserve">no </w:t>
      </w:r>
      <w:r w:rsidR="009F42FD">
        <w:rPr>
          <w:rFonts w:ascii="Arial" w:hAnsi="Arial" w:cs="Arial"/>
          <w:sz w:val="24"/>
        </w:rPr>
        <w:t>desempenho escolar</w:t>
      </w:r>
      <w:r>
        <w:rPr>
          <w:rFonts w:ascii="Arial" w:hAnsi="Arial" w:cs="Arial"/>
          <w:sz w:val="24"/>
        </w:rPr>
        <w:t xml:space="preserve"> dos mesmos;</w:t>
      </w:r>
      <w:r w:rsidR="00C329E8">
        <w:rPr>
          <w:rFonts w:ascii="Arial" w:hAnsi="Arial" w:cs="Arial"/>
          <w:sz w:val="24"/>
        </w:rPr>
        <w:t xml:space="preserve"> </w:t>
      </w:r>
      <w:r w:rsidR="00EF7585">
        <w:rPr>
          <w:rFonts w:ascii="Arial" w:hAnsi="Arial" w:cs="Arial"/>
          <w:sz w:val="24"/>
        </w:rPr>
        <w:t>ou</w:t>
      </w:r>
      <w:r>
        <w:rPr>
          <w:rFonts w:ascii="Arial" w:hAnsi="Arial" w:cs="Arial"/>
          <w:sz w:val="24"/>
        </w:rPr>
        <w:t>, ainda,</w:t>
      </w:r>
      <w:r w:rsidR="00C329E8">
        <w:rPr>
          <w:rFonts w:ascii="Arial" w:hAnsi="Arial" w:cs="Arial"/>
          <w:sz w:val="24"/>
        </w:rPr>
        <w:t xml:space="preserve"> gerar preocupação aos seus pais, p</w:t>
      </w:r>
      <w:r w:rsidR="00EF7585">
        <w:rPr>
          <w:rFonts w:ascii="Arial" w:hAnsi="Arial" w:cs="Arial"/>
          <w:sz w:val="24"/>
        </w:rPr>
        <w:t>ois estes</w:t>
      </w:r>
      <w:r w:rsidR="00D96ECF">
        <w:rPr>
          <w:rFonts w:ascii="Arial" w:hAnsi="Arial" w:cs="Arial"/>
          <w:sz w:val="24"/>
        </w:rPr>
        <w:t xml:space="preserve"> tendem a relacionar</w:t>
      </w:r>
      <w:r w:rsidR="00461C08">
        <w:rPr>
          <w:rFonts w:ascii="Arial" w:hAnsi="Arial" w:cs="Arial"/>
          <w:sz w:val="24"/>
        </w:rPr>
        <w:t xml:space="preserve"> est</w:t>
      </w:r>
      <w:r w:rsidR="00C329E8">
        <w:rPr>
          <w:rFonts w:ascii="Arial" w:hAnsi="Arial" w:cs="Arial"/>
          <w:sz w:val="24"/>
        </w:rPr>
        <w:t>a situação ao risco iminente de morte</w:t>
      </w:r>
      <w:r w:rsidR="009F42FD">
        <w:rPr>
          <w:rFonts w:ascii="Arial" w:hAnsi="Arial" w:cs="Arial"/>
          <w:sz w:val="24"/>
        </w:rPr>
        <w:t xml:space="preserve">. O atraso no desenvolvimento da </w:t>
      </w:r>
      <w:r w:rsidR="00C60436">
        <w:rPr>
          <w:rFonts w:ascii="Arial" w:hAnsi="Arial" w:cs="Arial"/>
          <w:sz w:val="24"/>
        </w:rPr>
        <w:t>fala</w:t>
      </w:r>
      <w:r w:rsidR="009F42FD">
        <w:rPr>
          <w:rFonts w:ascii="Arial" w:hAnsi="Arial" w:cs="Arial"/>
          <w:sz w:val="24"/>
        </w:rPr>
        <w:t xml:space="preserve"> </w:t>
      </w:r>
      <w:r w:rsidR="00C60436">
        <w:rPr>
          <w:rFonts w:ascii="Arial" w:hAnsi="Arial" w:cs="Arial"/>
          <w:sz w:val="24"/>
        </w:rPr>
        <w:t>foi o</w:t>
      </w:r>
      <w:r w:rsidR="009F42FD">
        <w:rPr>
          <w:rFonts w:ascii="Arial" w:hAnsi="Arial" w:cs="Arial"/>
          <w:sz w:val="24"/>
        </w:rPr>
        <w:t>utro fator</w:t>
      </w:r>
      <w:r w:rsidR="0059415D">
        <w:rPr>
          <w:rFonts w:ascii="Arial" w:hAnsi="Arial" w:cs="Arial"/>
          <w:sz w:val="24"/>
        </w:rPr>
        <w:t>, apontado pelos pais,</w:t>
      </w:r>
      <w:r w:rsidR="009F42FD">
        <w:rPr>
          <w:rFonts w:ascii="Arial" w:hAnsi="Arial" w:cs="Arial"/>
          <w:sz w:val="24"/>
        </w:rPr>
        <w:t xml:space="preserve"> </w:t>
      </w:r>
      <w:r w:rsidR="00C60436">
        <w:rPr>
          <w:rFonts w:ascii="Arial" w:hAnsi="Arial" w:cs="Arial"/>
          <w:sz w:val="24"/>
        </w:rPr>
        <w:t>com</w:t>
      </w:r>
      <w:r w:rsidR="009F42FD">
        <w:rPr>
          <w:rFonts w:ascii="Arial" w:hAnsi="Arial" w:cs="Arial"/>
          <w:sz w:val="24"/>
        </w:rPr>
        <w:t xml:space="preserve"> impact</w:t>
      </w:r>
      <w:r w:rsidR="00C60436">
        <w:rPr>
          <w:rFonts w:ascii="Arial" w:hAnsi="Arial" w:cs="Arial"/>
          <w:sz w:val="24"/>
        </w:rPr>
        <w:t>o</w:t>
      </w:r>
      <w:r w:rsidR="009F42FD">
        <w:rPr>
          <w:rFonts w:ascii="Arial" w:hAnsi="Arial" w:cs="Arial"/>
          <w:sz w:val="24"/>
        </w:rPr>
        <w:t xml:space="preserve"> </w:t>
      </w:r>
      <w:r w:rsidR="00C60436">
        <w:rPr>
          <w:rFonts w:ascii="Arial" w:hAnsi="Arial" w:cs="Arial"/>
          <w:sz w:val="24"/>
        </w:rPr>
        <w:t xml:space="preserve">negativo </w:t>
      </w:r>
      <w:r w:rsidR="009F42FD">
        <w:rPr>
          <w:rFonts w:ascii="Arial" w:hAnsi="Arial" w:cs="Arial"/>
          <w:sz w:val="24"/>
        </w:rPr>
        <w:t xml:space="preserve">na QVRS. </w:t>
      </w:r>
      <w:r w:rsidR="00C60436">
        <w:rPr>
          <w:rFonts w:ascii="Arial" w:hAnsi="Arial" w:cs="Arial"/>
          <w:sz w:val="24"/>
        </w:rPr>
        <w:t xml:space="preserve">Condições como macroglossia, </w:t>
      </w:r>
      <w:r w:rsidR="009F42FD">
        <w:rPr>
          <w:rFonts w:ascii="Arial" w:hAnsi="Arial" w:cs="Arial"/>
          <w:sz w:val="24"/>
        </w:rPr>
        <w:t xml:space="preserve">comprometimento auditivo e/ou </w:t>
      </w:r>
      <w:r w:rsidR="00C60436">
        <w:rPr>
          <w:rFonts w:ascii="Arial" w:hAnsi="Arial" w:cs="Arial"/>
          <w:sz w:val="24"/>
        </w:rPr>
        <w:t>a</w:t>
      </w:r>
      <w:r w:rsidR="009F42FD">
        <w:rPr>
          <w:rFonts w:ascii="Arial" w:hAnsi="Arial" w:cs="Arial"/>
          <w:sz w:val="24"/>
        </w:rPr>
        <w:t>traso do desenvolvimento neuropsicomotor</w:t>
      </w:r>
      <w:r w:rsidR="00C60436">
        <w:rPr>
          <w:rFonts w:ascii="Arial" w:hAnsi="Arial" w:cs="Arial"/>
          <w:sz w:val="24"/>
        </w:rPr>
        <w:t xml:space="preserve"> </w:t>
      </w:r>
      <w:r w:rsidR="00821B96">
        <w:rPr>
          <w:rFonts w:ascii="Arial" w:hAnsi="Arial" w:cs="Arial"/>
          <w:sz w:val="24"/>
        </w:rPr>
        <w:t xml:space="preserve">podem </w:t>
      </w:r>
      <w:r w:rsidR="004B594F">
        <w:rPr>
          <w:rFonts w:ascii="Arial" w:hAnsi="Arial" w:cs="Arial"/>
          <w:sz w:val="24"/>
        </w:rPr>
        <w:t>compromete</w:t>
      </w:r>
      <w:r w:rsidR="00821B96">
        <w:rPr>
          <w:rFonts w:ascii="Arial" w:hAnsi="Arial" w:cs="Arial"/>
          <w:sz w:val="24"/>
        </w:rPr>
        <w:t>r</w:t>
      </w:r>
      <w:r w:rsidR="00C60436">
        <w:rPr>
          <w:rFonts w:ascii="Arial" w:hAnsi="Arial" w:cs="Arial"/>
          <w:sz w:val="24"/>
        </w:rPr>
        <w:t xml:space="preserve"> a comunicação e dificulta</w:t>
      </w:r>
      <w:r w:rsidR="00821B96">
        <w:rPr>
          <w:rFonts w:ascii="Arial" w:hAnsi="Arial" w:cs="Arial"/>
          <w:sz w:val="24"/>
        </w:rPr>
        <w:t>r</w:t>
      </w:r>
      <w:r w:rsidR="00C27981">
        <w:rPr>
          <w:rFonts w:ascii="Arial" w:hAnsi="Arial" w:cs="Arial"/>
          <w:sz w:val="24"/>
        </w:rPr>
        <w:t xml:space="preserve"> o aprendizado de</w:t>
      </w:r>
      <w:r w:rsidR="00C60436">
        <w:rPr>
          <w:rFonts w:ascii="Arial" w:hAnsi="Arial" w:cs="Arial"/>
          <w:sz w:val="24"/>
        </w:rPr>
        <w:t xml:space="preserve"> crianças</w:t>
      </w:r>
      <w:r w:rsidR="005F09E7">
        <w:rPr>
          <w:rFonts w:ascii="Arial" w:hAnsi="Arial" w:cs="Arial"/>
          <w:sz w:val="24"/>
        </w:rPr>
        <w:t xml:space="preserve"> e adolescentes</w:t>
      </w:r>
      <w:r w:rsidR="00F3670D">
        <w:rPr>
          <w:rFonts w:ascii="Arial" w:hAnsi="Arial" w:cs="Arial"/>
          <w:sz w:val="24"/>
        </w:rPr>
        <w:t xml:space="preserve"> com MPS</w:t>
      </w:r>
      <w:r w:rsidR="001F1197">
        <w:rPr>
          <w:rFonts w:ascii="Arial" w:hAnsi="Arial" w:cs="Arial"/>
          <w:sz w:val="24"/>
        </w:rPr>
        <w:t>.</w:t>
      </w:r>
      <w:r w:rsidR="00D0119B">
        <w:rPr>
          <w:rFonts w:ascii="Arial" w:hAnsi="Arial" w:cs="Arial"/>
          <w:sz w:val="24"/>
        </w:rPr>
        <w:fldChar w:fldCharType="begin" w:fldLock="1"/>
      </w:r>
      <w:r w:rsidR="00195481">
        <w:rPr>
          <w:rFonts w:ascii="Arial" w:hAnsi="Arial" w:cs="Arial"/>
          <w:sz w:val="24"/>
        </w:rPr>
        <w:instrText>ADDIN CSL_CITATION { "citationItems" : [ { "id" : "ITEM-1", "itemData" : { "DOI" : "10.1186/s13023-016-0478-z", "ISSN" : "1750-1172", "author" : [ { "dropping-particle" : "", "family" : "Soni-Jaiswal", "given" : "A", "non-dropping-particle" : "", "parse-names" : false, "suffix" : "" }, { "dropping-particle" : "", "family" : "Mercer", "given" : "J", "non-dropping-particle" : "", "parse-names" : false, "suffix" : "" }, { "dropping-particle" : "", "family" : "Jones", "given" : "SA", "non-dropping-particle" : "", "parse-names" : false, "suffix" : "" }, { "dropping-particle" : "", "family" : "Bruce", "given" : "IA", "non-dropping-particle" : "", "parse-names" : false, "suffix" : "" }, { "dropping-particle" : "", "family" : "Callery", "given" : "P", "non-dropping-particle" : "", "parse-names" : false, "suffix" : "" } ], "container-title" : "Orphanet Journal of Rare Diseases", "id" : "ITEM-1", "issue" : "96", "issued" : { "date-parts" : [ [ "2016" ] ] }, "page" : "1-9", "publisher" : "Orphanet Journal of Rare Diseases", "title" : "Mucopolysaccharidosis I; Parental beliefs about the impact of disease on the quality of life of their children", "type" : "article-journal", "volume" : "11" }, "uris" : [ "http://www.mendeley.com/documents/?uuid=757f9cee-93bf-49c0-b96b-5d45703fafd1" ] } ], "mendeley" : { "formattedCitation" : "&lt;sup&gt;98&lt;/sup&gt;", "plainTextFormattedCitation" : "98", "previouslyFormattedCitation" : "&lt;sup&gt;98&lt;/sup&gt;" }, "properties" : { "noteIndex" : 0 }, "schema" : "https://github.com/citation-style-language/schema/raw/master/csl-citation.json" }</w:instrText>
      </w:r>
      <w:r w:rsidR="00D0119B">
        <w:rPr>
          <w:rFonts w:ascii="Arial" w:hAnsi="Arial" w:cs="Arial"/>
          <w:sz w:val="24"/>
        </w:rPr>
        <w:fldChar w:fldCharType="separate"/>
      </w:r>
      <w:r w:rsidR="00412B48" w:rsidRPr="00412B48">
        <w:rPr>
          <w:rFonts w:ascii="Arial" w:hAnsi="Arial" w:cs="Arial"/>
          <w:noProof/>
          <w:sz w:val="24"/>
          <w:vertAlign w:val="superscript"/>
        </w:rPr>
        <w:t>98</w:t>
      </w:r>
      <w:r w:rsidR="00D0119B">
        <w:rPr>
          <w:rFonts w:ascii="Arial" w:hAnsi="Arial" w:cs="Arial"/>
          <w:sz w:val="24"/>
        </w:rPr>
        <w:fldChar w:fldCharType="end"/>
      </w:r>
    </w:p>
    <w:p w:rsidR="008647FD" w:rsidRDefault="008647FD" w:rsidP="00491682">
      <w:pPr>
        <w:spacing w:after="0" w:line="360" w:lineRule="auto"/>
        <w:jc w:val="both"/>
        <w:rPr>
          <w:rFonts w:ascii="Arial" w:hAnsi="Arial" w:cs="Arial"/>
          <w:sz w:val="24"/>
        </w:rPr>
      </w:pPr>
    </w:p>
    <w:p w:rsidR="007002D4" w:rsidRDefault="00B67D2C" w:rsidP="00491682">
      <w:pPr>
        <w:spacing w:after="0" w:line="360" w:lineRule="auto"/>
        <w:jc w:val="both"/>
        <w:rPr>
          <w:rFonts w:ascii="Arial" w:hAnsi="Arial" w:cs="Arial"/>
          <w:sz w:val="24"/>
        </w:rPr>
      </w:pPr>
      <w:r>
        <w:rPr>
          <w:rFonts w:ascii="Arial" w:hAnsi="Arial" w:cs="Arial"/>
          <w:sz w:val="24"/>
        </w:rPr>
        <w:t>Baixa resistência f</w:t>
      </w:r>
      <w:r w:rsidR="000B0A17">
        <w:rPr>
          <w:rFonts w:ascii="Arial" w:hAnsi="Arial" w:cs="Arial"/>
          <w:sz w:val="24"/>
        </w:rPr>
        <w:t>ísica,</w:t>
      </w:r>
      <w:r>
        <w:rPr>
          <w:rFonts w:ascii="Arial" w:hAnsi="Arial" w:cs="Arial"/>
          <w:sz w:val="24"/>
        </w:rPr>
        <w:t xml:space="preserve"> presença de </w:t>
      </w:r>
      <w:r w:rsidR="007002D4">
        <w:rPr>
          <w:rFonts w:ascii="Arial" w:hAnsi="Arial" w:cs="Arial"/>
          <w:sz w:val="24"/>
        </w:rPr>
        <w:t>dor crônica</w:t>
      </w:r>
      <w:r w:rsidR="000B0A17">
        <w:rPr>
          <w:rFonts w:ascii="Arial" w:hAnsi="Arial" w:cs="Arial"/>
          <w:sz w:val="24"/>
        </w:rPr>
        <w:t xml:space="preserve"> e</w:t>
      </w:r>
      <w:r w:rsidR="007002D4">
        <w:rPr>
          <w:rFonts w:ascii="Arial" w:hAnsi="Arial" w:cs="Arial"/>
          <w:sz w:val="24"/>
        </w:rPr>
        <w:t xml:space="preserve"> limitação da mobilidade</w:t>
      </w:r>
      <w:r w:rsidR="00834593">
        <w:rPr>
          <w:rFonts w:ascii="Arial" w:hAnsi="Arial" w:cs="Arial"/>
          <w:sz w:val="24"/>
        </w:rPr>
        <w:t xml:space="preserve"> </w:t>
      </w:r>
      <w:r w:rsidR="000A54C9">
        <w:rPr>
          <w:rFonts w:ascii="Arial" w:hAnsi="Arial" w:cs="Arial"/>
          <w:sz w:val="24"/>
        </w:rPr>
        <w:t xml:space="preserve">também </w:t>
      </w:r>
      <w:r w:rsidR="00834593">
        <w:rPr>
          <w:rFonts w:ascii="Arial" w:hAnsi="Arial" w:cs="Arial"/>
          <w:sz w:val="24"/>
        </w:rPr>
        <w:t>foram</w:t>
      </w:r>
      <w:r>
        <w:rPr>
          <w:rFonts w:ascii="Arial" w:hAnsi="Arial" w:cs="Arial"/>
          <w:sz w:val="24"/>
        </w:rPr>
        <w:t xml:space="preserve"> apontados pela amostra do estudo</w:t>
      </w:r>
      <w:r w:rsidR="000A54C9">
        <w:rPr>
          <w:rFonts w:ascii="Arial" w:hAnsi="Arial" w:cs="Arial"/>
          <w:sz w:val="24"/>
        </w:rPr>
        <w:t xml:space="preserve"> em questão.</w:t>
      </w:r>
      <w:r w:rsidR="004E3414">
        <w:rPr>
          <w:rFonts w:ascii="Arial" w:hAnsi="Arial" w:cs="Arial"/>
          <w:sz w:val="24"/>
        </w:rPr>
        <w:fldChar w:fldCharType="begin" w:fldLock="1"/>
      </w:r>
      <w:r w:rsidR="00195481">
        <w:rPr>
          <w:rFonts w:ascii="Arial" w:hAnsi="Arial" w:cs="Arial"/>
          <w:sz w:val="24"/>
        </w:rPr>
        <w:instrText>ADDIN CSL_CITATION { "citationItems" : [ { "id" : "ITEM-1", "itemData" : { "DOI" : "10.1186/s13023-016-0478-z", "ISSN" : "1750-1172", "author" : [ { "dropping-particle" : "", "family" : "Soni-Jaiswal", "given" : "A", "non-dropping-particle" : "", "parse-names" : false, "suffix" : "" }, { "dropping-particle" : "", "family" : "Mercer", "given" : "J", "non-dropping-particle" : "", "parse-names" : false, "suffix" : "" }, { "dropping-particle" : "", "family" : "Jones", "given" : "SA", "non-dropping-particle" : "", "parse-names" : false, "suffix" : "" }, { "dropping-particle" : "", "family" : "Bruce", "given" : "IA", "non-dropping-particle" : "", "parse-names" : false, "suffix" : "" }, { "dropping-particle" : "", "family" : "Callery", "given" : "P", "non-dropping-particle" : "", "parse-names" : false, "suffix" : "" } ], "container-title" : "Orphanet Journal of Rare Diseases", "id" : "ITEM-1", "issue" : "96", "issued" : { "date-parts" : [ [ "2016" ] ] }, "page" : "1-9", "publisher" : "Orphanet Journal of Rare Diseases", "title" : "Mucopolysaccharidosis I; Parental beliefs about the impact of disease on the quality of life of their children", "type" : "article-journal", "volume" : "11" }, "uris" : [ "http://www.mendeley.com/documents/?uuid=757f9cee-93bf-49c0-b96b-5d45703fafd1" ] } ], "mendeley" : { "formattedCitation" : "&lt;sup&gt;98&lt;/sup&gt;", "plainTextFormattedCitation" : "98", "previouslyFormattedCitation" : "&lt;sup&gt;98&lt;/sup&gt;" }, "properties" : { "noteIndex" : 0 }, "schema" : "https://github.com/citation-style-language/schema/raw/master/csl-citation.json" }</w:instrText>
      </w:r>
      <w:r w:rsidR="004E3414">
        <w:rPr>
          <w:rFonts w:ascii="Arial" w:hAnsi="Arial" w:cs="Arial"/>
          <w:sz w:val="24"/>
        </w:rPr>
        <w:fldChar w:fldCharType="separate"/>
      </w:r>
      <w:r w:rsidR="00412B48" w:rsidRPr="00412B48">
        <w:rPr>
          <w:rFonts w:ascii="Arial" w:hAnsi="Arial" w:cs="Arial"/>
          <w:noProof/>
          <w:sz w:val="24"/>
          <w:vertAlign w:val="superscript"/>
        </w:rPr>
        <w:t>98</w:t>
      </w:r>
      <w:r w:rsidR="004E3414">
        <w:rPr>
          <w:rFonts w:ascii="Arial" w:hAnsi="Arial" w:cs="Arial"/>
          <w:sz w:val="24"/>
        </w:rPr>
        <w:fldChar w:fldCharType="end"/>
      </w:r>
      <w:r w:rsidR="000B0A17">
        <w:rPr>
          <w:rFonts w:ascii="Arial" w:hAnsi="Arial" w:cs="Arial"/>
          <w:sz w:val="24"/>
        </w:rPr>
        <w:t xml:space="preserve"> </w:t>
      </w:r>
      <w:r w:rsidR="00834593">
        <w:rPr>
          <w:rFonts w:ascii="Arial" w:hAnsi="Arial" w:cs="Arial"/>
          <w:sz w:val="24"/>
        </w:rPr>
        <w:t>A d</w:t>
      </w:r>
      <w:r w:rsidR="000B0A17">
        <w:rPr>
          <w:rFonts w:ascii="Arial" w:hAnsi="Arial" w:cs="Arial"/>
          <w:sz w:val="24"/>
        </w:rPr>
        <w:t>ificuldade para</w:t>
      </w:r>
      <w:r w:rsidR="00743C21">
        <w:rPr>
          <w:rFonts w:ascii="Arial" w:hAnsi="Arial" w:cs="Arial"/>
          <w:sz w:val="24"/>
        </w:rPr>
        <w:t xml:space="preserve"> </w:t>
      </w:r>
      <w:r w:rsidR="00834593">
        <w:rPr>
          <w:rFonts w:ascii="Arial" w:hAnsi="Arial" w:cs="Arial"/>
          <w:sz w:val="24"/>
        </w:rPr>
        <w:t>locomo</w:t>
      </w:r>
      <w:r w:rsidR="00743C21">
        <w:rPr>
          <w:rFonts w:ascii="Arial" w:hAnsi="Arial" w:cs="Arial"/>
          <w:sz w:val="24"/>
        </w:rPr>
        <w:t>ção</w:t>
      </w:r>
      <w:r w:rsidR="000B0A17">
        <w:rPr>
          <w:rFonts w:ascii="Arial" w:hAnsi="Arial" w:cs="Arial"/>
          <w:sz w:val="24"/>
        </w:rPr>
        <w:t xml:space="preserve"> e a sensação de fadiga</w:t>
      </w:r>
      <w:r w:rsidR="00743C21">
        <w:rPr>
          <w:rFonts w:ascii="Arial" w:hAnsi="Arial" w:cs="Arial"/>
          <w:sz w:val="24"/>
        </w:rPr>
        <w:t xml:space="preserve"> restringem </w:t>
      </w:r>
      <w:r w:rsidR="00834593">
        <w:rPr>
          <w:rFonts w:ascii="Arial" w:hAnsi="Arial" w:cs="Arial"/>
          <w:sz w:val="24"/>
        </w:rPr>
        <w:t xml:space="preserve">a participação </w:t>
      </w:r>
      <w:r w:rsidR="004E70A9">
        <w:rPr>
          <w:rFonts w:ascii="Arial" w:hAnsi="Arial" w:cs="Arial"/>
          <w:sz w:val="24"/>
        </w:rPr>
        <w:t>dos</w:t>
      </w:r>
      <w:r w:rsidR="00834593">
        <w:rPr>
          <w:rFonts w:ascii="Arial" w:hAnsi="Arial" w:cs="Arial"/>
          <w:sz w:val="24"/>
        </w:rPr>
        <w:t xml:space="preserve"> pacientes com MPS em</w:t>
      </w:r>
      <w:r w:rsidR="00164C65">
        <w:rPr>
          <w:rFonts w:ascii="Arial" w:hAnsi="Arial" w:cs="Arial"/>
          <w:sz w:val="24"/>
        </w:rPr>
        <w:t xml:space="preserve"> atividades recreativas</w:t>
      </w:r>
      <w:r w:rsidR="002E0B5A">
        <w:rPr>
          <w:rFonts w:ascii="Arial" w:hAnsi="Arial" w:cs="Arial"/>
          <w:sz w:val="24"/>
        </w:rPr>
        <w:t xml:space="preserve"> e/ou esportivas</w:t>
      </w:r>
      <w:r w:rsidR="00164C65">
        <w:rPr>
          <w:rFonts w:ascii="Arial" w:hAnsi="Arial" w:cs="Arial"/>
          <w:sz w:val="24"/>
        </w:rPr>
        <w:t xml:space="preserve"> comuns a </w:t>
      </w:r>
      <w:r w:rsidR="00404E17">
        <w:rPr>
          <w:rFonts w:ascii="Arial" w:hAnsi="Arial" w:cs="Arial"/>
          <w:sz w:val="24"/>
        </w:rPr>
        <w:t>crianças</w:t>
      </w:r>
      <w:r w:rsidR="00164C65">
        <w:rPr>
          <w:rFonts w:ascii="Arial" w:hAnsi="Arial" w:cs="Arial"/>
          <w:sz w:val="24"/>
        </w:rPr>
        <w:t xml:space="preserve"> da sua faixa </w:t>
      </w:r>
      <w:r w:rsidR="00164C65">
        <w:rPr>
          <w:rFonts w:ascii="Arial" w:hAnsi="Arial" w:cs="Arial"/>
          <w:sz w:val="24"/>
        </w:rPr>
        <w:lastRenderedPageBreak/>
        <w:t>etária</w:t>
      </w:r>
      <w:r w:rsidR="00DB63CA">
        <w:rPr>
          <w:rFonts w:ascii="Arial" w:hAnsi="Arial" w:cs="Arial"/>
          <w:sz w:val="24"/>
        </w:rPr>
        <w:t xml:space="preserve">. </w:t>
      </w:r>
      <w:r w:rsidR="00164C65">
        <w:rPr>
          <w:rFonts w:ascii="Arial" w:hAnsi="Arial" w:cs="Arial"/>
          <w:sz w:val="24"/>
        </w:rPr>
        <w:t>Além dis</w:t>
      </w:r>
      <w:r w:rsidR="002541BE">
        <w:rPr>
          <w:rFonts w:ascii="Arial" w:hAnsi="Arial" w:cs="Arial"/>
          <w:sz w:val="24"/>
        </w:rPr>
        <w:t>t</w:t>
      </w:r>
      <w:r w:rsidR="00164C65">
        <w:rPr>
          <w:rFonts w:ascii="Arial" w:hAnsi="Arial" w:cs="Arial"/>
          <w:sz w:val="24"/>
        </w:rPr>
        <w:t>o, a reduç</w:t>
      </w:r>
      <w:r w:rsidR="00F937CA">
        <w:rPr>
          <w:rFonts w:ascii="Arial" w:hAnsi="Arial" w:cs="Arial"/>
          <w:sz w:val="24"/>
        </w:rPr>
        <w:t>ão de</w:t>
      </w:r>
      <w:r w:rsidR="00164C65">
        <w:rPr>
          <w:rFonts w:ascii="Arial" w:hAnsi="Arial" w:cs="Arial"/>
          <w:sz w:val="24"/>
        </w:rPr>
        <w:t xml:space="preserve"> ADM</w:t>
      </w:r>
      <w:r w:rsidR="00CC16FA">
        <w:rPr>
          <w:rFonts w:ascii="Arial" w:hAnsi="Arial" w:cs="Arial"/>
          <w:sz w:val="24"/>
        </w:rPr>
        <w:t xml:space="preserve"> </w:t>
      </w:r>
      <w:r w:rsidR="0099201E">
        <w:rPr>
          <w:rFonts w:ascii="Arial" w:hAnsi="Arial" w:cs="Arial"/>
          <w:sz w:val="24"/>
        </w:rPr>
        <w:t xml:space="preserve">na articulação da mão </w:t>
      </w:r>
      <w:r w:rsidR="00CC16FA">
        <w:rPr>
          <w:rFonts w:ascii="Arial" w:hAnsi="Arial" w:cs="Arial"/>
          <w:sz w:val="24"/>
        </w:rPr>
        <w:t xml:space="preserve">e </w:t>
      </w:r>
      <w:r w:rsidR="00164C65">
        <w:rPr>
          <w:rFonts w:ascii="Arial" w:hAnsi="Arial" w:cs="Arial"/>
          <w:sz w:val="24"/>
        </w:rPr>
        <w:t>alterações sensoriais</w:t>
      </w:r>
      <w:r w:rsidR="002541BE">
        <w:rPr>
          <w:rFonts w:ascii="Arial" w:hAnsi="Arial" w:cs="Arial"/>
          <w:sz w:val="24"/>
        </w:rPr>
        <w:t>,</w:t>
      </w:r>
      <w:r w:rsidR="00164C65">
        <w:rPr>
          <w:rFonts w:ascii="Arial" w:hAnsi="Arial" w:cs="Arial"/>
          <w:sz w:val="24"/>
        </w:rPr>
        <w:t xml:space="preserve"> ocasiona</w:t>
      </w:r>
      <w:r w:rsidR="00CC16FA">
        <w:rPr>
          <w:rFonts w:ascii="Arial" w:hAnsi="Arial" w:cs="Arial"/>
          <w:sz w:val="24"/>
        </w:rPr>
        <w:t>da</w:t>
      </w:r>
      <w:r w:rsidR="00164C65">
        <w:rPr>
          <w:rFonts w:ascii="Arial" w:hAnsi="Arial" w:cs="Arial"/>
          <w:sz w:val="24"/>
        </w:rPr>
        <w:t>s por compressão neural</w:t>
      </w:r>
      <w:r w:rsidR="002541BE">
        <w:rPr>
          <w:rFonts w:ascii="Arial" w:hAnsi="Arial" w:cs="Arial"/>
          <w:sz w:val="24"/>
        </w:rPr>
        <w:t>,</w:t>
      </w:r>
      <w:r w:rsidR="00B21F83">
        <w:rPr>
          <w:rFonts w:ascii="Arial" w:hAnsi="Arial" w:cs="Arial"/>
          <w:sz w:val="24"/>
        </w:rPr>
        <w:t xml:space="preserve"> pod</w:t>
      </w:r>
      <w:r w:rsidR="00EC5EDB">
        <w:rPr>
          <w:rFonts w:ascii="Arial" w:hAnsi="Arial" w:cs="Arial"/>
          <w:sz w:val="24"/>
        </w:rPr>
        <w:t>e</w:t>
      </w:r>
      <w:r w:rsidR="0099201E">
        <w:rPr>
          <w:rFonts w:ascii="Arial" w:hAnsi="Arial" w:cs="Arial"/>
          <w:sz w:val="24"/>
        </w:rPr>
        <w:t>m dificultar a escrita.</w:t>
      </w:r>
      <w:r w:rsidR="002541BE">
        <w:rPr>
          <w:rFonts w:ascii="Arial" w:hAnsi="Arial" w:cs="Arial"/>
          <w:sz w:val="24"/>
        </w:rPr>
        <w:t xml:space="preserve"> E</w:t>
      </w:r>
      <w:r w:rsidR="0099201E">
        <w:rPr>
          <w:rFonts w:ascii="Arial" w:hAnsi="Arial" w:cs="Arial"/>
          <w:sz w:val="24"/>
        </w:rPr>
        <w:t>sses indivíduos tornam-se</w:t>
      </w:r>
      <w:r w:rsidR="002541BE">
        <w:rPr>
          <w:rFonts w:ascii="Arial" w:hAnsi="Arial" w:cs="Arial"/>
          <w:sz w:val="24"/>
        </w:rPr>
        <w:t>, então,</w:t>
      </w:r>
      <w:r w:rsidR="0099201E">
        <w:rPr>
          <w:rFonts w:ascii="Arial" w:hAnsi="Arial" w:cs="Arial"/>
          <w:sz w:val="24"/>
        </w:rPr>
        <w:t xml:space="preserve"> dependentes</w:t>
      </w:r>
      <w:r w:rsidR="00CC16FA">
        <w:rPr>
          <w:rFonts w:ascii="Arial" w:hAnsi="Arial" w:cs="Arial"/>
          <w:sz w:val="24"/>
        </w:rPr>
        <w:t xml:space="preserve"> de outra pessoa para escrever ou para </w:t>
      </w:r>
      <w:r w:rsidR="00EC5EDB">
        <w:rPr>
          <w:rFonts w:ascii="Arial" w:hAnsi="Arial" w:cs="Arial"/>
          <w:sz w:val="24"/>
        </w:rPr>
        <w:t>transportar</w:t>
      </w:r>
      <w:r w:rsidR="00CC16FA">
        <w:rPr>
          <w:rFonts w:ascii="Arial" w:hAnsi="Arial" w:cs="Arial"/>
          <w:sz w:val="24"/>
        </w:rPr>
        <w:t xml:space="preserve"> o material</w:t>
      </w:r>
      <w:r w:rsidR="0099201E">
        <w:rPr>
          <w:rFonts w:ascii="Arial" w:hAnsi="Arial" w:cs="Arial"/>
          <w:sz w:val="24"/>
        </w:rPr>
        <w:t xml:space="preserve"> escolar, como livros e mochila.</w:t>
      </w:r>
      <w:r w:rsidR="00BD6509">
        <w:rPr>
          <w:rFonts w:ascii="Arial" w:hAnsi="Arial" w:cs="Arial"/>
          <w:sz w:val="24"/>
        </w:rPr>
        <w:t xml:space="preserve"> A necessidade de utiliza</w:t>
      </w:r>
      <w:r w:rsidR="00E85DA7">
        <w:rPr>
          <w:rFonts w:ascii="Arial" w:hAnsi="Arial" w:cs="Arial"/>
          <w:sz w:val="24"/>
        </w:rPr>
        <w:t>r</w:t>
      </w:r>
      <w:r w:rsidR="00BD6509">
        <w:rPr>
          <w:rFonts w:ascii="Arial" w:hAnsi="Arial" w:cs="Arial"/>
          <w:sz w:val="24"/>
        </w:rPr>
        <w:t xml:space="preserve"> cadeira de rodas, </w:t>
      </w:r>
      <w:r w:rsidR="00A35065">
        <w:rPr>
          <w:rFonts w:ascii="Arial" w:hAnsi="Arial" w:cs="Arial"/>
          <w:sz w:val="24"/>
        </w:rPr>
        <w:t xml:space="preserve">condição frequente </w:t>
      </w:r>
      <w:r w:rsidR="00BD6509">
        <w:rPr>
          <w:rFonts w:ascii="Arial" w:hAnsi="Arial" w:cs="Arial"/>
          <w:sz w:val="24"/>
        </w:rPr>
        <w:t xml:space="preserve">entre pacientes </w:t>
      </w:r>
      <w:r w:rsidR="00E85DA7">
        <w:rPr>
          <w:rFonts w:ascii="Arial" w:hAnsi="Arial" w:cs="Arial"/>
          <w:sz w:val="24"/>
        </w:rPr>
        <w:t>com limitação</w:t>
      </w:r>
      <w:r w:rsidR="00BD6509">
        <w:rPr>
          <w:rFonts w:ascii="Arial" w:hAnsi="Arial" w:cs="Arial"/>
          <w:sz w:val="24"/>
        </w:rPr>
        <w:t xml:space="preserve"> para longas caminhadas</w:t>
      </w:r>
      <w:r w:rsidR="00C329E8">
        <w:rPr>
          <w:rFonts w:ascii="Arial" w:hAnsi="Arial" w:cs="Arial"/>
          <w:sz w:val="24"/>
        </w:rPr>
        <w:t>,</w:t>
      </w:r>
      <w:r w:rsidR="003527AC">
        <w:rPr>
          <w:rFonts w:ascii="Arial" w:hAnsi="Arial" w:cs="Arial"/>
          <w:sz w:val="24"/>
        </w:rPr>
        <w:t xml:space="preserve"> e o estigma pro</w:t>
      </w:r>
      <w:r w:rsidR="00C062B1">
        <w:rPr>
          <w:rFonts w:ascii="Arial" w:hAnsi="Arial" w:cs="Arial"/>
          <w:sz w:val="24"/>
        </w:rPr>
        <w:t>duzido</w:t>
      </w:r>
      <w:r w:rsidR="003527AC">
        <w:rPr>
          <w:rFonts w:ascii="Arial" w:hAnsi="Arial" w:cs="Arial"/>
          <w:sz w:val="24"/>
        </w:rPr>
        <w:t xml:space="preserve"> pelas características físicas </w:t>
      </w:r>
      <w:r w:rsidR="002541BE">
        <w:rPr>
          <w:rFonts w:ascii="Arial" w:hAnsi="Arial" w:cs="Arial"/>
          <w:sz w:val="24"/>
        </w:rPr>
        <w:t>inerentes à</w:t>
      </w:r>
      <w:r w:rsidR="003527AC">
        <w:rPr>
          <w:rFonts w:ascii="Arial" w:hAnsi="Arial" w:cs="Arial"/>
          <w:sz w:val="24"/>
        </w:rPr>
        <w:t xml:space="preserve"> </w:t>
      </w:r>
      <w:r w:rsidR="00C062B1">
        <w:rPr>
          <w:rFonts w:ascii="Arial" w:hAnsi="Arial" w:cs="Arial"/>
          <w:sz w:val="24"/>
        </w:rPr>
        <w:t>MPS</w:t>
      </w:r>
      <w:r w:rsidR="002541BE">
        <w:rPr>
          <w:rFonts w:ascii="Arial" w:hAnsi="Arial" w:cs="Arial"/>
          <w:sz w:val="24"/>
        </w:rPr>
        <w:t>,</w:t>
      </w:r>
      <w:r w:rsidR="00C062B1">
        <w:rPr>
          <w:rFonts w:ascii="Arial" w:hAnsi="Arial" w:cs="Arial"/>
          <w:sz w:val="24"/>
        </w:rPr>
        <w:t xml:space="preserve"> </w:t>
      </w:r>
      <w:r w:rsidR="00F937CA">
        <w:rPr>
          <w:rFonts w:ascii="Arial" w:hAnsi="Arial" w:cs="Arial"/>
          <w:sz w:val="24"/>
        </w:rPr>
        <w:t>estiveram relacion</w:t>
      </w:r>
      <w:r w:rsidR="00C062B1">
        <w:rPr>
          <w:rFonts w:ascii="Arial" w:hAnsi="Arial" w:cs="Arial"/>
          <w:sz w:val="24"/>
        </w:rPr>
        <w:t xml:space="preserve">ados à dificuldade de integração social </w:t>
      </w:r>
      <w:r w:rsidR="00E85DA7">
        <w:rPr>
          <w:rFonts w:ascii="Arial" w:hAnsi="Arial" w:cs="Arial"/>
          <w:sz w:val="24"/>
        </w:rPr>
        <w:t>desses sujeitos</w:t>
      </w:r>
      <w:r w:rsidR="0071470B">
        <w:rPr>
          <w:rFonts w:ascii="Arial" w:hAnsi="Arial" w:cs="Arial"/>
          <w:sz w:val="24"/>
        </w:rPr>
        <w:t>, com alguma influência sobre</w:t>
      </w:r>
      <w:r w:rsidR="00055C57">
        <w:rPr>
          <w:rFonts w:ascii="Arial" w:hAnsi="Arial" w:cs="Arial"/>
          <w:sz w:val="24"/>
        </w:rPr>
        <w:t xml:space="preserve"> o</w:t>
      </w:r>
      <w:r w:rsidR="00B001AD">
        <w:rPr>
          <w:rFonts w:ascii="Arial" w:hAnsi="Arial" w:cs="Arial"/>
          <w:sz w:val="24"/>
        </w:rPr>
        <w:t xml:space="preserve"> b</w:t>
      </w:r>
      <w:r w:rsidR="00A35065">
        <w:rPr>
          <w:rFonts w:ascii="Arial" w:hAnsi="Arial" w:cs="Arial"/>
          <w:sz w:val="24"/>
        </w:rPr>
        <w:t>em-</w:t>
      </w:r>
      <w:r w:rsidR="00B001AD">
        <w:rPr>
          <w:rFonts w:ascii="Arial" w:hAnsi="Arial" w:cs="Arial"/>
          <w:sz w:val="24"/>
        </w:rPr>
        <w:t>estar físico e emocional</w:t>
      </w:r>
      <w:r w:rsidR="006D39E0">
        <w:rPr>
          <w:rFonts w:ascii="Arial" w:hAnsi="Arial" w:cs="Arial"/>
          <w:sz w:val="24"/>
        </w:rPr>
        <w:t>, bem como na QVRS dos mesmos</w:t>
      </w:r>
      <w:r w:rsidR="004D14C7">
        <w:rPr>
          <w:rFonts w:ascii="Arial" w:hAnsi="Arial" w:cs="Arial"/>
          <w:sz w:val="24"/>
        </w:rPr>
        <w:t>.</w:t>
      </w:r>
      <w:r w:rsidR="00D0119B">
        <w:rPr>
          <w:rFonts w:ascii="Arial" w:hAnsi="Arial" w:cs="Arial"/>
          <w:sz w:val="24"/>
        </w:rPr>
        <w:fldChar w:fldCharType="begin" w:fldLock="1"/>
      </w:r>
      <w:r w:rsidR="00195481">
        <w:rPr>
          <w:rFonts w:ascii="Arial" w:hAnsi="Arial" w:cs="Arial"/>
          <w:sz w:val="24"/>
        </w:rPr>
        <w:instrText>ADDIN CSL_CITATION { "citationItems" : [ { "id" : "ITEM-1", "itemData" : { "DOI" : "10.1186/s13023-016-0478-z", "ISSN" : "1750-1172", "author" : [ { "dropping-particle" : "", "family" : "Soni-Jaiswal", "given" : "A", "non-dropping-particle" : "", "parse-names" : false, "suffix" : "" }, { "dropping-particle" : "", "family" : "Mercer", "given" : "J", "non-dropping-particle" : "", "parse-names" : false, "suffix" : "" }, { "dropping-particle" : "", "family" : "Jones", "given" : "SA", "non-dropping-particle" : "", "parse-names" : false, "suffix" : "" }, { "dropping-particle" : "", "family" : "Bruce", "given" : "IA", "non-dropping-particle" : "", "parse-names" : false, "suffix" : "" }, { "dropping-particle" : "", "family" : "Callery", "given" : "P", "non-dropping-particle" : "", "parse-names" : false, "suffix" : "" } ], "container-title" : "Orphanet Journal of Rare Diseases", "id" : "ITEM-1", "issue" : "96", "issued" : { "date-parts" : [ [ "2016" ] ] }, "page" : "1-9", "publisher" : "Orphanet Journal of Rare Diseases", "title" : "Mucopolysaccharidosis I; Parental beliefs about the impact of disease on the quality of life of their children", "type" : "article-journal", "volume" : "11" }, "uris" : [ "http://www.mendeley.com/documents/?uuid=757f9cee-93bf-49c0-b96b-5d45703fafd1" ] } ], "mendeley" : { "formattedCitation" : "&lt;sup&gt;98&lt;/sup&gt;", "plainTextFormattedCitation" : "98", "previouslyFormattedCitation" : "&lt;sup&gt;98&lt;/sup&gt;" }, "properties" : { "noteIndex" : 0 }, "schema" : "https://github.com/citation-style-language/schema/raw/master/csl-citation.json" }</w:instrText>
      </w:r>
      <w:r w:rsidR="00D0119B">
        <w:rPr>
          <w:rFonts w:ascii="Arial" w:hAnsi="Arial" w:cs="Arial"/>
          <w:sz w:val="24"/>
        </w:rPr>
        <w:fldChar w:fldCharType="separate"/>
      </w:r>
      <w:r w:rsidR="00412B48" w:rsidRPr="00412B48">
        <w:rPr>
          <w:rFonts w:ascii="Arial" w:hAnsi="Arial" w:cs="Arial"/>
          <w:noProof/>
          <w:sz w:val="24"/>
          <w:vertAlign w:val="superscript"/>
        </w:rPr>
        <w:t>98</w:t>
      </w:r>
      <w:r w:rsidR="00D0119B">
        <w:rPr>
          <w:rFonts w:ascii="Arial" w:hAnsi="Arial" w:cs="Arial"/>
          <w:sz w:val="24"/>
        </w:rPr>
        <w:fldChar w:fldCharType="end"/>
      </w:r>
    </w:p>
    <w:p w:rsidR="00DB63CA" w:rsidRDefault="00DB63CA" w:rsidP="00081167">
      <w:pPr>
        <w:spacing w:after="0" w:line="360" w:lineRule="auto"/>
        <w:jc w:val="both"/>
        <w:rPr>
          <w:rFonts w:ascii="Arial" w:hAnsi="Arial" w:cs="Arial"/>
          <w:sz w:val="24"/>
        </w:rPr>
      </w:pPr>
    </w:p>
    <w:p w:rsidR="004C78C2" w:rsidRDefault="00290D6C" w:rsidP="00491682">
      <w:pPr>
        <w:spacing w:after="0" w:line="360" w:lineRule="auto"/>
        <w:jc w:val="both"/>
        <w:rPr>
          <w:rFonts w:ascii="Arial" w:hAnsi="Arial" w:cs="Arial"/>
          <w:sz w:val="24"/>
        </w:rPr>
      </w:pPr>
      <w:r>
        <w:rPr>
          <w:rFonts w:ascii="Arial" w:hAnsi="Arial" w:cs="Arial"/>
          <w:sz w:val="24"/>
        </w:rPr>
        <w:t>Diante deste panorama</w:t>
      </w:r>
      <w:r w:rsidR="001D3C88">
        <w:rPr>
          <w:rFonts w:ascii="Arial" w:hAnsi="Arial" w:cs="Arial"/>
          <w:sz w:val="24"/>
        </w:rPr>
        <w:t xml:space="preserve">, </w:t>
      </w:r>
      <w:r w:rsidR="00FC6491">
        <w:rPr>
          <w:rFonts w:ascii="Arial" w:hAnsi="Arial" w:cs="Arial"/>
          <w:sz w:val="24"/>
        </w:rPr>
        <w:t xml:space="preserve">nota-se a relevância </w:t>
      </w:r>
      <w:r w:rsidR="00E72912">
        <w:rPr>
          <w:rFonts w:ascii="Arial" w:hAnsi="Arial" w:cs="Arial"/>
          <w:sz w:val="24"/>
        </w:rPr>
        <w:t>da avaliação da</w:t>
      </w:r>
      <w:r w:rsidR="00FC6491">
        <w:rPr>
          <w:rFonts w:ascii="Arial" w:hAnsi="Arial" w:cs="Arial"/>
          <w:sz w:val="24"/>
        </w:rPr>
        <w:t xml:space="preserve"> </w:t>
      </w:r>
      <w:r w:rsidR="008C17F3">
        <w:rPr>
          <w:rFonts w:ascii="Arial" w:hAnsi="Arial" w:cs="Arial"/>
          <w:sz w:val="24"/>
        </w:rPr>
        <w:t>QVRS</w:t>
      </w:r>
      <w:r w:rsidR="00FC6491">
        <w:rPr>
          <w:rFonts w:ascii="Arial" w:hAnsi="Arial" w:cs="Arial"/>
          <w:sz w:val="24"/>
        </w:rPr>
        <w:t xml:space="preserve"> </w:t>
      </w:r>
      <w:r w:rsidR="006742B1">
        <w:rPr>
          <w:rFonts w:ascii="Arial" w:hAnsi="Arial" w:cs="Arial"/>
          <w:sz w:val="24"/>
        </w:rPr>
        <w:t>vinculada à</w:t>
      </w:r>
      <w:r w:rsidR="001D3C88">
        <w:rPr>
          <w:rFonts w:ascii="Arial" w:hAnsi="Arial" w:cs="Arial"/>
          <w:sz w:val="24"/>
        </w:rPr>
        <w:t xml:space="preserve"> análise d</w:t>
      </w:r>
      <w:r w:rsidR="0037465A">
        <w:rPr>
          <w:rFonts w:ascii="Arial" w:hAnsi="Arial" w:cs="Arial"/>
          <w:sz w:val="24"/>
        </w:rPr>
        <w:t>a</w:t>
      </w:r>
      <w:r w:rsidR="001D3C88">
        <w:rPr>
          <w:rFonts w:ascii="Arial" w:hAnsi="Arial" w:cs="Arial"/>
          <w:sz w:val="24"/>
        </w:rPr>
        <w:t xml:space="preserve">s </w:t>
      </w:r>
      <w:r w:rsidR="0037465A">
        <w:rPr>
          <w:rFonts w:ascii="Arial" w:hAnsi="Arial" w:cs="Arial"/>
          <w:sz w:val="24"/>
        </w:rPr>
        <w:t>repercussões gerada</w:t>
      </w:r>
      <w:r w:rsidR="001D3C88">
        <w:rPr>
          <w:rFonts w:ascii="Arial" w:hAnsi="Arial" w:cs="Arial"/>
          <w:sz w:val="24"/>
        </w:rPr>
        <w:t>s pela MPS sobre o cotidiano dos indivíduos acometidos, pois, trata-se de uma doença de curso crônico e progressivo, com elevado grau de morbidade</w:t>
      </w:r>
      <w:r w:rsidR="005A6FB5">
        <w:rPr>
          <w:rFonts w:ascii="Arial" w:hAnsi="Arial" w:cs="Arial"/>
          <w:sz w:val="24"/>
        </w:rPr>
        <w:t xml:space="preserve"> e incapacidade </w:t>
      </w:r>
      <w:r w:rsidR="001D3C88">
        <w:rPr>
          <w:rFonts w:ascii="Arial" w:hAnsi="Arial" w:cs="Arial"/>
          <w:sz w:val="24"/>
        </w:rPr>
        <w:t>associado</w:t>
      </w:r>
      <w:r w:rsidR="005A6FB5">
        <w:rPr>
          <w:rFonts w:ascii="Arial" w:hAnsi="Arial" w:cs="Arial"/>
          <w:sz w:val="24"/>
        </w:rPr>
        <w:t>s</w:t>
      </w:r>
      <w:r w:rsidR="001D3C88">
        <w:rPr>
          <w:rFonts w:ascii="Arial" w:hAnsi="Arial" w:cs="Arial"/>
          <w:sz w:val="24"/>
        </w:rPr>
        <w:t>.</w:t>
      </w:r>
    </w:p>
    <w:p w:rsidR="00344ED2" w:rsidRDefault="00344ED2" w:rsidP="00491682">
      <w:pPr>
        <w:spacing w:after="0" w:line="360" w:lineRule="auto"/>
        <w:jc w:val="both"/>
        <w:rPr>
          <w:rFonts w:ascii="Arial" w:hAnsi="Arial" w:cs="Arial"/>
          <w:sz w:val="24"/>
        </w:rPr>
      </w:pPr>
    </w:p>
    <w:p w:rsidR="00344ED2" w:rsidRDefault="00344ED2" w:rsidP="00491682">
      <w:pPr>
        <w:spacing w:after="0" w:line="360" w:lineRule="auto"/>
        <w:jc w:val="both"/>
        <w:rPr>
          <w:rFonts w:ascii="Arial" w:hAnsi="Arial" w:cs="Arial"/>
          <w:sz w:val="24"/>
        </w:rPr>
      </w:pPr>
    </w:p>
    <w:p w:rsidR="00344ED2" w:rsidRDefault="00344ED2" w:rsidP="00491682">
      <w:pPr>
        <w:spacing w:after="0" w:line="360" w:lineRule="auto"/>
        <w:jc w:val="both"/>
        <w:rPr>
          <w:rFonts w:ascii="Arial" w:hAnsi="Arial" w:cs="Arial"/>
          <w:sz w:val="24"/>
        </w:rPr>
      </w:pPr>
    </w:p>
    <w:p w:rsidR="00344ED2" w:rsidRDefault="00344ED2" w:rsidP="00491682">
      <w:pPr>
        <w:spacing w:after="0" w:line="360" w:lineRule="auto"/>
        <w:jc w:val="both"/>
        <w:rPr>
          <w:rFonts w:ascii="Arial" w:hAnsi="Arial" w:cs="Arial"/>
          <w:sz w:val="24"/>
        </w:rPr>
      </w:pPr>
    </w:p>
    <w:p w:rsidR="00344ED2" w:rsidRDefault="00344ED2" w:rsidP="00491682">
      <w:pPr>
        <w:spacing w:after="0" w:line="360" w:lineRule="auto"/>
        <w:jc w:val="both"/>
        <w:rPr>
          <w:rFonts w:ascii="Arial" w:hAnsi="Arial" w:cs="Arial"/>
          <w:sz w:val="24"/>
        </w:rPr>
      </w:pPr>
    </w:p>
    <w:p w:rsidR="00344ED2" w:rsidRDefault="00344ED2" w:rsidP="00491682">
      <w:pPr>
        <w:spacing w:after="0" w:line="360" w:lineRule="auto"/>
        <w:jc w:val="both"/>
        <w:rPr>
          <w:rFonts w:ascii="Arial" w:hAnsi="Arial" w:cs="Arial"/>
          <w:sz w:val="24"/>
        </w:rPr>
      </w:pPr>
    </w:p>
    <w:p w:rsidR="00344ED2" w:rsidRDefault="00344ED2" w:rsidP="00491682">
      <w:pPr>
        <w:spacing w:after="0" w:line="360" w:lineRule="auto"/>
        <w:jc w:val="both"/>
        <w:rPr>
          <w:rFonts w:ascii="Arial" w:hAnsi="Arial" w:cs="Arial"/>
          <w:sz w:val="24"/>
        </w:rPr>
      </w:pPr>
    </w:p>
    <w:p w:rsidR="00344ED2" w:rsidRDefault="00344ED2" w:rsidP="00491682">
      <w:pPr>
        <w:spacing w:after="0" w:line="360" w:lineRule="auto"/>
        <w:jc w:val="both"/>
        <w:rPr>
          <w:rFonts w:ascii="Arial" w:hAnsi="Arial" w:cs="Arial"/>
          <w:sz w:val="24"/>
        </w:rPr>
      </w:pPr>
    </w:p>
    <w:p w:rsidR="00344ED2" w:rsidRDefault="00344ED2" w:rsidP="00491682">
      <w:pPr>
        <w:spacing w:after="0" w:line="360" w:lineRule="auto"/>
        <w:jc w:val="both"/>
        <w:rPr>
          <w:rFonts w:ascii="Arial" w:hAnsi="Arial" w:cs="Arial"/>
          <w:sz w:val="24"/>
        </w:rPr>
      </w:pPr>
    </w:p>
    <w:p w:rsidR="00344ED2" w:rsidRDefault="00344ED2" w:rsidP="00491682">
      <w:pPr>
        <w:spacing w:after="0" w:line="360" w:lineRule="auto"/>
        <w:jc w:val="both"/>
        <w:rPr>
          <w:rFonts w:ascii="Arial" w:hAnsi="Arial" w:cs="Arial"/>
          <w:sz w:val="24"/>
        </w:rPr>
      </w:pPr>
    </w:p>
    <w:p w:rsidR="00983D7D" w:rsidRDefault="00983D7D" w:rsidP="00491682">
      <w:pPr>
        <w:spacing w:after="0" w:line="360" w:lineRule="auto"/>
        <w:jc w:val="both"/>
        <w:rPr>
          <w:rFonts w:ascii="Arial" w:hAnsi="Arial" w:cs="Arial"/>
          <w:sz w:val="24"/>
        </w:rPr>
      </w:pPr>
    </w:p>
    <w:p w:rsidR="00983D7D" w:rsidRDefault="00983D7D" w:rsidP="00491682">
      <w:pPr>
        <w:spacing w:after="0" w:line="360" w:lineRule="auto"/>
        <w:jc w:val="both"/>
        <w:rPr>
          <w:rFonts w:ascii="Arial" w:hAnsi="Arial" w:cs="Arial"/>
          <w:sz w:val="24"/>
        </w:rPr>
      </w:pPr>
    </w:p>
    <w:p w:rsidR="00344ED2" w:rsidRDefault="00344ED2" w:rsidP="00491682">
      <w:pPr>
        <w:spacing w:after="0" w:line="360" w:lineRule="auto"/>
        <w:jc w:val="both"/>
        <w:rPr>
          <w:rFonts w:ascii="Arial" w:hAnsi="Arial" w:cs="Arial"/>
          <w:sz w:val="24"/>
        </w:rPr>
      </w:pPr>
    </w:p>
    <w:p w:rsidR="00344ED2" w:rsidRDefault="00344ED2" w:rsidP="00491682">
      <w:pPr>
        <w:spacing w:after="0" w:line="360" w:lineRule="auto"/>
        <w:jc w:val="both"/>
        <w:rPr>
          <w:rFonts w:ascii="Arial" w:hAnsi="Arial" w:cs="Arial"/>
          <w:sz w:val="24"/>
        </w:rPr>
      </w:pPr>
    </w:p>
    <w:p w:rsidR="00344ED2" w:rsidRDefault="00344ED2" w:rsidP="00491682">
      <w:pPr>
        <w:spacing w:after="0" w:line="360" w:lineRule="auto"/>
        <w:jc w:val="both"/>
        <w:rPr>
          <w:rFonts w:ascii="Arial" w:hAnsi="Arial" w:cs="Arial"/>
          <w:sz w:val="24"/>
        </w:rPr>
      </w:pPr>
    </w:p>
    <w:p w:rsidR="00344ED2" w:rsidRDefault="00344ED2" w:rsidP="00491682">
      <w:pPr>
        <w:spacing w:after="0" w:line="360" w:lineRule="auto"/>
        <w:jc w:val="both"/>
        <w:rPr>
          <w:rFonts w:ascii="Arial" w:hAnsi="Arial" w:cs="Arial"/>
          <w:sz w:val="24"/>
        </w:rPr>
      </w:pPr>
    </w:p>
    <w:p w:rsidR="00344ED2" w:rsidRDefault="00344ED2" w:rsidP="00491682">
      <w:pPr>
        <w:spacing w:after="0" w:line="360" w:lineRule="auto"/>
        <w:jc w:val="both"/>
        <w:rPr>
          <w:rFonts w:ascii="Arial" w:hAnsi="Arial" w:cs="Arial"/>
          <w:sz w:val="24"/>
        </w:rPr>
      </w:pPr>
    </w:p>
    <w:p w:rsidR="00344ED2" w:rsidRDefault="00344ED2" w:rsidP="00491682">
      <w:pPr>
        <w:spacing w:after="0" w:line="360" w:lineRule="auto"/>
        <w:jc w:val="both"/>
        <w:rPr>
          <w:rFonts w:ascii="Arial" w:hAnsi="Arial" w:cs="Arial"/>
          <w:sz w:val="24"/>
        </w:rPr>
      </w:pPr>
    </w:p>
    <w:p w:rsidR="006A1458" w:rsidRDefault="006A1458" w:rsidP="00491682">
      <w:pPr>
        <w:spacing w:after="0" w:line="360" w:lineRule="auto"/>
        <w:jc w:val="both"/>
        <w:rPr>
          <w:rFonts w:ascii="Arial" w:hAnsi="Arial" w:cs="Arial"/>
          <w:sz w:val="24"/>
        </w:rPr>
      </w:pPr>
    </w:p>
    <w:p w:rsidR="00344ED2" w:rsidRDefault="00344ED2" w:rsidP="00491682">
      <w:pPr>
        <w:spacing w:after="0" w:line="360" w:lineRule="auto"/>
        <w:jc w:val="both"/>
        <w:rPr>
          <w:rFonts w:ascii="Arial" w:hAnsi="Arial" w:cs="Arial"/>
          <w:sz w:val="24"/>
        </w:rPr>
      </w:pPr>
    </w:p>
    <w:p w:rsidR="00344ED2" w:rsidRDefault="00344ED2" w:rsidP="00491682">
      <w:pPr>
        <w:spacing w:after="0" w:line="360" w:lineRule="auto"/>
        <w:jc w:val="both"/>
        <w:rPr>
          <w:rFonts w:ascii="Arial" w:hAnsi="Arial" w:cs="Arial"/>
          <w:sz w:val="24"/>
        </w:rPr>
      </w:pPr>
    </w:p>
    <w:p w:rsidR="005A1D16" w:rsidRPr="005A1D16" w:rsidRDefault="005A1D16" w:rsidP="004D4A6B">
      <w:pPr>
        <w:pStyle w:val="Ttulo1"/>
      </w:pPr>
      <w:bookmarkStart w:id="15" w:name="_Toc496749607"/>
      <w:r w:rsidRPr="005A1D16">
        <w:lastRenderedPageBreak/>
        <w:t xml:space="preserve">4 </w:t>
      </w:r>
      <w:r w:rsidR="007F564A">
        <w:t>CASUÍSTICA</w:t>
      </w:r>
      <w:r w:rsidRPr="005A1D16">
        <w:t xml:space="preserve"> E MÉTODOS</w:t>
      </w:r>
      <w:bookmarkEnd w:id="15"/>
    </w:p>
    <w:p w:rsidR="005A1D16" w:rsidRDefault="005A1D16" w:rsidP="005A1D16">
      <w:pPr>
        <w:spacing w:after="0" w:line="360" w:lineRule="auto"/>
        <w:jc w:val="both"/>
        <w:rPr>
          <w:rFonts w:ascii="Arial" w:hAnsi="Arial" w:cs="Arial"/>
          <w:sz w:val="24"/>
        </w:rPr>
      </w:pPr>
    </w:p>
    <w:p w:rsidR="005A1D16" w:rsidRPr="00AD1800" w:rsidRDefault="00AD1800" w:rsidP="004D4A6B">
      <w:pPr>
        <w:pStyle w:val="Ttulo1"/>
      </w:pPr>
      <w:bookmarkStart w:id="16" w:name="_Toc496749608"/>
      <w:r w:rsidRPr="00AD1800">
        <w:t>4.1 De</w:t>
      </w:r>
      <w:r w:rsidR="00B964C1">
        <w:t>lineamento</w:t>
      </w:r>
      <w:r w:rsidR="007F564A">
        <w:t xml:space="preserve"> do estudo</w:t>
      </w:r>
      <w:bookmarkEnd w:id="16"/>
    </w:p>
    <w:p w:rsidR="00AD1800" w:rsidRDefault="00AD1800" w:rsidP="005A1D16">
      <w:pPr>
        <w:spacing w:after="0" w:line="360" w:lineRule="auto"/>
        <w:jc w:val="both"/>
        <w:rPr>
          <w:rFonts w:ascii="Arial" w:hAnsi="Arial" w:cs="Arial"/>
          <w:sz w:val="24"/>
        </w:rPr>
      </w:pPr>
    </w:p>
    <w:p w:rsidR="00AD1800" w:rsidRDefault="001B59AF" w:rsidP="0074007F">
      <w:pPr>
        <w:spacing w:after="0" w:line="360" w:lineRule="auto"/>
        <w:jc w:val="both"/>
        <w:rPr>
          <w:rFonts w:ascii="Arial" w:hAnsi="Arial" w:cs="Arial"/>
          <w:sz w:val="24"/>
        </w:rPr>
      </w:pPr>
      <w:r>
        <w:rPr>
          <w:rFonts w:ascii="Arial" w:hAnsi="Arial" w:cs="Arial"/>
          <w:sz w:val="24"/>
        </w:rPr>
        <w:t>E</w:t>
      </w:r>
      <w:r w:rsidR="00AD1800">
        <w:rPr>
          <w:rFonts w:ascii="Arial" w:hAnsi="Arial" w:cs="Arial"/>
          <w:sz w:val="24"/>
        </w:rPr>
        <w:t>studo observacional,</w:t>
      </w:r>
      <w:r w:rsidR="00952873">
        <w:rPr>
          <w:rFonts w:ascii="Arial" w:hAnsi="Arial" w:cs="Arial"/>
          <w:sz w:val="24"/>
        </w:rPr>
        <w:t xml:space="preserve"> </w:t>
      </w:r>
      <w:r w:rsidR="0074290F">
        <w:rPr>
          <w:rFonts w:ascii="Arial" w:hAnsi="Arial" w:cs="Arial"/>
          <w:sz w:val="24"/>
        </w:rPr>
        <w:t>analítico</w:t>
      </w:r>
      <w:r w:rsidR="008F172C">
        <w:rPr>
          <w:rFonts w:ascii="Arial" w:hAnsi="Arial" w:cs="Arial"/>
          <w:sz w:val="24"/>
        </w:rPr>
        <w:t>, d</w:t>
      </w:r>
      <w:r w:rsidR="00952873">
        <w:rPr>
          <w:rFonts w:ascii="Arial" w:hAnsi="Arial" w:cs="Arial"/>
          <w:sz w:val="24"/>
        </w:rPr>
        <w:t>e</w:t>
      </w:r>
      <w:r w:rsidR="00AD1800">
        <w:rPr>
          <w:rFonts w:ascii="Arial" w:hAnsi="Arial" w:cs="Arial"/>
          <w:sz w:val="24"/>
        </w:rPr>
        <w:t xml:space="preserve"> corte transversal</w:t>
      </w:r>
      <w:r w:rsidR="003D64AE">
        <w:rPr>
          <w:rFonts w:ascii="Arial" w:hAnsi="Arial" w:cs="Arial"/>
          <w:sz w:val="24"/>
        </w:rPr>
        <w:t>.</w:t>
      </w:r>
    </w:p>
    <w:p w:rsidR="00BC0B8A" w:rsidRDefault="00BC0B8A" w:rsidP="00BC0B8A">
      <w:pPr>
        <w:spacing w:after="0" w:line="360" w:lineRule="auto"/>
        <w:jc w:val="both"/>
        <w:rPr>
          <w:rFonts w:ascii="Arial" w:hAnsi="Arial" w:cs="Arial"/>
          <w:sz w:val="24"/>
        </w:rPr>
      </w:pPr>
    </w:p>
    <w:p w:rsidR="007F564A" w:rsidRDefault="00193BC2" w:rsidP="004D4A6B">
      <w:pPr>
        <w:pStyle w:val="Ttulo1"/>
      </w:pPr>
      <w:bookmarkStart w:id="17" w:name="_Toc496749609"/>
      <w:r w:rsidRPr="00193BC2">
        <w:t xml:space="preserve">4.2 </w:t>
      </w:r>
      <w:r w:rsidR="001B59AF">
        <w:t>Local e período de coleta</w:t>
      </w:r>
      <w:bookmarkEnd w:id="17"/>
    </w:p>
    <w:p w:rsidR="001B59AF" w:rsidRDefault="001B59AF" w:rsidP="00193BC2">
      <w:pPr>
        <w:spacing w:after="0" w:line="360" w:lineRule="auto"/>
        <w:jc w:val="both"/>
        <w:rPr>
          <w:rFonts w:ascii="Arial" w:hAnsi="Arial" w:cs="Arial"/>
          <w:sz w:val="24"/>
        </w:rPr>
      </w:pPr>
    </w:p>
    <w:p w:rsidR="001B59AF" w:rsidRPr="001B59AF" w:rsidRDefault="0014367F" w:rsidP="0074007F">
      <w:pPr>
        <w:spacing w:after="0" w:line="360" w:lineRule="auto"/>
        <w:jc w:val="both"/>
        <w:rPr>
          <w:rFonts w:ascii="Arial" w:hAnsi="Arial" w:cs="Arial"/>
          <w:sz w:val="24"/>
        </w:rPr>
      </w:pPr>
      <w:r>
        <w:rPr>
          <w:rFonts w:ascii="Arial" w:hAnsi="Arial" w:cs="Arial"/>
          <w:sz w:val="24"/>
        </w:rPr>
        <w:t xml:space="preserve">A </w:t>
      </w:r>
      <w:r w:rsidR="00664235">
        <w:rPr>
          <w:rFonts w:ascii="Arial" w:hAnsi="Arial" w:cs="Arial"/>
          <w:sz w:val="24"/>
        </w:rPr>
        <w:t>pesquisa</w:t>
      </w:r>
      <w:r>
        <w:rPr>
          <w:rFonts w:ascii="Arial" w:hAnsi="Arial" w:cs="Arial"/>
          <w:sz w:val="24"/>
        </w:rPr>
        <w:t xml:space="preserve"> ocorreu</w:t>
      </w:r>
      <w:r w:rsidR="00101018">
        <w:rPr>
          <w:rFonts w:ascii="Arial" w:hAnsi="Arial" w:cs="Arial"/>
          <w:sz w:val="24"/>
        </w:rPr>
        <w:t xml:space="preserve"> </w:t>
      </w:r>
      <w:r>
        <w:rPr>
          <w:rFonts w:ascii="Arial" w:hAnsi="Arial" w:cs="Arial"/>
          <w:sz w:val="24"/>
        </w:rPr>
        <w:t xml:space="preserve">no </w:t>
      </w:r>
      <w:r w:rsidR="003D1ED5">
        <w:rPr>
          <w:rFonts w:ascii="Arial" w:hAnsi="Arial" w:cs="Arial"/>
          <w:sz w:val="24"/>
        </w:rPr>
        <w:t>a</w:t>
      </w:r>
      <w:r w:rsidR="001B59AF">
        <w:rPr>
          <w:rFonts w:ascii="Arial" w:hAnsi="Arial" w:cs="Arial"/>
          <w:sz w:val="24"/>
        </w:rPr>
        <w:t>mbulatório do Hospital Santa Izabel da Santa Casa de Misericórdia da Bahia (HSI)</w:t>
      </w:r>
      <w:r w:rsidR="002D7B09">
        <w:rPr>
          <w:rFonts w:ascii="Arial" w:hAnsi="Arial" w:cs="Arial"/>
          <w:sz w:val="24"/>
        </w:rPr>
        <w:t>,</w:t>
      </w:r>
      <w:r w:rsidR="001B59AF">
        <w:rPr>
          <w:rFonts w:ascii="Arial" w:hAnsi="Arial" w:cs="Arial"/>
          <w:sz w:val="24"/>
        </w:rPr>
        <w:t xml:space="preserve"> em Salvador</w:t>
      </w:r>
      <w:r w:rsidR="002972EE">
        <w:rPr>
          <w:rFonts w:ascii="Arial" w:hAnsi="Arial" w:cs="Arial"/>
          <w:sz w:val="24"/>
        </w:rPr>
        <w:t xml:space="preserve">, no </w:t>
      </w:r>
      <w:r w:rsidR="00101018">
        <w:rPr>
          <w:rFonts w:ascii="Arial" w:hAnsi="Arial" w:cs="Arial"/>
          <w:sz w:val="24"/>
        </w:rPr>
        <w:t>período entre</w:t>
      </w:r>
      <w:r>
        <w:rPr>
          <w:rFonts w:ascii="Arial" w:hAnsi="Arial" w:cs="Arial"/>
          <w:sz w:val="24"/>
        </w:rPr>
        <w:t xml:space="preserve"> </w:t>
      </w:r>
      <w:r w:rsidR="00101018">
        <w:rPr>
          <w:rFonts w:ascii="Arial" w:hAnsi="Arial" w:cs="Arial"/>
          <w:sz w:val="24"/>
        </w:rPr>
        <w:t>outubro de 2016 e</w:t>
      </w:r>
      <w:r w:rsidR="001B59AF">
        <w:rPr>
          <w:rFonts w:ascii="Arial" w:hAnsi="Arial" w:cs="Arial"/>
          <w:sz w:val="24"/>
        </w:rPr>
        <w:t xml:space="preserve"> março de 2017</w:t>
      </w:r>
      <w:r w:rsidR="004D0E61">
        <w:rPr>
          <w:rFonts w:ascii="Arial" w:hAnsi="Arial" w:cs="Arial"/>
          <w:sz w:val="24"/>
        </w:rPr>
        <w:t>.</w:t>
      </w:r>
    </w:p>
    <w:p w:rsidR="007F564A" w:rsidRPr="00DB2A95" w:rsidRDefault="007F564A" w:rsidP="00193BC2">
      <w:pPr>
        <w:spacing w:after="0" w:line="360" w:lineRule="auto"/>
        <w:jc w:val="both"/>
        <w:rPr>
          <w:rFonts w:ascii="Arial" w:hAnsi="Arial" w:cs="Arial"/>
          <w:sz w:val="24"/>
        </w:rPr>
      </w:pPr>
    </w:p>
    <w:p w:rsidR="00193BC2" w:rsidRPr="00193BC2" w:rsidRDefault="001B59AF" w:rsidP="004D4A6B">
      <w:pPr>
        <w:pStyle w:val="Ttulo1"/>
      </w:pPr>
      <w:bookmarkStart w:id="18" w:name="_Toc496749610"/>
      <w:r>
        <w:t xml:space="preserve">4.3 </w:t>
      </w:r>
      <w:r w:rsidR="00193BC2" w:rsidRPr="00193BC2">
        <w:t>População de estudo</w:t>
      </w:r>
      <w:r w:rsidR="00910B0A">
        <w:t>, critérios de inclusão e exclusão</w:t>
      </w:r>
      <w:bookmarkEnd w:id="18"/>
    </w:p>
    <w:p w:rsidR="00193BC2" w:rsidRDefault="00193BC2" w:rsidP="00193BC2">
      <w:pPr>
        <w:spacing w:after="0" w:line="360" w:lineRule="auto"/>
        <w:jc w:val="both"/>
        <w:rPr>
          <w:rFonts w:ascii="Arial" w:hAnsi="Arial" w:cs="Arial"/>
          <w:sz w:val="24"/>
        </w:rPr>
      </w:pPr>
    </w:p>
    <w:p w:rsidR="00910B0A" w:rsidRDefault="00EB68D8" w:rsidP="0074007F">
      <w:pPr>
        <w:spacing w:after="0" w:line="360" w:lineRule="auto"/>
        <w:jc w:val="both"/>
        <w:rPr>
          <w:rFonts w:ascii="Arial" w:hAnsi="Arial" w:cs="Arial"/>
          <w:sz w:val="24"/>
        </w:rPr>
      </w:pPr>
      <w:r>
        <w:rPr>
          <w:rFonts w:ascii="Arial" w:hAnsi="Arial" w:cs="Arial"/>
          <w:sz w:val="24"/>
        </w:rPr>
        <w:t xml:space="preserve">A população do estudo </w:t>
      </w:r>
      <w:r w:rsidR="001D0013">
        <w:rPr>
          <w:rFonts w:ascii="Arial" w:hAnsi="Arial" w:cs="Arial"/>
          <w:sz w:val="24"/>
        </w:rPr>
        <w:t>constituiu-se de</w:t>
      </w:r>
      <w:r>
        <w:rPr>
          <w:rFonts w:ascii="Arial" w:hAnsi="Arial" w:cs="Arial"/>
          <w:sz w:val="24"/>
        </w:rPr>
        <w:t xml:space="preserve"> pacientes pediátricos com diagnóstico de mucopolissacaridose</w:t>
      </w:r>
      <w:r w:rsidR="00DD486C">
        <w:rPr>
          <w:rFonts w:ascii="Arial" w:hAnsi="Arial" w:cs="Arial"/>
          <w:sz w:val="24"/>
        </w:rPr>
        <w:t>,</w:t>
      </w:r>
      <w:r>
        <w:rPr>
          <w:rFonts w:ascii="Arial" w:hAnsi="Arial" w:cs="Arial"/>
          <w:sz w:val="24"/>
        </w:rPr>
        <w:t xml:space="preserve"> </w:t>
      </w:r>
      <w:r w:rsidR="00066A16">
        <w:rPr>
          <w:rFonts w:ascii="Arial" w:hAnsi="Arial" w:cs="Arial"/>
          <w:sz w:val="24"/>
        </w:rPr>
        <w:t>cadastrado</w:t>
      </w:r>
      <w:r>
        <w:rPr>
          <w:rFonts w:ascii="Arial" w:hAnsi="Arial" w:cs="Arial"/>
          <w:sz w:val="24"/>
        </w:rPr>
        <w:t xml:space="preserve">s no </w:t>
      </w:r>
      <w:r w:rsidR="0070081C">
        <w:rPr>
          <w:rFonts w:ascii="Arial" w:hAnsi="Arial" w:cs="Arial"/>
          <w:sz w:val="24"/>
        </w:rPr>
        <w:t xml:space="preserve">serviço de ortopedia do </w:t>
      </w:r>
      <w:r w:rsidR="00C11756">
        <w:rPr>
          <w:rFonts w:ascii="Arial" w:hAnsi="Arial" w:cs="Arial"/>
          <w:sz w:val="24"/>
        </w:rPr>
        <w:t>referido</w:t>
      </w:r>
      <w:r w:rsidR="0070081C">
        <w:rPr>
          <w:rFonts w:ascii="Arial" w:hAnsi="Arial" w:cs="Arial"/>
          <w:sz w:val="24"/>
        </w:rPr>
        <w:t xml:space="preserve"> hospital</w:t>
      </w:r>
      <w:r w:rsidR="00C11756">
        <w:rPr>
          <w:rFonts w:ascii="Arial" w:hAnsi="Arial" w:cs="Arial"/>
          <w:sz w:val="24"/>
        </w:rPr>
        <w:t xml:space="preserve">. </w:t>
      </w:r>
      <w:r w:rsidR="00B37EC1">
        <w:rPr>
          <w:rFonts w:ascii="Arial" w:hAnsi="Arial" w:cs="Arial"/>
          <w:sz w:val="24"/>
        </w:rPr>
        <w:t xml:space="preserve">Foram incluídos crianças e adolescentes com </w:t>
      </w:r>
      <w:r w:rsidR="00483810">
        <w:rPr>
          <w:rFonts w:ascii="Arial" w:hAnsi="Arial" w:cs="Arial"/>
          <w:sz w:val="24"/>
        </w:rPr>
        <w:t>idade entre 2 e</w:t>
      </w:r>
      <w:r w:rsidR="0014367F">
        <w:rPr>
          <w:rFonts w:ascii="Arial" w:hAnsi="Arial" w:cs="Arial"/>
          <w:sz w:val="24"/>
        </w:rPr>
        <w:t xml:space="preserve"> 18 anos</w:t>
      </w:r>
      <w:r w:rsidR="00664235">
        <w:rPr>
          <w:rFonts w:ascii="Arial" w:hAnsi="Arial" w:cs="Arial"/>
          <w:sz w:val="24"/>
        </w:rPr>
        <w:t>,</w:t>
      </w:r>
      <w:r w:rsidR="006A4038">
        <w:rPr>
          <w:rFonts w:ascii="Arial" w:hAnsi="Arial" w:cs="Arial"/>
          <w:sz w:val="24"/>
        </w:rPr>
        <w:t xml:space="preserve"> </w:t>
      </w:r>
      <w:r w:rsidR="00B37EC1">
        <w:rPr>
          <w:rFonts w:ascii="Arial" w:hAnsi="Arial" w:cs="Arial"/>
          <w:sz w:val="24"/>
        </w:rPr>
        <w:t>que estavam</w:t>
      </w:r>
      <w:r w:rsidR="006A4038">
        <w:rPr>
          <w:rFonts w:ascii="Arial" w:hAnsi="Arial" w:cs="Arial"/>
          <w:sz w:val="24"/>
        </w:rPr>
        <w:t xml:space="preserve"> </w:t>
      </w:r>
      <w:r w:rsidR="00BC60D9">
        <w:rPr>
          <w:rFonts w:ascii="Arial" w:hAnsi="Arial" w:cs="Arial"/>
          <w:sz w:val="24"/>
        </w:rPr>
        <w:t>sob acompanhamento médico</w:t>
      </w:r>
      <w:r w:rsidR="003F0EB9">
        <w:rPr>
          <w:rFonts w:ascii="Arial" w:hAnsi="Arial" w:cs="Arial"/>
          <w:sz w:val="24"/>
        </w:rPr>
        <w:t xml:space="preserve"> ambulatorial</w:t>
      </w:r>
      <w:r w:rsidR="0070081C">
        <w:rPr>
          <w:rFonts w:ascii="Arial" w:hAnsi="Arial" w:cs="Arial"/>
          <w:sz w:val="24"/>
        </w:rPr>
        <w:t xml:space="preserve"> </w:t>
      </w:r>
      <w:r w:rsidR="00BC60D9">
        <w:rPr>
          <w:rFonts w:ascii="Arial" w:hAnsi="Arial" w:cs="Arial"/>
          <w:sz w:val="24"/>
        </w:rPr>
        <w:t>no período de janeiro de 2012 a outubro de 2014</w:t>
      </w:r>
      <w:r w:rsidR="0014367F">
        <w:rPr>
          <w:rFonts w:ascii="Arial" w:hAnsi="Arial" w:cs="Arial"/>
          <w:sz w:val="24"/>
        </w:rPr>
        <w:t>.</w:t>
      </w:r>
      <w:r w:rsidR="00446450">
        <w:rPr>
          <w:rFonts w:ascii="Arial" w:hAnsi="Arial" w:cs="Arial"/>
          <w:sz w:val="24"/>
        </w:rPr>
        <w:t xml:space="preserve"> </w:t>
      </w:r>
      <w:r w:rsidR="00C14850">
        <w:rPr>
          <w:rFonts w:ascii="Arial" w:hAnsi="Arial" w:cs="Arial"/>
          <w:sz w:val="24"/>
        </w:rPr>
        <w:t>Como</w:t>
      </w:r>
      <w:r w:rsidR="001B59AF">
        <w:rPr>
          <w:rFonts w:ascii="Arial" w:hAnsi="Arial" w:cs="Arial"/>
          <w:sz w:val="24"/>
        </w:rPr>
        <w:t xml:space="preserve"> </w:t>
      </w:r>
      <w:r w:rsidR="00712D2A">
        <w:rPr>
          <w:rFonts w:ascii="Arial" w:hAnsi="Arial" w:cs="Arial"/>
          <w:sz w:val="24"/>
        </w:rPr>
        <w:t>critério de exclusão</w:t>
      </w:r>
      <w:r w:rsidR="00C14850">
        <w:rPr>
          <w:rFonts w:ascii="Arial" w:hAnsi="Arial" w:cs="Arial"/>
          <w:sz w:val="24"/>
        </w:rPr>
        <w:t xml:space="preserve"> foi considerado</w:t>
      </w:r>
      <w:r w:rsidR="00DD486C">
        <w:rPr>
          <w:rFonts w:ascii="Arial" w:hAnsi="Arial" w:cs="Arial"/>
          <w:sz w:val="24"/>
        </w:rPr>
        <w:t>:</w:t>
      </w:r>
      <w:r w:rsidR="00C14850">
        <w:rPr>
          <w:rFonts w:ascii="Arial" w:hAnsi="Arial" w:cs="Arial"/>
          <w:sz w:val="24"/>
        </w:rPr>
        <w:t xml:space="preserve"> </w:t>
      </w:r>
      <w:r w:rsidR="003D5AB3">
        <w:rPr>
          <w:rFonts w:ascii="Arial" w:hAnsi="Arial" w:cs="Arial"/>
          <w:sz w:val="24"/>
        </w:rPr>
        <w:t>diagnóstico de outra patologia</w:t>
      </w:r>
      <w:r w:rsidR="00910B0A">
        <w:rPr>
          <w:rFonts w:ascii="Arial" w:hAnsi="Arial" w:cs="Arial"/>
          <w:sz w:val="24"/>
        </w:rPr>
        <w:t xml:space="preserve"> em condição crônica ativa ou agudizada</w:t>
      </w:r>
      <w:r w:rsidR="0082145D">
        <w:rPr>
          <w:rFonts w:ascii="Arial" w:hAnsi="Arial" w:cs="Arial"/>
          <w:sz w:val="24"/>
        </w:rPr>
        <w:t xml:space="preserve">, não associada à </w:t>
      </w:r>
      <w:r w:rsidR="00D5096D">
        <w:rPr>
          <w:rFonts w:ascii="Arial" w:hAnsi="Arial" w:cs="Arial"/>
          <w:sz w:val="24"/>
        </w:rPr>
        <w:t>MPS</w:t>
      </w:r>
      <w:r w:rsidR="00074152">
        <w:rPr>
          <w:rFonts w:ascii="Arial" w:hAnsi="Arial" w:cs="Arial"/>
          <w:sz w:val="24"/>
        </w:rPr>
        <w:t>,</w:t>
      </w:r>
      <w:r w:rsidR="00664235">
        <w:rPr>
          <w:rFonts w:ascii="Arial" w:hAnsi="Arial" w:cs="Arial"/>
          <w:sz w:val="24"/>
        </w:rPr>
        <w:t xml:space="preserve"> e</w:t>
      </w:r>
      <w:r w:rsidR="00A91800">
        <w:rPr>
          <w:rFonts w:ascii="Arial" w:hAnsi="Arial" w:cs="Arial"/>
          <w:sz w:val="24"/>
        </w:rPr>
        <w:t xml:space="preserve"> que</w:t>
      </w:r>
      <w:r w:rsidR="00A40304">
        <w:rPr>
          <w:rFonts w:ascii="Arial" w:hAnsi="Arial" w:cs="Arial"/>
          <w:sz w:val="24"/>
        </w:rPr>
        <w:t xml:space="preserve"> pudesse</w:t>
      </w:r>
      <w:r w:rsidR="00803D3D">
        <w:rPr>
          <w:rFonts w:ascii="Arial" w:hAnsi="Arial" w:cs="Arial"/>
          <w:sz w:val="24"/>
        </w:rPr>
        <w:t xml:space="preserve"> interferir na independ</w:t>
      </w:r>
      <w:r w:rsidR="00074152">
        <w:rPr>
          <w:rFonts w:ascii="Arial" w:hAnsi="Arial" w:cs="Arial"/>
          <w:sz w:val="24"/>
        </w:rPr>
        <w:t>ência funcional</w:t>
      </w:r>
      <w:r w:rsidR="00803D3D">
        <w:rPr>
          <w:rFonts w:ascii="Arial" w:hAnsi="Arial" w:cs="Arial"/>
          <w:sz w:val="24"/>
        </w:rPr>
        <w:t xml:space="preserve"> </w:t>
      </w:r>
      <w:r w:rsidR="00CF37C3">
        <w:rPr>
          <w:rFonts w:ascii="Arial" w:hAnsi="Arial" w:cs="Arial"/>
          <w:sz w:val="24"/>
        </w:rPr>
        <w:t>a partir d</w:t>
      </w:r>
      <w:r w:rsidR="00803D3D">
        <w:rPr>
          <w:rFonts w:ascii="Arial" w:hAnsi="Arial" w:cs="Arial"/>
          <w:sz w:val="24"/>
        </w:rPr>
        <w:t xml:space="preserve">a limitação da capacidade para realizar </w:t>
      </w:r>
      <w:r w:rsidR="00664235">
        <w:rPr>
          <w:rFonts w:ascii="Arial" w:hAnsi="Arial" w:cs="Arial"/>
          <w:sz w:val="24"/>
        </w:rPr>
        <w:t>atividades de vida diária</w:t>
      </w:r>
      <w:r w:rsidR="008C04F2">
        <w:rPr>
          <w:rFonts w:ascii="Arial" w:hAnsi="Arial" w:cs="Arial"/>
          <w:sz w:val="24"/>
        </w:rPr>
        <w:t>.</w:t>
      </w:r>
    </w:p>
    <w:p w:rsidR="00A62F69" w:rsidRDefault="00A62F69" w:rsidP="0074007F">
      <w:pPr>
        <w:spacing w:after="0" w:line="360" w:lineRule="auto"/>
        <w:jc w:val="both"/>
        <w:rPr>
          <w:rFonts w:ascii="Arial" w:hAnsi="Arial" w:cs="Arial"/>
          <w:sz w:val="24"/>
        </w:rPr>
      </w:pPr>
    </w:p>
    <w:p w:rsidR="001B59AF" w:rsidRDefault="00835CA2" w:rsidP="0074007F">
      <w:pPr>
        <w:spacing w:after="0" w:line="360" w:lineRule="auto"/>
        <w:jc w:val="both"/>
        <w:rPr>
          <w:rFonts w:ascii="Arial" w:hAnsi="Arial" w:cs="Arial"/>
          <w:sz w:val="24"/>
        </w:rPr>
      </w:pPr>
      <w:r>
        <w:rPr>
          <w:rFonts w:ascii="Arial" w:hAnsi="Arial" w:cs="Arial"/>
          <w:sz w:val="24"/>
        </w:rPr>
        <w:t>Utilizou-se</w:t>
      </w:r>
      <w:r w:rsidR="00AC43AD">
        <w:rPr>
          <w:rFonts w:ascii="Arial" w:hAnsi="Arial" w:cs="Arial"/>
          <w:sz w:val="24"/>
        </w:rPr>
        <w:t xml:space="preserve"> </w:t>
      </w:r>
      <w:r w:rsidR="00362D71">
        <w:rPr>
          <w:rFonts w:ascii="Arial" w:hAnsi="Arial" w:cs="Arial"/>
          <w:sz w:val="24"/>
        </w:rPr>
        <w:t>estratégia de amostragem por</w:t>
      </w:r>
      <w:r w:rsidR="00301A13">
        <w:rPr>
          <w:rFonts w:ascii="Arial" w:hAnsi="Arial" w:cs="Arial"/>
          <w:sz w:val="24"/>
        </w:rPr>
        <w:t xml:space="preserve"> conveniência, </w:t>
      </w:r>
      <w:r w:rsidR="00F7705C">
        <w:rPr>
          <w:rFonts w:ascii="Arial" w:hAnsi="Arial" w:cs="Arial"/>
          <w:sz w:val="24"/>
        </w:rPr>
        <w:t>na qual foram incluídos todos os pacientes acessíveis, uma vez que a mucopolissacaridose é uma doença de baixa prevalência</w:t>
      </w:r>
      <w:r w:rsidR="001B59AF">
        <w:rPr>
          <w:rFonts w:ascii="Arial" w:hAnsi="Arial" w:cs="Arial"/>
          <w:sz w:val="24"/>
        </w:rPr>
        <w:t>.</w:t>
      </w:r>
    </w:p>
    <w:p w:rsidR="00616C02" w:rsidRDefault="00616C02" w:rsidP="008C04F2">
      <w:pPr>
        <w:spacing w:after="0" w:line="360" w:lineRule="auto"/>
        <w:jc w:val="both"/>
        <w:rPr>
          <w:rFonts w:ascii="Arial" w:hAnsi="Arial" w:cs="Arial"/>
          <w:sz w:val="24"/>
        </w:rPr>
      </w:pPr>
    </w:p>
    <w:p w:rsidR="00633F61" w:rsidRPr="00633F61" w:rsidRDefault="00633F61" w:rsidP="004D4A6B">
      <w:pPr>
        <w:pStyle w:val="Ttulo1"/>
      </w:pPr>
      <w:bookmarkStart w:id="19" w:name="_Toc496749611"/>
      <w:r w:rsidRPr="00633F61">
        <w:t>4.</w:t>
      </w:r>
      <w:r w:rsidR="00F7296D">
        <w:t>4</w:t>
      </w:r>
      <w:r w:rsidRPr="00633F61">
        <w:t xml:space="preserve"> </w:t>
      </w:r>
      <w:r w:rsidR="007B13BA">
        <w:t>V</w:t>
      </w:r>
      <w:r w:rsidRPr="00633F61">
        <w:t>ariáveis de estudo</w:t>
      </w:r>
      <w:r w:rsidR="00D5797A">
        <w:t xml:space="preserve"> e instrumentos de coleta</w:t>
      </w:r>
      <w:bookmarkEnd w:id="19"/>
    </w:p>
    <w:p w:rsidR="00AD1800" w:rsidRDefault="00AD1800" w:rsidP="005A1D16">
      <w:pPr>
        <w:spacing w:after="0" w:line="360" w:lineRule="auto"/>
        <w:jc w:val="both"/>
        <w:rPr>
          <w:rFonts w:ascii="Arial" w:hAnsi="Arial" w:cs="Arial"/>
          <w:sz w:val="24"/>
        </w:rPr>
      </w:pPr>
    </w:p>
    <w:p w:rsidR="00661869" w:rsidRDefault="00881269" w:rsidP="0074007F">
      <w:pPr>
        <w:spacing w:after="0" w:line="360" w:lineRule="auto"/>
        <w:jc w:val="both"/>
        <w:rPr>
          <w:rFonts w:ascii="Arial" w:hAnsi="Arial" w:cs="Arial"/>
          <w:sz w:val="24"/>
        </w:rPr>
      </w:pPr>
      <w:r>
        <w:rPr>
          <w:rFonts w:ascii="Arial" w:hAnsi="Arial" w:cs="Arial"/>
          <w:sz w:val="24"/>
        </w:rPr>
        <w:t xml:space="preserve">As </w:t>
      </w:r>
      <w:r w:rsidR="00661869">
        <w:rPr>
          <w:rFonts w:ascii="Arial" w:hAnsi="Arial" w:cs="Arial"/>
          <w:sz w:val="24"/>
        </w:rPr>
        <w:t>variáveis deste estudo</w:t>
      </w:r>
      <w:r>
        <w:rPr>
          <w:rFonts w:ascii="Arial" w:hAnsi="Arial" w:cs="Arial"/>
          <w:sz w:val="24"/>
        </w:rPr>
        <w:t xml:space="preserve"> compreenderam</w:t>
      </w:r>
      <w:r w:rsidR="00661869">
        <w:rPr>
          <w:rFonts w:ascii="Arial" w:hAnsi="Arial" w:cs="Arial"/>
          <w:sz w:val="24"/>
        </w:rPr>
        <w:t xml:space="preserve">: sexo (estratificado em feminino e masculino); </w:t>
      </w:r>
      <w:r w:rsidR="00354943">
        <w:rPr>
          <w:rFonts w:ascii="Arial" w:hAnsi="Arial" w:cs="Arial"/>
          <w:sz w:val="24"/>
        </w:rPr>
        <w:t>idade (evidenciada em anos e, também, em faixas etárias, de acordo com a estratificação proposta pelo in</w:t>
      </w:r>
      <w:r w:rsidR="00E00A2E">
        <w:rPr>
          <w:rFonts w:ascii="Arial" w:hAnsi="Arial" w:cs="Arial"/>
          <w:sz w:val="24"/>
        </w:rPr>
        <w:t xml:space="preserve">strumento utilizado para avaliar </w:t>
      </w:r>
      <w:r w:rsidR="00354943">
        <w:rPr>
          <w:rFonts w:ascii="Arial" w:hAnsi="Arial" w:cs="Arial"/>
          <w:sz w:val="24"/>
        </w:rPr>
        <w:t>a QVRS</w:t>
      </w:r>
      <w:r w:rsidR="002B5769">
        <w:rPr>
          <w:rFonts w:ascii="Arial" w:hAnsi="Arial" w:cs="Arial"/>
          <w:sz w:val="24"/>
        </w:rPr>
        <w:t>: 2 a 4 anos, 5 a 7 anos, 8 a 12 anos e 13 a 18 anos</w:t>
      </w:r>
      <w:r w:rsidR="00354943">
        <w:rPr>
          <w:rFonts w:ascii="Arial" w:hAnsi="Arial" w:cs="Arial"/>
          <w:sz w:val="24"/>
        </w:rPr>
        <w:t xml:space="preserve">); tipo de MPS (categorizado em tipo I, II, III, IV, VI, VII e IX); </w:t>
      </w:r>
      <w:r w:rsidR="0076467E">
        <w:rPr>
          <w:rFonts w:ascii="Arial" w:hAnsi="Arial" w:cs="Arial"/>
          <w:sz w:val="24"/>
        </w:rPr>
        <w:t xml:space="preserve">e </w:t>
      </w:r>
      <w:r w:rsidR="00354943">
        <w:rPr>
          <w:rFonts w:ascii="Arial" w:hAnsi="Arial" w:cs="Arial"/>
          <w:sz w:val="24"/>
        </w:rPr>
        <w:t>medida</w:t>
      </w:r>
      <w:r w:rsidR="0076467E">
        <w:rPr>
          <w:rFonts w:ascii="Arial" w:hAnsi="Arial" w:cs="Arial"/>
          <w:sz w:val="24"/>
        </w:rPr>
        <w:t>s</w:t>
      </w:r>
      <w:r w:rsidR="00354943">
        <w:rPr>
          <w:rFonts w:ascii="Arial" w:hAnsi="Arial" w:cs="Arial"/>
          <w:sz w:val="24"/>
        </w:rPr>
        <w:t xml:space="preserve"> </w:t>
      </w:r>
      <w:r w:rsidR="000226C7">
        <w:rPr>
          <w:rFonts w:ascii="Arial" w:hAnsi="Arial" w:cs="Arial"/>
          <w:sz w:val="24"/>
        </w:rPr>
        <w:t xml:space="preserve">do nível </w:t>
      </w:r>
      <w:r w:rsidR="00354943">
        <w:rPr>
          <w:rFonts w:ascii="Arial" w:hAnsi="Arial" w:cs="Arial"/>
          <w:sz w:val="24"/>
        </w:rPr>
        <w:t>de independência funcional</w:t>
      </w:r>
      <w:r w:rsidR="00BD7C8A">
        <w:rPr>
          <w:rFonts w:ascii="Arial" w:hAnsi="Arial" w:cs="Arial"/>
          <w:sz w:val="24"/>
        </w:rPr>
        <w:t xml:space="preserve"> e </w:t>
      </w:r>
      <w:r w:rsidR="00354943">
        <w:rPr>
          <w:rFonts w:ascii="Arial" w:hAnsi="Arial" w:cs="Arial"/>
          <w:sz w:val="24"/>
        </w:rPr>
        <w:t xml:space="preserve">da qualidade </w:t>
      </w:r>
      <w:r w:rsidR="00354943">
        <w:rPr>
          <w:rFonts w:ascii="Arial" w:hAnsi="Arial" w:cs="Arial"/>
          <w:sz w:val="24"/>
        </w:rPr>
        <w:lastRenderedPageBreak/>
        <w:t>de vida relacionada à saúde</w:t>
      </w:r>
      <w:r w:rsidR="0076467E">
        <w:rPr>
          <w:rFonts w:ascii="Arial" w:hAnsi="Arial" w:cs="Arial"/>
          <w:sz w:val="24"/>
        </w:rPr>
        <w:t xml:space="preserve"> – </w:t>
      </w:r>
      <w:r w:rsidR="00BD7C8A">
        <w:rPr>
          <w:rFonts w:ascii="Arial" w:hAnsi="Arial" w:cs="Arial"/>
          <w:sz w:val="24"/>
        </w:rPr>
        <w:t>evidenciadas por escore</w:t>
      </w:r>
      <w:r w:rsidR="0076467E">
        <w:rPr>
          <w:rFonts w:ascii="Arial" w:hAnsi="Arial" w:cs="Arial"/>
          <w:sz w:val="24"/>
        </w:rPr>
        <w:t>s</w:t>
      </w:r>
      <w:r w:rsidR="00BD7C8A">
        <w:rPr>
          <w:rFonts w:ascii="Arial" w:hAnsi="Arial" w:cs="Arial"/>
          <w:sz w:val="24"/>
        </w:rPr>
        <w:t xml:space="preserve"> numérico</w:t>
      </w:r>
      <w:r w:rsidR="0076467E">
        <w:rPr>
          <w:rFonts w:ascii="Arial" w:hAnsi="Arial" w:cs="Arial"/>
          <w:sz w:val="24"/>
        </w:rPr>
        <w:t>s</w:t>
      </w:r>
      <w:r w:rsidR="00BD7C8A">
        <w:rPr>
          <w:rFonts w:ascii="Arial" w:hAnsi="Arial" w:cs="Arial"/>
          <w:sz w:val="24"/>
        </w:rPr>
        <w:t>, conforme instrumentos</w:t>
      </w:r>
      <w:r w:rsidR="0076467E">
        <w:rPr>
          <w:rFonts w:ascii="Arial" w:hAnsi="Arial" w:cs="Arial"/>
          <w:sz w:val="24"/>
        </w:rPr>
        <w:t xml:space="preserve"> específicos</w:t>
      </w:r>
      <w:r w:rsidR="00BD7C8A">
        <w:rPr>
          <w:rFonts w:ascii="Arial" w:hAnsi="Arial" w:cs="Arial"/>
          <w:sz w:val="24"/>
        </w:rPr>
        <w:t xml:space="preserve"> utilizados</w:t>
      </w:r>
      <w:r w:rsidR="00354943">
        <w:rPr>
          <w:rFonts w:ascii="Arial" w:hAnsi="Arial" w:cs="Arial"/>
          <w:sz w:val="24"/>
        </w:rPr>
        <w:t>.</w:t>
      </w:r>
    </w:p>
    <w:p w:rsidR="00C11756" w:rsidRDefault="00C11756" w:rsidP="0074007F">
      <w:pPr>
        <w:spacing w:after="0" w:line="360" w:lineRule="auto"/>
        <w:jc w:val="both"/>
        <w:rPr>
          <w:rFonts w:ascii="Arial" w:hAnsi="Arial" w:cs="Arial"/>
          <w:sz w:val="24"/>
        </w:rPr>
      </w:pPr>
    </w:p>
    <w:p w:rsidR="00507D45" w:rsidRDefault="00F7296D" w:rsidP="004D4A6B">
      <w:pPr>
        <w:pStyle w:val="Ttulo2"/>
      </w:pPr>
      <w:bookmarkStart w:id="20" w:name="_Toc496749612"/>
      <w:r>
        <w:t>4.4</w:t>
      </w:r>
      <w:r w:rsidR="00507D45">
        <w:t xml:space="preserve">.1 </w:t>
      </w:r>
      <w:r w:rsidR="00E054D0">
        <w:t>Instrumento de m</w:t>
      </w:r>
      <w:r w:rsidR="00507D45">
        <w:t>edida de independência funcional</w:t>
      </w:r>
      <w:bookmarkEnd w:id="20"/>
    </w:p>
    <w:p w:rsidR="00507D45" w:rsidRDefault="00507D45" w:rsidP="00507D45">
      <w:pPr>
        <w:spacing w:after="0" w:line="360" w:lineRule="auto"/>
        <w:jc w:val="both"/>
        <w:rPr>
          <w:rFonts w:ascii="Arial" w:hAnsi="Arial" w:cs="Arial"/>
          <w:sz w:val="24"/>
        </w:rPr>
      </w:pPr>
    </w:p>
    <w:p w:rsidR="00EF4945" w:rsidRDefault="00E91EDA" w:rsidP="0074007F">
      <w:pPr>
        <w:spacing w:after="0" w:line="360" w:lineRule="auto"/>
        <w:jc w:val="both"/>
        <w:rPr>
          <w:rFonts w:ascii="Arial" w:hAnsi="Arial" w:cs="Arial"/>
          <w:sz w:val="24"/>
        </w:rPr>
      </w:pPr>
      <w:r>
        <w:rPr>
          <w:rFonts w:ascii="Arial" w:hAnsi="Arial" w:cs="Arial"/>
          <w:sz w:val="24"/>
        </w:rPr>
        <w:t>Para avaliar o</w:t>
      </w:r>
      <w:r w:rsidR="001D7999">
        <w:rPr>
          <w:rFonts w:ascii="Arial" w:hAnsi="Arial" w:cs="Arial"/>
          <w:sz w:val="24"/>
        </w:rPr>
        <w:t xml:space="preserve"> </w:t>
      </w:r>
      <w:r w:rsidR="00977ED4">
        <w:rPr>
          <w:rFonts w:ascii="Arial" w:hAnsi="Arial" w:cs="Arial"/>
          <w:sz w:val="24"/>
        </w:rPr>
        <w:t>nível de</w:t>
      </w:r>
      <w:r w:rsidR="00D17C57">
        <w:rPr>
          <w:rFonts w:ascii="Arial" w:hAnsi="Arial" w:cs="Arial"/>
          <w:sz w:val="24"/>
        </w:rPr>
        <w:t xml:space="preserve"> independência funcional</w:t>
      </w:r>
      <w:r w:rsidR="00ED091B">
        <w:rPr>
          <w:rFonts w:ascii="Arial" w:hAnsi="Arial" w:cs="Arial"/>
          <w:sz w:val="24"/>
        </w:rPr>
        <w:t>,</w:t>
      </w:r>
      <w:r w:rsidR="0076538B">
        <w:rPr>
          <w:rFonts w:ascii="Arial" w:hAnsi="Arial" w:cs="Arial"/>
          <w:sz w:val="24"/>
        </w:rPr>
        <w:t xml:space="preserve"> a equipe do ambulatório de ortopedia do HSI utiliz</w:t>
      </w:r>
      <w:r w:rsidR="007965C7">
        <w:rPr>
          <w:rFonts w:ascii="Arial" w:hAnsi="Arial" w:cs="Arial"/>
          <w:sz w:val="24"/>
        </w:rPr>
        <w:t>ou</w:t>
      </w:r>
      <w:r w:rsidR="00ED091B">
        <w:rPr>
          <w:rFonts w:ascii="Arial" w:hAnsi="Arial" w:cs="Arial"/>
          <w:sz w:val="24"/>
        </w:rPr>
        <w:t xml:space="preserve"> a </w:t>
      </w:r>
      <w:r w:rsidR="003433B5">
        <w:rPr>
          <w:rFonts w:ascii="Arial" w:hAnsi="Arial" w:cs="Arial"/>
          <w:sz w:val="24"/>
        </w:rPr>
        <w:t>e</w:t>
      </w:r>
      <w:r w:rsidR="00977ED4">
        <w:rPr>
          <w:rFonts w:ascii="Arial" w:hAnsi="Arial" w:cs="Arial"/>
          <w:sz w:val="24"/>
        </w:rPr>
        <w:t>scala de</w:t>
      </w:r>
      <w:r w:rsidR="00D17C57">
        <w:rPr>
          <w:rFonts w:ascii="Arial" w:hAnsi="Arial" w:cs="Arial"/>
          <w:sz w:val="24"/>
        </w:rPr>
        <w:t xml:space="preserve"> Medida de</w:t>
      </w:r>
      <w:r w:rsidR="00D77955">
        <w:rPr>
          <w:rFonts w:ascii="Arial" w:hAnsi="Arial" w:cs="Arial"/>
          <w:sz w:val="24"/>
        </w:rPr>
        <w:t xml:space="preserve"> Independência Funcional (MIF). </w:t>
      </w:r>
      <w:r w:rsidR="003F0333">
        <w:rPr>
          <w:rFonts w:ascii="Arial" w:hAnsi="Arial" w:cs="Arial"/>
          <w:sz w:val="24"/>
        </w:rPr>
        <w:t>Trata-se de</w:t>
      </w:r>
      <w:r w:rsidR="001666E1">
        <w:rPr>
          <w:rFonts w:ascii="Arial" w:hAnsi="Arial" w:cs="Arial"/>
          <w:sz w:val="24"/>
        </w:rPr>
        <w:t xml:space="preserve"> um</w:t>
      </w:r>
      <w:r w:rsidR="0011326A">
        <w:rPr>
          <w:rFonts w:ascii="Arial" w:hAnsi="Arial" w:cs="Arial"/>
          <w:sz w:val="24"/>
        </w:rPr>
        <w:t xml:space="preserve"> instrumento estruturado</w:t>
      </w:r>
      <w:r w:rsidR="001666E1">
        <w:rPr>
          <w:rFonts w:ascii="Arial" w:hAnsi="Arial" w:cs="Arial"/>
          <w:sz w:val="24"/>
        </w:rPr>
        <w:t>, compost</w:t>
      </w:r>
      <w:r w:rsidR="0011326A">
        <w:rPr>
          <w:rFonts w:ascii="Arial" w:hAnsi="Arial" w:cs="Arial"/>
          <w:sz w:val="24"/>
        </w:rPr>
        <w:t>o</w:t>
      </w:r>
      <w:r w:rsidR="001666E1">
        <w:rPr>
          <w:rFonts w:ascii="Arial" w:hAnsi="Arial" w:cs="Arial"/>
          <w:sz w:val="24"/>
        </w:rPr>
        <w:t xml:space="preserve"> por 18 itens</w:t>
      </w:r>
      <w:r w:rsidR="00164D1A">
        <w:rPr>
          <w:rFonts w:ascii="Arial" w:hAnsi="Arial" w:cs="Arial"/>
          <w:sz w:val="24"/>
        </w:rPr>
        <w:t>,</w:t>
      </w:r>
      <w:r w:rsidR="00361948">
        <w:rPr>
          <w:rFonts w:ascii="Arial" w:hAnsi="Arial" w:cs="Arial"/>
          <w:sz w:val="24"/>
        </w:rPr>
        <w:t xml:space="preserve"> divididos em dois domínios – </w:t>
      </w:r>
      <w:r w:rsidR="001666E1">
        <w:rPr>
          <w:rFonts w:ascii="Arial" w:hAnsi="Arial" w:cs="Arial"/>
          <w:sz w:val="24"/>
        </w:rPr>
        <w:t xml:space="preserve">motor (13 itens) e </w:t>
      </w:r>
      <w:r>
        <w:rPr>
          <w:rFonts w:ascii="Arial" w:hAnsi="Arial" w:cs="Arial"/>
          <w:sz w:val="24"/>
        </w:rPr>
        <w:t>c</w:t>
      </w:r>
      <w:r w:rsidR="001D7999">
        <w:rPr>
          <w:rFonts w:ascii="Arial" w:hAnsi="Arial" w:cs="Arial"/>
          <w:sz w:val="24"/>
        </w:rPr>
        <w:t>ognitivo (5 itens)</w:t>
      </w:r>
      <w:r w:rsidR="00265433">
        <w:rPr>
          <w:rFonts w:ascii="Arial" w:hAnsi="Arial" w:cs="Arial"/>
          <w:sz w:val="24"/>
        </w:rPr>
        <w:fldChar w:fldCharType="begin" w:fldLock="1"/>
      </w:r>
      <w:r w:rsidR="00195481">
        <w:rPr>
          <w:rFonts w:ascii="Arial" w:hAnsi="Arial" w:cs="Arial"/>
          <w:sz w:val="24"/>
        </w:rPr>
        <w:instrText>ADDIN CSL_CITATION { "citationItems" : [ { "id" : "ITEM-1", "itemData" : { "DOI" : "10.5935/0104-7795.20040003", "ISBN" : "1466-609X; 1364-8535", "ISSN" : "0104-7795", "PMID" : "20738852", "abstract" : "A vers\u00e3o brasileira de Medida de Independ\u00eancia Funcional (MIF) foi desenvolvida em 2000. Estudos de sua validade ainda s\u00e3o necess\u00e1rios como forma de corroborar seu uso na avalia\u00e7\u00e3o da reabilita\u00e7\u00e3o de brasileiros incapacitados, uma vez que peculiaridades socioculturais nacionais podem determinar um comportamento diverso dos dados fornecidos pelo instrumento. Objetivos: O objetivo deste estudo \u00e9 testar a validade de construto da MIF ao checar a validade convergente em grupos de pacientes com defici\u00eancias nas quais se esperam estar presentes graus espec\u00edficos de incapacidade. M\u00e9todo: Prontu\u00e1rios m\u00e9dicos de 150 pacientes com les\u00e3o medular (LM) e 103 pacientes com les\u00f5es encef\u00e1licas (LE) de dois centros de reabilita\u00e7\u00e3o da cidade de S\u00e3o Paulo forneceram dados a respeito de caracter\u00edsticas biodemogr\u00e1ficas, cl\u00ednicas e funcionais. O grau de incapacidade foi avaliado pela MIF. Os pacientes com LM foram classificados de acordo com o n\u00edvel de acometimento medular, como cervicais, tor\u00e1cicos ou lombares e abaixo. Pacientes com LE foram classificados conforme o dim\u00eddio mais comprometido como direito, esquerdo ou bilaterais. A sensibilidade da MIF foi testada em 93 pacientes com LE e 59 com LM por meio da compara\u00e7\u00e3o dos valores da MIF total, cognitiva e motora de admiss\u00e3o e alta. Resultados: entre os pacientes com LM pudemos demonstrar uma clara associa\u00e7\u00e3o entre o n\u00edvel de incapacidade e a MIF motora (cervical = 34.4 \u00b1 25.2, tor\u00e1cica = 51.6 \u00b1 19.5, lombar = 67.5 \u00b1 18.6; p &lt; 0.001). A MIF cognitiva apresentou um efeito teto entre os pacientes com les\u00e3o medular (85% dos pacientes tinham MIFc no valor mais alto poss\u00edvel), por outro lado, entre os pacientes com LE, isso n\u00e3o pode ser observado e houve uma associa\u00e7\u00e3o entre o valor obtido na MIFc e o lado envolvido, sendo os pacientes com envolvimento do hemicorpo esquerdo aqueles menos dependente em termos cognitivos. Houve mudan\u00e7a estatisticamente significante durante o tratamento, como pode ser observado pela varia\u00e7\u00e3o da MIFm em pacientes com LM e LE (44.5 \u00b1 24.1x 61.0 \u00b1 23.8; p &lt; 0.001 e 54.1 \u00b1 23.0 x 64.7 \u00b1 21.3; p &lt;0.001). O mesmo pode ser observado em pacientes com LE com comprometimento a esquerda e \u00e0 direita, mas n\u00e3o quando o comprometimento era bilateral. Conclus\u00e3o: a validade convergente da vers\u00e3o brasileira da MIF pode ser observada para as tarefas motoras tanto em pacientes com LM como LE. A MIFc mostrou-se de pouca utilidade entre os pacientes com LM cr\u00f4nico sob reabilita\u00e7\u00e3o ambulatorial, apesar de a associa\u00e7\u00e3o \u2026", "author" : [ { "dropping-particle" : "", "family" : "Riberto", "given" : "Marcelo", "non-dropping-particle" : "", "parse-names" : false, "suffix" : "" }, { "dropping-particle" : "", "family" : "Miyazaki", "given" : "Margarida H", "non-dropping-particle" : "", "parse-names" : false, "suffix" : "" }, { "dropping-particle" : "", "family" : "Juc\u00e1", "given" : "Sueli S H", "non-dropping-particle" : "", "parse-names" : false, "suffix" : "" }, { "dropping-particle" : "", "family" : "Sakamoto", "given" : "Hatsue", "non-dropping-particle" : "", "parse-names" : false, "suffix" : "" }, { "dropping-particle" : "", "family" : "Potiguara", "given" : "Paulo", "non-dropping-particle" : "", "parse-names" : false, "suffix" : "" }, { "dropping-particle" : "", "family" : "Pinto", "given" : "Novazzi", "non-dropping-particle" : "", "parse-names" : false, "suffix" : "" }, { "dropping-particle" : "", "family" : "Battistella", "given" : "Linamara R", "non-dropping-particle" : "", "parse-names" : false, "suffix" : "" } ], "container-title" : "Acta Fisiatrica", "id" : "ITEM-1", "issue" : "2", "issued" : { "date-parts" : [ [ "2004" ] ] }, "page" : "72-76", "title" : "Valida\u00e7\u00e3o da Vers\u00e3o Brasileira da Medida de Independ\u00eancia Funcional Validation of the Brazilian version of Functional Independence Measure", "type" : "article-journal", "volume" : "11" }, "uris" : [ "http://www.mendeley.com/documents/?uuid=645f3fd7-d546-43cf-8d35-39d344460b05" ] } ], "mendeley" : { "formattedCitation" : "&lt;sup&gt;61&lt;/sup&gt;", "plainTextFormattedCitation" : "61", "previouslyFormattedCitation" : "&lt;sup&gt;61&lt;/sup&gt;" }, "properties" : { "noteIndex" : 0 }, "schema" : "https://github.com/citation-style-language/schema/raw/master/csl-citation.json" }</w:instrText>
      </w:r>
      <w:r w:rsidR="00265433">
        <w:rPr>
          <w:rFonts w:ascii="Arial" w:hAnsi="Arial" w:cs="Arial"/>
          <w:sz w:val="24"/>
        </w:rPr>
        <w:fldChar w:fldCharType="separate"/>
      </w:r>
      <w:r w:rsidR="00412B48" w:rsidRPr="00412B48">
        <w:rPr>
          <w:rFonts w:ascii="Arial" w:hAnsi="Arial" w:cs="Arial"/>
          <w:noProof/>
          <w:sz w:val="24"/>
          <w:vertAlign w:val="superscript"/>
        </w:rPr>
        <w:t>61</w:t>
      </w:r>
      <w:r w:rsidR="00265433">
        <w:rPr>
          <w:rFonts w:ascii="Arial" w:hAnsi="Arial" w:cs="Arial"/>
          <w:sz w:val="24"/>
        </w:rPr>
        <w:fldChar w:fldCharType="end"/>
      </w:r>
      <w:r w:rsidR="00EF4945">
        <w:rPr>
          <w:rFonts w:ascii="Arial" w:hAnsi="Arial" w:cs="Arial"/>
          <w:sz w:val="24"/>
        </w:rPr>
        <w:t xml:space="preserve"> (A</w:t>
      </w:r>
      <w:r>
        <w:rPr>
          <w:rFonts w:ascii="Arial" w:hAnsi="Arial" w:cs="Arial"/>
          <w:sz w:val="24"/>
        </w:rPr>
        <w:t>nexo</w:t>
      </w:r>
      <w:r w:rsidR="00EF4945">
        <w:rPr>
          <w:rFonts w:ascii="Arial" w:hAnsi="Arial" w:cs="Arial"/>
          <w:sz w:val="24"/>
        </w:rPr>
        <w:t xml:space="preserve"> A)</w:t>
      </w:r>
      <w:r w:rsidR="00164D1A">
        <w:rPr>
          <w:rFonts w:ascii="Arial" w:hAnsi="Arial" w:cs="Arial"/>
          <w:sz w:val="24"/>
        </w:rPr>
        <w:t>.</w:t>
      </w:r>
    </w:p>
    <w:p w:rsidR="00A62F69" w:rsidRDefault="00A62F69" w:rsidP="001018B9">
      <w:pPr>
        <w:spacing w:after="0" w:line="360" w:lineRule="auto"/>
        <w:jc w:val="both"/>
        <w:rPr>
          <w:rFonts w:ascii="Arial" w:hAnsi="Arial" w:cs="Arial"/>
          <w:sz w:val="24"/>
        </w:rPr>
      </w:pPr>
    </w:p>
    <w:p w:rsidR="005A1D16" w:rsidRDefault="001666E1" w:rsidP="0074007F">
      <w:pPr>
        <w:spacing w:after="0" w:line="360" w:lineRule="auto"/>
        <w:jc w:val="both"/>
        <w:rPr>
          <w:rFonts w:ascii="Arial" w:hAnsi="Arial" w:cs="Arial"/>
          <w:sz w:val="24"/>
        </w:rPr>
      </w:pPr>
      <w:r>
        <w:rPr>
          <w:rFonts w:ascii="Arial" w:hAnsi="Arial" w:cs="Arial"/>
          <w:sz w:val="24"/>
        </w:rPr>
        <w:t xml:space="preserve">O domínio motor avalia quatro </w:t>
      </w:r>
      <w:r w:rsidR="008C7EDF">
        <w:rPr>
          <w:rFonts w:ascii="Arial" w:hAnsi="Arial" w:cs="Arial"/>
          <w:sz w:val="24"/>
        </w:rPr>
        <w:t>dimensõe</w:t>
      </w:r>
      <w:r>
        <w:rPr>
          <w:rFonts w:ascii="Arial" w:hAnsi="Arial" w:cs="Arial"/>
          <w:sz w:val="24"/>
        </w:rPr>
        <w:t xml:space="preserve">s funcionais: </w:t>
      </w:r>
      <w:r w:rsidR="00EF3F27">
        <w:rPr>
          <w:rFonts w:ascii="Arial" w:hAnsi="Arial" w:cs="Arial"/>
          <w:sz w:val="24"/>
        </w:rPr>
        <w:t xml:space="preserve">1) </w:t>
      </w:r>
      <w:r>
        <w:rPr>
          <w:rFonts w:ascii="Arial" w:hAnsi="Arial" w:cs="Arial"/>
          <w:sz w:val="24"/>
        </w:rPr>
        <w:t>autocuidad</w:t>
      </w:r>
      <w:r w:rsidR="00EF3F27">
        <w:rPr>
          <w:rFonts w:ascii="Arial" w:hAnsi="Arial" w:cs="Arial"/>
          <w:sz w:val="24"/>
        </w:rPr>
        <w:t xml:space="preserve">o – </w:t>
      </w:r>
      <w:r>
        <w:rPr>
          <w:rFonts w:ascii="Arial" w:hAnsi="Arial" w:cs="Arial"/>
          <w:sz w:val="24"/>
        </w:rPr>
        <w:t>compreende</w:t>
      </w:r>
      <w:r w:rsidR="00A33060">
        <w:rPr>
          <w:rFonts w:ascii="Arial" w:hAnsi="Arial" w:cs="Arial"/>
          <w:sz w:val="24"/>
        </w:rPr>
        <w:t>ndo</w:t>
      </w:r>
      <w:r>
        <w:rPr>
          <w:rFonts w:ascii="Arial" w:hAnsi="Arial" w:cs="Arial"/>
          <w:sz w:val="24"/>
        </w:rPr>
        <w:t xml:space="preserve"> alimentação, higiene pessoal, banho, vestir a metade superior</w:t>
      </w:r>
      <w:r w:rsidR="007E28E6">
        <w:rPr>
          <w:rFonts w:ascii="Arial" w:hAnsi="Arial" w:cs="Arial"/>
          <w:sz w:val="24"/>
        </w:rPr>
        <w:t xml:space="preserve"> do corpo</w:t>
      </w:r>
      <w:r w:rsidR="00361948">
        <w:rPr>
          <w:rFonts w:ascii="Arial" w:hAnsi="Arial" w:cs="Arial"/>
          <w:sz w:val="24"/>
        </w:rPr>
        <w:t>, vestir</w:t>
      </w:r>
      <w:r>
        <w:rPr>
          <w:rFonts w:ascii="Arial" w:hAnsi="Arial" w:cs="Arial"/>
          <w:sz w:val="24"/>
        </w:rPr>
        <w:t xml:space="preserve"> a metade inferior do corpo e</w:t>
      </w:r>
      <w:r w:rsidR="00361948">
        <w:rPr>
          <w:rFonts w:ascii="Arial" w:hAnsi="Arial" w:cs="Arial"/>
          <w:sz w:val="24"/>
        </w:rPr>
        <w:t xml:space="preserve"> </w:t>
      </w:r>
      <w:r w:rsidR="00EF3F27">
        <w:rPr>
          <w:rFonts w:ascii="Arial" w:hAnsi="Arial" w:cs="Arial"/>
          <w:sz w:val="24"/>
        </w:rPr>
        <w:t>uso do vaso sanitário</w:t>
      </w:r>
      <w:r>
        <w:rPr>
          <w:rFonts w:ascii="Arial" w:hAnsi="Arial" w:cs="Arial"/>
          <w:sz w:val="24"/>
        </w:rPr>
        <w:t xml:space="preserve">; </w:t>
      </w:r>
      <w:r w:rsidR="00EF3F27">
        <w:rPr>
          <w:rFonts w:ascii="Arial" w:hAnsi="Arial" w:cs="Arial"/>
          <w:sz w:val="24"/>
        </w:rPr>
        <w:t xml:space="preserve">2) </w:t>
      </w:r>
      <w:r>
        <w:rPr>
          <w:rFonts w:ascii="Arial" w:hAnsi="Arial" w:cs="Arial"/>
          <w:sz w:val="24"/>
        </w:rPr>
        <w:t xml:space="preserve">controle dos esfíncteres (vesical e intestinal); </w:t>
      </w:r>
      <w:r w:rsidR="00EF3F27">
        <w:rPr>
          <w:rFonts w:ascii="Arial" w:hAnsi="Arial" w:cs="Arial"/>
          <w:sz w:val="24"/>
        </w:rPr>
        <w:t xml:space="preserve">3) </w:t>
      </w:r>
      <w:r>
        <w:rPr>
          <w:rFonts w:ascii="Arial" w:hAnsi="Arial" w:cs="Arial"/>
          <w:sz w:val="24"/>
        </w:rPr>
        <w:t>transferências (</w:t>
      </w:r>
      <w:r w:rsidR="007E28E6">
        <w:rPr>
          <w:rFonts w:ascii="Arial" w:hAnsi="Arial" w:cs="Arial"/>
          <w:sz w:val="24"/>
        </w:rPr>
        <w:t xml:space="preserve">para </w:t>
      </w:r>
      <w:r>
        <w:rPr>
          <w:rFonts w:ascii="Arial" w:hAnsi="Arial" w:cs="Arial"/>
          <w:sz w:val="24"/>
        </w:rPr>
        <w:t xml:space="preserve">cama / cadeira / cadeira de rodas, </w:t>
      </w:r>
      <w:r w:rsidR="007E28E6">
        <w:rPr>
          <w:rFonts w:ascii="Arial" w:hAnsi="Arial" w:cs="Arial"/>
          <w:sz w:val="24"/>
        </w:rPr>
        <w:t xml:space="preserve">transferência para </w:t>
      </w:r>
      <w:r>
        <w:rPr>
          <w:rFonts w:ascii="Arial" w:hAnsi="Arial" w:cs="Arial"/>
          <w:sz w:val="24"/>
        </w:rPr>
        <w:t>vaso sanitário,</w:t>
      </w:r>
      <w:r w:rsidR="007E28E6">
        <w:rPr>
          <w:rFonts w:ascii="Arial" w:hAnsi="Arial" w:cs="Arial"/>
          <w:sz w:val="24"/>
        </w:rPr>
        <w:t xml:space="preserve"> transferência para </w:t>
      </w:r>
      <w:r w:rsidR="007B13BA">
        <w:rPr>
          <w:rFonts w:ascii="Arial" w:hAnsi="Arial" w:cs="Arial"/>
          <w:sz w:val="24"/>
        </w:rPr>
        <w:t xml:space="preserve">banho de </w:t>
      </w:r>
      <w:r>
        <w:rPr>
          <w:rFonts w:ascii="Arial" w:hAnsi="Arial" w:cs="Arial"/>
          <w:sz w:val="24"/>
        </w:rPr>
        <w:t>chu</w:t>
      </w:r>
      <w:r w:rsidR="00822ED0">
        <w:rPr>
          <w:rFonts w:ascii="Arial" w:hAnsi="Arial" w:cs="Arial"/>
          <w:sz w:val="24"/>
        </w:rPr>
        <w:t>veiro / banheira); e</w:t>
      </w:r>
      <w:r w:rsidR="00EF3F27">
        <w:rPr>
          <w:rFonts w:ascii="Arial" w:hAnsi="Arial" w:cs="Arial"/>
          <w:sz w:val="24"/>
        </w:rPr>
        <w:t xml:space="preserve"> 4)</w:t>
      </w:r>
      <w:r w:rsidR="00822ED0">
        <w:rPr>
          <w:rFonts w:ascii="Arial" w:hAnsi="Arial" w:cs="Arial"/>
          <w:sz w:val="24"/>
        </w:rPr>
        <w:t xml:space="preserve"> locomo</w:t>
      </w:r>
      <w:r>
        <w:rPr>
          <w:rFonts w:ascii="Arial" w:hAnsi="Arial" w:cs="Arial"/>
          <w:sz w:val="24"/>
        </w:rPr>
        <w:t>ção</w:t>
      </w:r>
      <w:r w:rsidR="00BD083B">
        <w:rPr>
          <w:rFonts w:ascii="Arial" w:hAnsi="Arial" w:cs="Arial"/>
          <w:sz w:val="24"/>
        </w:rPr>
        <w:t xml:space="preserve"> (marcha / cadeira de rodas</w:t>
      </w:r>
      <w:r w:rsidR="009F7D11">
        <w:rPr>
          <w:rFonts w:ascii="Arial" w:hAnsi="Arial" w:cs="Arial"/>
          <w:sz w:val="24"/>
        </w:rPr>
        <w:t>,</w:t>
      </w:r>
      <w:r w:rsidR="00BD083B">
        <w:rPr>
          <w:rFonts w:ascii="Arial" w:hAnsi="Arial" w:cs="Arial"/>
          <w:sz w:val="24"/>
        </w:rPr>
        <w:t xml:space="preserve"> subir e descer </w:t>
      </w:r>
      <w:r w:rsidR="009260E9">
        <w:rPr>
          <w:rFonts w:ascii="Arial" w:hAnsi="Arial" w:cs="Arial"/>
          <w:sz w:val="24"/>
        </w:rPr>
        <w:t>escada</w:t>
      </w:r>
      <w:r w:rsidR="009F7D11">
        <w:rPr>
          <w:rFonts w:ascii="Arial" w:hAnsi="Arial" w:cs="Arial"/>
          <w:sz w:val="24"/>
        </w:rPr>
        <w:t>s</w:t>
      </w:r>
      <w:r w:rsidR="009260E9">
        <w:rPr>
          <w:rFonts w:ascii="Arial" w:hAnsi="Arial" w:cs="Arial"/>
          <w:sz w:val="24"/>
        </w:rPr>
        <w:t>)</w:t>
      </w:r>
      <w:r w:rsidR="00361948">
        <w:rPr>
          <w:rFonts w:ascii="Arial" w:hAnsi="Arial" w:cs="Arial"/>
          <w:sz w:val="24"/>
        </w:rPr>
        <w:t>.</w:t>
      </w:r>
      <w:r w:rsidR="005F365D">
        <w:rPr>
          <w:rFonts w:ascii="Arial" w:hAnsi="Arial" w:cs="Arial"/>
          <w:sz w:val="24"/>
        </w:rPr>
        <w:t xml:space="preserve"> </w:t>
      </w:r>
      <w:r w:rsidR="00EF3F27">
        <w:rPr>
          <w:rFonts w:ascii="Arial" w:hAnsi="Arial" w:cs="Arial"/>
          <w:sz w:val="24"/>
        </w:rPr>
        <w:t>O</w:t>
      </w:r>
      <w:r w:rsidR="00822ED0">
        <w:rPr>
          <w:rFonts w:ascii="Arial" w:hAnsi="Arial" w:cs="Arial"/>
          <w:sz w:val="24"/>
        </w:rPr>
        <w:t xml:space="preserve"> domínio cognitivo avalia duas </w:t>
      </w:r>
      <w:r w:rsidR="008C7EDF">
        <w:rPr>
          <w:rFonts w:ascii="Arial" w:hAnsi="Arial" w:cs="Arial"/>
          <w:sz w:val="24"/>
        </w:rPr>
        <w:t>dimensões</w:t>
      </w:r>
      <w:r w:rsidR="00822ED0">
        <w:rPr>
          <w:rFonts w:ascii="Arial" w:hAnsi="Arial" w:cs="Arial"/>
          <w:sz w:val="24"/>
        </w:rPr>
        <w:t>: comunicação (</w:t>
      </w:r>
      <w:r w:rsidR="00E80FF7">
        <w:rPr>
          <w:rFonts w:ascii="Arial" w:hAnsi="Arial" w:cs="Arial"/>
          <w:sz w:val="24"/>
        </w:rPr>
        <w:t xml:space="preserve">relacionada à </w:t>
      </w:r>
      <w:r w:rsidR="00822ED0">
        <w:rPr>
          <w:rFonts w:ascii="Arial" w:hAnsi="Arial" w:cs="Arial"/>
          <w:sz w:val="24"/>
        </w:rPr>
        <w:t>compreensão e expressão) e cognição social</w:t>
      </w:r>
      <w:r w:rsidR="00EF3F27">
        <w:rPr>
          <w:rFonts w:ascii="Arial" w:hAnsi="Arial" w:cs="Arial"/>
          <w:sz w:val="24"/>
        </w:rPr>
        <w:t xml:space="preserve">, </w:t>
      </w:r>
      <w:r w:rsidR="00822ED0">
        <w:rPr>
          <w:rFonts w:ascii="Arial" w:hAnsi="Arial" w:cs="Arial"/>
          <w:sz w:val="24"/>
        </w:rPr>
        <w:t>abrangendo interação social, resolução de problemas e memória</w:t>
      </w:r>
      <w:r w:rsidR="001D7999">
        <w:rPr>
          <w:rFonts w:ascii="Arial" w:hAnsi="Arial" w:cs="Arial"/>
          <w:sz w:val="24"/>
        </w:rPr>
        <w:t>.</w:t>
      </w:r>
      <w:r w:rsidR="00DE2690">
        <w:rPr>
          <w:rFonts w:ascii="Arial" w:hAnsi="Arial" w:cs="Arial"/>
          <w:sz w:val="24"/>
        </w:rPr>
        <w:fldChar w:fldCharType="begin" w:fldLock="1"/>
      </w:r>
      <w:r w:rsidR="00195481">
        <w:rPr>
          <w:rFonts w:ascii="Arial" w:hAnsi="Arial" w:cs="Arial"/>
          <w:sz w:val="24"/>
        </w:rPr>
        <w:instrText>ADDIN CSL_CITATION { "citationItems" : [ { "id" : "ITEM-1", "itemData" : { "DOI" : "10.5935/0104-7795.20040003", "ISBN" : "1466-609X; 1364-8535", "ISSN" : "0104-7795", "PMID" : "20738852", "abstract" : "RESUMO A vers\u00e3o brasileira da Medida de Independ\u00eancia Funcional (MIF) foi desenvolvida por meio de um processo de tradu\u00e7\u00e3o para o portugu\u00eas do Brasil por equipe m\u00e9dica bil\u00edng\u00fce familiarizada com o instrumento e tradutor profissional, seguido de tradu\u00e7\u00e3o reversa para o ingl\u00eas por tradutor independente. N\u00e3o foram identificados problemas de equival\u00eancia cultural quando a vers\u00e3o obtida foi apresentada a um conjunto de 25 profissionais de sa\u00fade treinados no seu uso. Oito centros de reabilita\u00e7\u00e3o participaram da capta\u00e7\u00e3o de dados para a obten\u00e7\u00e3o de medidas de reprodutibilidade. Todos os pacientes adultos com hist\u00f3ria de pelo menos 4 meses de acidente vascular cerebral, consultados no per\u00edodo entre dezembro de 1999 e janeiro de 2000, foram avaliados por dois avaliadores treinados na aplica\u00e7\u00e3o da MIF, de forma independente, e reavaliados por apenas um desses examinadores ap\u00f3s uma semana (teste/reteste). Uma amostra de 164 pacientes foi examinada e os valores de kappa para concord\u00e2ncia em cada um dos itens da MIF variaram entre dois observadores de 0,50 (alimenta\u00e7\u00e3o) a 0,64 (controle da urina) e no teste/ reteste entre 0,61 (vestir abaixo da cintura) a 0,77 (transfer\u00eancia para o vaso sanit\u00e1rio). As subescalas da MIF apresentaram no teste/reteste boa correla\u00e7\u00e3o (Pearson: 0,91 \u2013 0,98; ICC: 0,91 \u2013 0,98); a reprodutibilidade interobservadores tamb\u00e9m foi boa (Pearson: 0,87 \u2013 0,98; ICC: 0,87 \u2013 0,98). An\u00e1lise de vari\u00e2ncia mostra boa concord\u00e2ncia entre as m\u00e9dias dos resultados de dois avaliadores na primeira avalia\u00e7\u00e3o e na medida ap\u00f3s uma semana. Conclu\u00edmos que a vers\u00e3o brasileira da MIF tem boa equival\u00eancia cultural e boa reprodutibilidade. UNITERMOS Medida de independ\u00eancia funcional; reprodutibilidade; equival\u00eancia cultural; avalia\u00e7\u00e3o funcional; tradu\u00e7\u00e3o. SUMMARY A Brazilian version of Functional Independence Measure (FIM) was developed in a translation process to Brazilian Portuguese by a bilingual medical team and a professional translator, followed by a reverse translation to English by an independent traslator. No problems of cultural equivalence were identified in the resultant version when it was presented to a group of 25 clinicians trained in its use. Eight rehabilitation centers participated in the gathering of data for the study of reproductibility. Two independent observers evaluated, between December 1999 and January 2000, all adult stroke patients with more than 4 months of impairment onset at the same day and only one of these clinicians repeated the obse\u2026", "author" : [ { "dropping-particle" : "", "family" : "Riberto", "given" : "Marcelo", "non-dropping-particle" : "", "parse-names" : false, "suffix" : "" }, { "dropping-particle" : "", "family" : "Miyazaki", "given" : "MH", "non-dropping-particle" : "", "parse-names" : false, "suffix" : "" }, { "dropping-particle" : "", "family" : "Jorge Filho", "given" : "Donaldo", "non-dropping-particle" : "", "parse-names" : false, "suffix" : "" }, { "dropping-particle" : "", "family" : "Sakamoto", "given" : "Hatsue", "non-dropping-particle" : "", "parse-names" : false, "suffix" : "" }, { "dropping-particle" : "", "family" : "Battistella", "given" : "Linamara Rizzo", "non-dropping-particle" : "", "parse-names" : false, "suffix" : "" } ], "container-title" : "Acta Fisi\u00e1trica", "id" : "ITEM-1", "issue" : "1", "issued" : { "date-parts" : [ [ "2001" ] ] }, "page" : "45-52", "title" : "Reprodutibilidade da vers\u00e4o brasileira da Medida de Independ\u00eancia Funcional", "type" : "article-journal", "volume" : "8" }, "uris" : [ "http://www.mendeley.com/documents/?uuid=894281fc-eb9a-4c2e-ab36-2df779479288" ] }, { "id" : "ITEM-2", "itemData" : { "DOI" : "10.5935/0104-7795.20040003", "ISBN" : "1466-609X; 1364-8535", "ISSN" : "0104-7795", "PMID" : "20738852", "abstract" : "A vers\u00e3o brasileira de Medida de Independ\u00eancia Funcional (MIF) foi desenvolvida em 2000. Estudos de sua validade ainda s\u00e3o necess\u00e1rios como forma de corroborar seu uso na avalia\u00e7\u00e3o da reabilita\u00e7\u00e3o de brasileiros incapacitados, uma vez que peculiaridades socioculturais nacionais podem determinar um comportamento diverso dos dados fornecidos pelo instrumento. Objetivos: O objetivo deste estudo \u00e9 testar a validade de construto da MIF ao checar a validade convergente em grupos de pacientes com defici\u00eancias nas quais se esperam estar presentes graus espec\u00edficos de incapacidade. M\u00e9todo: Prontu\u00e1rios m\u00e9dicos de 150 pacientes com les\u00e3o medular (LM) e 103 pacientes com les\u00f5es encef\u00e1licas (LE) de dois centros de reabilita\u00e7\u00e3o da cidade de S\u00e3o Paulo forneceram dados a respeito de caracter\u00edsticas biodemogr\u00e1ficas, cl\u00ednicas e funcionais. O grau de incapacidade foi avaliado pela MIF. Os pacientes com LM foram classificados de acordo com o n\u00edvel de acometimento medular, como cervicais, tor\u00e1cicos ou lombares e abaixo. Pacientes com LE foram classificados conforme o dim\u00eddio mais comprometido como direito, esquerdo ou bilaterais. A sensibilidade da MIF foi testada em 93 pacientes com LE e 59 com LM por meio da compara\u00e7\u00e3o dos valores da MIF total, cognitiva e motora de admiss\u00e3o e alta. Resultados: entre os pacientes com LM pudemos demonstrar uma clara associa\u00e7\u00e3o entre o n\u00edvel de incapacidade e a MIF motora (cervical = 34.4 \u00b1 25.2, tor\u00e1cica = 51.6 \u00b1 19.5, lombar = 67.5 \u00b1 18.6; p &lt; 0.001). A MIF cognitiva apresentou um efeito teto entre os pacientes com les\u00e3o medular (85% dos pacientes tinham MIFc no valor mais alto poss\u00edvel), por outro lado, entre os pacientes com LE, isso n\u00e3o pode ser observado e houve uma associa\u00e7\u00e3o entre o valor obtido na MIFc e o lado envolvido, sendo os pacientes com envolvimento do hemicorpo esquerdo aqueles menos dependente em termos cognitivos. Houve mudan\u00e7a estatisticamente significante durante o tratamento, como pode ser observado pela varia\u00e7\u00e3o da MIFm em pacientes com LM e LE (44.5 \u00b1 24.1x 61.0 \u00b1 23.8; p &lt; 0.001 e 54.1 \u00b1 23.0 x 64.7 \u00b1 21.3; p &lt;0.001). O mesmo pode ser observado em pacientes com LE com comprometimento a esquerda e \u00e0 direita, mas n\u00e3o quando o comprometimento era bilateral. Conclus\u00e3o: a validade convergente da vers\u00e3o brasileira da MIF pode ser observada para as tarefas motoras tanto em pacientes com LM como LE. A MIFc mostrou-se de pouca utilidade entre os pacientes com LM cr\u00f4nico sob reabilita\u00e7\u00e3o ambulatorial, apesar de a associa\u00e7\u00e3o \u2026", "author" : [ { "dropping-particle" : "", "family" : "Riberto", "given" : "Marcelo", "non-dropping-particle" : "", "parse-names" : false, "suffix" : "" }, { "dropping-particle" : "", "family" : "Miyazaki", "given" : "Margarida H", "non-dropping-particle" : "", "parse-names" : false, "suffix" : "" }, { "dropping-particle" : "", "family" : "Juc\u00e1", "given" : "Sueli S H", "non-dropping-particle" : "", "parse-names" : false, "suffix" : "" }, { "dropping-particle" : "", "family" : "Sakamoto", "given" : "Hatsue", "non-dropping-particle" : "", "parse-names" : false, "suffix" : "" }, { "dropping-particle" : "", "family" : "Potiguara", "given" : "Paulo", "non-dropping-particle" : "", "parse-names" : false, "suffix" : "" }, { "dropping-particle" : "", "family" : "Pinto", "given" : "Novazzi", "non-dropping-particle" : "", "parse-names" : false, "suffix" : "" }, { "dropping-particle" : "", "family" : "Battistella", "given" : "Linamara R", "non-dropping-particle" : "", "parse-names" : false, "suffix" : "" } ], "container-title" : "Acta Fisiatrica", "id" : "ITEM-2", "issue" : "2", "issued" : { "date-parts" : [ [ "2004" ] ] }, "page" : "72-76", "title" : "Valida\u00e7\u00e3o da Vers\u00e3o Brasileira da Medida de Independ\u00eancia Funcional Validation of the Brazilian version of Functional Independence Measure", "type" : "article-journal", "volume" : "11" }, "uris" : [ "http://www.mendeley.com/documents/?uuid=645f3fd7-d546-43cf-8d35-39d344460b05" ] } ], "mendeley" : { "formattedCitation" : "&lt;sup&gt;61,62&lt;/sup&gt;", "plainTextFormattedCitation" : "61,62", "previouslyFormattedCitation" : "&lt;sup&gt;61,62&lt;/sup&gt;" }, "properties" : { "noteIndex" : 0 }, "schema" : "https://github.com/citation-style-language/schema/raw/master/csl-citation.json" }</w:instrText>
      </w:r>
      <w:r w:rsidR="00DE2690">
        <w:rPr>
          <w:rFonts w:ascii="Arial" w:hAnsi="Arial" w:cs="Arial"/>
          <w:sz w:val="24"/>
        </w:rPr>
        <w:fldChar w:fldCharType="separate"/>
      </w:r>
      <w:r w:rsidR="00412B48" w:rsidRPr="00412B48">
        <w:rPr>
          <w:rFonts w:ascii="Arial" w:hAnsi="Arial" w:cs="Arial"/>
          <w:noProof/>
          <w:sz w:val="24"/>
          <w:vertAlign w:val="superscript"/>
        </w:rPr>
        <w:t>61,62</w:t>
      </w:r>
      <w:r w:rsidR="00DE2690">
        <w:rPr>
          <w:rFonts w:ascii="Arial" w:hAnsi="Arial" w:cs="Arial"/>
          <w:sz w:val="24"/>
        </w:rPr>
        <w:fldChar w:fldCharType="end"/>
      </w:r>
    </w:p>
    <w:p w:rsidR="00A62F69" w:rsidRDefault="00A62F69" w:rsidP="0074007F">
      <w:pPr>
        <w:spacing w:after="0" w:line="360" w:lineRule="auto"/>
        <w:jc w:val="both"/>
        <w:rPr>
          <w:rFonts w:ascii="Arial" w:hAnsi="Arial" w:cs="Arial"/>
          <w:sz w:val="24"/>
        </w:rPr>
      </w:pPr>
    </w:p>
    <w:p w:rsidR="00325D09" w:rsidRDefault="00A33060" w:rsidP="0074007F">
      <w:pPr>
        <w:spacing w:after="0" w:line="360" w:lineRule="auto"/>
        <w:jc w:val="both"/>
        <w:rPr>
          <w:rFonts w:ascii="Arial" w:hAnsi="Arial" w:cs="Arial"/>
          <w:sz w:val="24"/>
        </w:rPr>
      </w:pPr>
      <w:r>
        <w:rPr>
          <w:rFonts w:ascii="Arial" w:hAnsi="Arial" w:cs="Arial"/>
          <w:sz w:val="24"/>
        </w:rPr>
        <w:t xml:space="preserve">Cada item </w:t>
      </w:r>
      <w:r w:rsidR="003433B5">
        <w:rPr>
          <w:rFonts w:ascii="Arial" w:hAnsi="Arial" w:cs="Arial"/>
          <w:sz w:val="24"/>
        </w:rPr>
        <w:t>da escala</w:t>
      </w:r>
      <w:r>
        <w:rPr>
          <w:rFonts w:ascii="Arial" w:hAnsi="Arial" w:cs="Arial"/>
          <w:sz w:val="24"/>
        </w:rPr>
        <w:t xml:space="preserve"> MIF é pontuado seguindo uma escala ordinal de dependência, graduada em sete níveis</w:t>
      </w:r>
      <w:r w:rsidR="00361948">
        <w:rPr>
          <w:rFonts w:ascii="Arial" w:hAnsi="Arial" w:cs="Arial"/>
          <w:sz w:val="24"/>
        </w:rPr>
        <w:t>:</w:t>
      </w:r>
      <w:r>
        <w:rPr>
          <w:rFonts w:ascii="Arial" w:hAnsi="Arial" w:cs="Arial"/>
          <w:sz w:val="24"/>
        </w:rPr>
        <w:t xml:space="preserve"> o nível 1 refere-se à </w:t>
      </w:r>
      <w:r w:rsidR="00A232DF">
        <w:rPr>
          <w:rFonts w:ascii="Arial" w:hAnsi="Arial" w:cs="Arial"/>
          <w:sz w:val="24"/>
        </w:rPr>
        <w:t xml:space="preserve">necessidade de assistência total </w:t>
      </w:r>
      <w:r w:rsidR="00DB60BA">
        <w:rPr>
          <w:rFonts w:ascii="Arial" w:hAnsi="Arial" w:cs="Arial"/>
          <w:sz w:val="24"/>
        </w:rPr>
        <w:t>para realização d</w:t>
      </w:r>
      <w:r w:rsidR="00A232DF">
        <w:rPr>
          <w:rFonts w:ascii="Arial" w:hAnsi="Arial" w:cs="Arial"/>
          <w:sz w:val="24"/>
        </w:rPr>
        <w:t xml:space="preserve">a atividade; </w:t>
      </w:r>
      <w:r w:rsidR="00E80FF7">
        <w:rPr>
          <w:rFonts w:ascii="Arial" w:hAnsi="Arial" w:cs="Arial"/>
          <w:sz w:val="24"/>
        </w:rPr>
        <w:t xml:space="preserve">o </w:t>
      </w:r>
      <w:r w:rsidR="009A5504">
        <w:rPr>
          <w:rFonts w:ascii="Arial" w:hAnsi="Arial" w:cs="Arial"/>
          <w:sz w:val="24"/>
        </w:rPr>
        <w:t>nível 2, necessidade de assistên</w:t>
      </w:r>
      <w:r w:rsidR="00763998">
        <w:rPr>
          <w:rFonts w:ascii="Arial" w:hAnsi="Arial" w:cs="Arial"/>
          <w:sz w:val="24"/>
        </w:rPr>
        <w:t>cia máxima (o indivíduo realiza entre</w:t>
      </w:r>
      <w:r w:rsidR="00E80FF7">
        <w:rPr>
          <w:rFonts w:ascii="Arial" w:hAnsi="Arial" w:cs="Arial"/>
          <w:sz w:val="24"/>
        </w:rPr>
        <w:t xml:space="preserve"> 25</w:t>
      </w:r>
      <w:r w:rsidR="00763998">
        <w:rPr>
          <w:rFonts w:ascii="Arial" w:hAnsi="Arial" w:cs="Arial"/>
          <w:sz w:val="24"/>
        </w:rPr>
        <w:t xml:space="preserve"> a 49</w:t>
      </w:r>
      <w:r w:rsidR="00E80FF7">
        <w:rPr>
          <w:rFonts w:ascii="Arial" w:hAnsi="Arial" w:cs="Arial"/>
          <w:sz w:val="24"/>
        </w:rPr>
        <w:t>% da tarefa); o nível 3</w:t>
      </w:r>
      <w:r w:rsidR="009A5504">
        <w:rPr>
          <w:rFonts w:ascii="Arial" w:hAnsi="Arial" w:cs="Arial"/>
          <w:sz w:val="24"/>
        </w:rPr>
        <w:t xml:space="preserve"> indica necessidade de assistência moderada (o indivíduo realiza</w:t>
      </w:r>
      <w:r w:rsidR="00763998">
        <w:rPr>
          <w:rFonts w:ascii="Arial" w:hAnsi="Arial" w:cs="Arial"/>
          <w:sz w:val="24"/>
        </w:rPr>
        <w:t xml:space="preserve"> </w:t>
      </w:r>
      <w:r w:rsidR="009A5504">
        <w:rPr>
          <w:rFonts w:ascii="Arial" w:hAnsi="Arial" w:cs="Arial"/>
          <w:sz w:val="24"/>
        </w:rPr>
        <w:t>50</w:t>
      </w:r>
      <w:r w:rsidR="00763998">
        <w:rPr>
          <w:rFonts w:ascii="Arial" w:hAnsi="Arial" w:cs="Arial"/>
          <w:sz w:val="24"/>
        </w:rPr>
        <w:t xml:space="preserve"> a 74</w:t>
      </w:r>
      <w:r w:rsidR="009A5504">
        <w:rPr>
          <w:rFonts w:ascii="Arial" w:hAnsi="Arial" w:cs="Arial"/>
          <w:sz w:val="24"/>
        </w:rPr>
        <w:t xml:space="preserve">% da tarefa); nível 4, assistência com contato mínimo do cuidador (o indivíduo realiza </w:t>
      </w:r>
      <w:r w:rsidR="009A5504" w:rsidRPr="009A5504">
        <w:rPr>
          <w:rFonts w:ascii="Arial" w:hAnsi="Arial" w:cs="Arial"/>
          <w:sz w:val="24"/>
          <w:u w:val="single"/>
        </w:rPr>
        <w:t>&gt;</w:t>
      </w:r>
      <w:r w:rsidR="00E80FF7">
        <w:rPr>
          <w:rFonts w:ascii="Arial" w:hAnsi="Arial" w:cs="Arial"/>
          <w:sz w:val="24"/>
        </w:rPr>
        <w:t xml:space="preserve"> 75% da tarefa).</w:t>
      </w:r>
      <w:r w:rsidR="005F365D">
        <w:rPr>
          <w:rFonts w:ascii="Arial" w:hAnsi="Arial" w:cs="Arial"/>
          <w:sz w:val="24"/>
        </w:rPr>
        <w:t xml:space="preserve"> </w:t>
      </w:r>
      <w:r w:rsidR="00E80FF7">
        <w:rPr>
          <w:rFonts w:ascii="Arial" w:hAnsi="Arial" w:cs="Arial"/>
          <w:sz w:val="24"/>
        </w:rPr>
        <w:t>O nível 5 é</w:t>
      </w:r>
      <w:r w:rsidR="009A5504">
        <w:rPr>
          <w:rFonts w:ascii="Arial" w:hAnsi="Arial" w:cs="Arial"/>
          <w:sz w:val="24"/>
        </w:rPr>
        <w:t xml:space="preserve"> quando o paciente necessita de supervisão, estímulo ou preparo para realizar a tarefa; </w:t>
      </w:r>
      <w:r w:rsidR="00AD1B68">
        <w:rPr>
          <w:rFonts w:ascii="Arial" w:hAnsi="Arial" w:cs="Arial"/>
          <w:sz w:val="24"/>
        </w:rPr>
        <w:t xml:space="preserve">o </w:t>
      </w:r>
      <w:r w:rsidR="009A5504">
        <w:rPr>
          <w:rFonts w:ascii="Arial" w:hAnsi="Arial" w:cs="Arial"/>
          <w:sz w:val="24"/>
        </w:rPr>
        <w:t>nível 6 indica independência modificada, com necessidade de ajuda técnica (</w:t>
      </w:r>
      <w:r w:rsidR="00E80FF7">
        <w:rPr>
          <w:rFonts w:ascii="Arial" w:hAnsi="Arial" w:cs="Arial"/>
          <w:sz w:val="24"/>
        </w:rPr>
        <w:t xml:space="preserve">uso de </w:t>
      </w:r>
      <w:r w:rsidR="009A5504">
        <w:rPr>
          <w:rFonts w:ascii="Arial" w:hAnsi="Arial" w:cs="Arial"/>
          <w:sz w:val="24"/>
        </w:rPr>
        <w:t>objeto ou instrumento de auxílio</w:t>
      </w:r>
      <w:r w:rsidR="000B78DA">
        <w:rPr>
          <w:rFonts w:ascii="Arial" w:hAnsi="Arial" w:cs="Arial"/>
          <w:sz w:val="24"/>
        </w:rPr>
        <w:t xml:space="preserve"> – órtese ou prótese, ou ainda, necessita de maior período de tempo para executar a tarefa</w:t>
      </w:r>
      <w:r w:rsidR="009A5504">
        <w:rPr>
          <w:rFonts w:ascii="Arial" w:hAnsi="Arial" w:cs="Arial"/>
          <w:sz w:val="24"/>
        </w:rPr>
        <w:t xml:space="preserve">); e o nível 7 refere-se </w:t>
      </w:r>
      <w:r>
        <w:rPr>
          <w:rFonts w:ascii="Arial" w:hAnsi="Arial" w:cs="Arial"/>
          <w:sz w:val="24"/>
        </w:rPr>
        <w:t>à independência completa para a atividade</w:t>
      </w:r>
      <w:r w:rsidR="009A5504">
        <w:rPr>
          <w:rFonts w:ascii="Arial" w:hAnsi="Arial" w:cs="Arial"/>
          <w:sz w:val="24"/>
        </w:rPr>
        <w:t xml:space="preserve"> (o paciente realiza a tarefa em tempo normal e em condição de segurança)</w:t>
      </w:r>
      <w:r w:rsidR="001D7999">
        <w:rPr>
          <w:rFonts w:ascii="Arial" w:hAnsi="Arial" w:cs="Arial"/>
          <w:sz w:val="24"/>
        </w:rPr>
        <w:t>.</w:t>
      </w:r>
      <w:r w:rsidR="009F4D83">
        <w:rPr>
          <w:rFonts w:ascii="Arial" w:hAnsi="Arial" w:cs="Arial"/>
          <w:sz w:val="24"/>
        </w:rPr>
        <w:fldChar w:fldCharType="begin" w:fldLock="1"/>
      </w:r>
      <w:r w:rsidR="00195481">
        <w:rPr>
          <w:rFonts w:ascii="Arial" w:hAnsi="Arial" w:cs="Arial"/>
          <w:sz w:val="24"/>
        </w:rPr>
        <w:instrText>ADDIN CSL_CITATION { "citationItems" : [ { "id" : "ITEM-1", "itemData" : { "DOI" : "10.5935/0104-7795.20040003", "ISBN" : "1466-609X; 1364-8535", "ISSN" : "0104-7795", "PMID" : "20738852", "abstract" : "A vers\u00e3o brasileira de Medida de Independ\u00eancia Funcional (MIF) foi desenvolvida em 2000. Estudos de sua validade ainda s\u00e3o necess\u00e1rios como forma de corroborar seu uso na avalia\u00e7\u00e3o da reabilita\u00e7\u00e3o de brasileiros incapacitados, uma vez que peculiaridades socioculturais nacionais podem determinar um comportamento diverso dos dados fornecidos pelo instrumento. Objetivos: O objetivo deste estudo \u00e9 testar a validade de construto da MIF ao checar a validade convergente em grupos de pacientes com defici\u00eancias nas quais se esperam estar presentes graus espec\u00edficos de incapacidade. M\u00e9todo: Prontu\u00e1rios m\u00e9dicos de 150 pacientes com les\u00e3o medular (LM) e 103 pacientes com les\u00f5es encef\u00e1licas (LE) de dois centros de reabilita\u00e7\u00e3o da cidade de S\u00e3o Paulo forneceram dados a respeito de caracter\u00edsticas biodemogr\u00e1ficas, cl\u00ednicas e funcionais. O grau de incapacidade foi avaliado pela MIF. Os pacientes com LM foram classificados de acordo com o n\u00edvel de acometimento medular, como cervicais, tor\u00e1cicos ou lombares e abaixo. Pacientes com LE foram classificados conforme o dim\u00eddio mais comprometido como direito, esquerdo ou bilaterais. A sensibilidade da MIF foi testada em 93 pacientes com LE e 59 com LM por meio da compara\u00e7\u00e3o dos valores da MIF total, cognitiva e motora de admiss\u00e3o e alta. Resultados: entre os pacientes com LM pudemos demonstrar uma clara associa\u00e7\u00e3o entre o n\u00edvel de incapacidade e a MIF motora (cervical = 34.4 \u00b1 25.2, tor\u00e1cica = 51.6 \u00b1 19.5, lombar = 67.5 \u00b1 18.6; p &lt; 0.001). A MIF cognitiva apresentou um efeito teto entre os pacientes com les\u00e3o medular (85% dos pacientes tinham MIFc no valor mais alto poss\u00edvel), por outro lado, entre os pacientes com LE, isso n\u00e3o pode ser observado e houve uma associa\u00e7\u00e3o entre o valor obtido na MIFc e o lado envolvido, sendo os pacientes com envolvimento do hemicorpo esquerdo aqueles menos dependente em termos cognitivos. Houve mudan\u00e7a estatisticamente significante durante o tratamento, como pode ser observado pela varia\u00e7\u00e3o da MIFm em pacientes com LM e LE (44.5 \u00b1 24.1x 61.0 \u00b1 23.8; p &lt; 0.001 e 54.1 \u00b1 23.0 x 64.7 \u00b1 21.3; p &lt;0.001). O mesmo pode ser observado em pacientes com LE com comprometimento a esquerda e \u00e0 direita, mas n\u00e3o quando o comprometimento era bilateral. Conclus\u00e3o: a validade convergente da vers\u00e3o brasileira da MIF pode ser observada para as tarefas motoras tanto em pacientes com LM como LE. A MIFc mostrou-se de pouca utilidade entre os pacientes com LM cr\u00f4nico sob reabilita\u00e7\u00e3o ambulatorial, apesar de a associa\u00e7\u00e3o \u2026", "author" : [ { "dropping-particle" : "", "family" : "Riberto", "given" : "Marcelo", "non-dropping-particle" : "", "parse-names" : false, "suffix" : "" }, { "dropping-particle" : "", "family" : "Miyazaki", "given" : "Margarida H", "non-dropping-particle" : "", "parse-names" : false, "suffix" : "" }, { "dropping-particle" : "", "family" : "Juc\u00e1", "given" : "Sueli S H", "non-dropping-particle" : "", "parse-names" : false, "suffix" : "" }, { "dropping-particle" : "", "family" : "Sakamoto", "given" : "Hatsue", "non-dropping-particle" : "", "parse-names" : false, "suffix" : "" }, { "dropping-particle" : "", "family" : "Potiguara", "given" : "Paulo", "non-dropping-particle" : "", "parse-names" : false, "suffix" : "" }, { "dropping-particle" : "", "family" : "Pinto", "given" : "Novazzi", "non-dropping-particle" : "", "parse-names" : false, "suffix" : "" }, { "dropping-particle" : "", "family" : "Battistella", "given" : "Linamara R", "non-dropping-particle" : "", "parse-names" : false, "suffix" : "" } ], "container-title" : "Acta Fisiatrica", "id" : "ITEM-1", "issue" : "2", "issued" : { "date-parts" : [ [ "2004" ] ] }, "page" : "72-76", "title" : "Valida\u00e7\u00e3o da Vers\u00e3o Brasileira da Medida de Independ\u00eancia Funcional Validation of the Brazilian version of Functional Independence Measure", "type" : "article-journal", "volume" : "11" }, "uris" : [ "http://www.mendeley.com/documents/?uuid=645f3fd7-d546-43cf-8d35-39d344460b05" ] }, { "id" : "ITEM-2", "itemData" : { "DOI" : "10.1590/S0103-51502012000200011", "ISSN" : "0103-5150", "author" : [ { "dropping-particle" : "", "family" : "Fernandes", "given" : "Marina Bessi", "non-dropping-particle" : "", "parse-names" : false, "suffix" : "" }, { "dropping-particle" : "", "family" : "Cabral", "given" : "Dinalva Lacerda", "non-dropping-particle" : "", "parse-names" : false, "suffix" : "" }, { "dropping-particle" : "", "family" : "Souza", "given" : "Renata Jana\u00edna Pereira", "non-dropping-particle" : "", "parse-names" : false, "suffix" : "" }, { "dropping-particle" : "", "family" : "Sekitani", "given" : "Hamilton Yoshiaki", "non-dropping-particle" : "", "parse-names" : false, "suffix" : "" }, { "dropping-particle" : "", "family" : "Teixeira-salmela", "given" : "Luci Fuscaldi", "non-dropping-particle" : "", "parse-names" : false, "suffix" : "" }, { "dropping-particle" : "", "family" : "Laurentino", "given" : "Gl\u00f3ria Elizabeth Carneiro", "non-dropping-particle" : "", "parse-names" : false, "suffix" : "" } ], "container-title" : "Fisioterapia e Movimento", "id" : "ITEM-2", "issue" : "2", "issued" : { "date-parts" : [ [ "2012" ] ] }, "page" : "333-341", "title" : "Independ\u00eancia funcional de indiv\u00edduos hemipar\u00e9ticos cr\u00f4nicos e sua rela\u00e7\u00e3o com a fisioterapia Functional independence of individuals with chronic hemiparesis and its relation to physiotherapy", "type" : "article-journal", "volume" : "25" }, "uris" : [ "http://www.mendeley.com/documents/?uuid=7bdd1e1b-9944-40fb-82ac-a76ec63e76b5" ] }, { "id" : "ITEM-3", "itemData" : { "DOI" : "10.5935/0103-507X.20130019", "ISSN" : "0103507X", "PMID" : "23917973", "abstract" : "OBJECTIVE: 1) To evaluate the functional independence measures immediately after discharge from an intensive care unit and to compare these values with the FIMs 30 days after that period. 2) To evaluate the possible associated risk factors.\\n\\nMETHODS: The present investigation was a prospective cohort study that included individuals who were discharged from the intensive care unit and underwent physiotherapy in the unit. Functional independence was evaluated using the functional independence measure immediately upon discharge from the intensive care unit and 30 days thereafter via a phone call. The patients were admitted to the Hospital Santa Clara intensive care unit during the period from May 2011 to August 2011.\\n\\nRESULTS: During the predetermined period of data collection, 44 patients met the criteria for inclusion in the study. The mean age of the patients was 55.4\u00b110.5 years. Twenty-seven of the subjects were female, and 15 patients were admitted due to pulmonary disease. The patients exhibited an functional independence measure of 84.1\u00b124.2. When this measure was compared to the measure at 30 days after discharge, there was improvement across the functional independence variables except for that concerned with sphincter control. There were no significant differences when comparing the gender, age, clinical diagnosis, length of stay in the intensive care unit, duration of mechanical ventilation, and the presence of sepsis during this period.\\n\\nCONCLUSION: Functional independence, as evaluated by the functional independence measure scale, was improved at 30 days after discharge from the intensive care unit, but it was not possible to define the potentially related factors.", "author" : [ { "dropping-particle" : "", "family" : "Curzel", "given" : "Juliane", "non-dropping-particle" : "", "parse-names" : false, "suffix" : "" }, { "dropping-particle" : "", "family" : "Forgiarini Junior", "given" : "Luiz Alberto", "non-dropping-particle" : "", "parse-names" : false, "suffix" : "" }, { "dropping-particle" : "", "family" : "Rieder", "given" : "Marcelo de Mello", "non-dropping-particle" : "", "parse-names" : false, "suffix" : "" } ], "container-title" : "Revista Brasileira de Terapia Intensiva", "id" : "ITEM-3", "issue" : "2", "issued" : { "date-parts" : [ [ "2013" ] ] }, "page" : "93-98", "title" : "Evaluation of functional independence after discharge from the intensive care unit", "type" : "article-journal", "volume" : "25" }, "uris" : [ "http://www.mendeley.com/documents/?uuid=6de1ac0f-2c80-4882-a5cd-8d07b5ad6b73" ] } ], "mendeley" : { "formattedCitation" : "&lt;sup&gt;61,63,99&lt;/sup&gt;", "plainTextFormattedCitation" : "61,63,99", "previouslyFormattedCitation" : "&lt;sup&gt;61,63,99&lt;/sup&gt;" }, "properties" : { "noteIndex" : 0 }, "schema" : "https://github.com/citation-style-language/schema/raw/master/csl-citation.json" }</w:instrText>
      </w:r>
      <w:r w:rsidR="009F4D83">
        <w:rPr>
          <w:rFonts w:ascii="Arial" w:hAnsi="Arial" w:cs="Arial"/>
          <w:sz w:val="24"/>
        </w:rPr>
        <w:fldChar w:fldCharType="separate"/>
      </w:r>
      <w:r w:rsidR="00412B48" w:rsidRPr="00412B48">
        <w:rPr>
          <w:rFonts w:ascii="Arial" w:hAnsi="Arial" w:cs="Arial"/>
          <w:noProof/>
          <w:sz w:val="24"/>
          <w:vertAlign w:val="superscript"/>
        </w:rPr>
        <w:t>61,63,99</w:t>
      </w:r>
      <w:r w:rsidR="009F4D83">
        <w:rPr>
          <w:rFonts w:ascii="Arial" w:hAnsi="Arial" w:cs="Arial"/>
          <w:sz w:val="24"/>
        </w:rPr>
        <w:fldChar w:fldCharType="end"/>
      </w:r>
    </w:p>
    <w:p w:rsidR="00952873" w:rsidRDefault="00952873" w:rsidP="001018B9">
      <w:pPr>
        <w:spacing w:after="0" w:line="360" w:lineRule="auto"/>
        <w:jc w:val="both"/>
        <w:rPr>
          <w:rFonts w:ascii="Arial" w:hAnsi="Arial" w:cs="Arial"/>
          <w:sz w:val="24"/>
        </w:rPr>
      </w:pPr>
    </w:p>
    <w:p w:rsidR="00E80FF7" w:rsidRDefault="00365DFF" w:rsidP="001018B9">
      <w:pPr>
        <w:spacing w:after="0" w:line="360" w:lineRule="auto"/>
        <w:jc w:val="both"/>
        <w:rPr>
          <w:rFonts w:ascii="Arial" w:hAnsi="Arial" w:cs="Arial"/>
          <w:sz w:val="24"/>
        </w:rPr>
      </w:pPr>
      <w:r>
        <w:rPr>
          <w:rFonts w:ascii="Arial" w:hAnsi="Arial" w:cs="Arial"/>
          <w:sz w:val="24"/>
        </w:rPr>
        <w:lastRenderedPageBreak/>
        <w:t>A partir da soma dos pontos atribuídos a cada item que compõe o instrumento</w:t>
      </w:r>
      <w:r w:rsidR="00FA4787">
        <w:rPr>
          <w:rFonts w:ascii="Arial" w:hAnsi="Arial" w:cs="Arial"/>
          <w:sz w:val="24"/>
        </w:rPr>
        <w:t>,</w:t>
      </w:r>
      <w:r>
        <w:rPr>
          <w:rFonts w:ascii="Arial" w:hAnsi="Arial" w:cs="Arial"/>
          <w:sz w:val="24"/>
        </w:rPr>
        <w:t xml:space="preserve"> tem-se a pontuação </w:t>
      </w:r>
      <w:r w:rsidR="006D33CC">
        <w:rPr>
          <w:rFonts w:ascii="Arial" w:hAnsi="Arial" w:cs="Arial"/>
          <w:sz w:val="24"/>
        </w:rPr>
        <w:t xml:space="preserve">dos respectivos domínios e </w:t>
      </w:r>
      <w:r w:rsidR="00340100">
        <w:rPr>
          <w:rFonts w:ascii="Arial" w:hAnsi="Arial" w:cs="Arial"/>
          <w:sz w:val="24"/>
        </w:rPr>
        <w:t>o escore</w:t>
      </w:r>
      <w:r w:rsidR="006D33CC">
        <w:rPr>
          <w:rFonts w:ascii="Arial" w:hAnsi="Arial" w:cs="Arial"/>
          <w:sz w:val="24"/>
        </w:rPr>
        <w:t xml:space="preserve"> </w:t>
      </w:r>
      <w:r>
        <w:rPr>
          <w:rFonts w:ascii="Arial" w:hAnsi="Arial" w:cs="Arial"/>
          <w:sz w:val="24"/>
        </w:rPr>
        <w:t xml:space="preserve">total. Assim, </w:t>
      </w:r>
      <w:r w:rsidR="004C2B50">
        <w:rPr>
          <w:rFonts w:ascii="Arial" w:hAnsi="Arial" w:cs="Arial"/>
          <w:sz w:val="24"/>
        </w:rPr>
        <w:t>o domínio motor d</w:t>
      </w:r>
      <w:r>
        <w:rPr>
          <w:rFonts w:ascii="Arial" w:hAnsi="Arial" w:cs="Arial"/>
          <w:sz w:val="24"/>
        </w:rPr>
        <w:t>a MIF p</w:t>
      </w:r>
      <w:r w:rsidR="004C2B50">
        <w:rPr>
          <w:rFonts w:ascii="Arial" w:hAnsi="Arial" w:cs="Arial"/>
          <w:sz w:val="24"/>
        </w:rPr>
        <w:t>ode variar de 13 a 91 pontos</w:t>
      </w:r>
      <w:r w:rsidR="0084050B">
        <w:rPr>
          <w:rFonts w:ascii="Arial" w:hAnsi="Arial" w:cs="Arial"/>
          <w:sz w:val="24"/>
        </w:rPr>
        <w:t>;</w:t>
      </w:r>
      <w:r w:rsidR="004C2B50">
        <w:rPr>
          <w:rFonts w:ascii="Arial" w:hAnsi="Arial" w:cs="Arial"/>
          <w:sz w:val="24"/>
        </w:rPr>
        <w:t xml:space="preserve"> o </w:t>
      </w:r>
      <w:r>
        <w:rPr>
          <w:rFonts w:ascii="Arial" w:hAnsi="Arial" w:cs="Arial"/>
          <w:sz w:val="24"/>
        </w:rPr>
        <w:t>cognitiv</w:t>
      </w:r>
      <w:r w:rsidR="004C2B50">
        <w:rPr>
          <w:rFonts w:ascii="Arial" w:hAnsi="Arial" w:cs="Arial"/>
          <w:sz w:val="24"/>
        </w:rPr>
        <w:t>o</w:t>
      </w:r>
      <w:r w:rsidR="006D33CC">
        <w:rPr>
          <w:rFonts w:ascii="Arial" w:hAnsi="Arial" w:cs="Arial"/>
          <w:sz w:val="24"/>
        </w:rPr>
        <w:t xml:space="preserve"> de 5 a 35 pontos</w:t>
      </w:r>
      <w:r w:rsidR="0084050B">
        <w:rPr>
          <w:rFonts w:ascii="Arial" w:hAnsi="Arial" w:cs="Arial"/>
          <w:sz w:val="24"/>
        </w:rPr>
        <w:t>;</w:t>
      </w:r>
      <w:r>
        <w:rPr>
          <w:rFonts w:ascii="Arial" w:hAnsi="Arial" w:cs="Arial"/>
          <w:sz w:val="24"/>
        </w:rPr>
        <w:t xml:space="preserve"> e o escore total da escala pode ter o valor mínimo de 18 e</w:t>
      </w:r>
      <w:r w:rsidR="006D33CC">
        <w:rPr>
          <w:rFonts w:ascii="Arial" w:hAnsi="Arial" w:cs="Arial"/>
          <w:sz w:val="24"/>
        </w:rPr>
        <w:t xml:space="preserve"> o</w:t>
      </w:r>
      <w:r w:rsidR="001D7999">
        <w:rPr>
          <w:rFonts w:ascii="Arial" w:hAnsi="Arial" w:cs="Arial"/>
          <w:sz w:val="24"/>
        </w:rPr>
        <w:t xml:space="preserve"> máximo de 126 pontos. Q</w:t>
      </w:r>
      <w:r>
        <w:rPr>
          <w:rFonts w:ascii="Arial" w:hAnsi="Arial" w:cs="Arial"/>
          <w:sz w:val="24"/>
        </w:rPr>
        <w:t>uanto menor a pontuação</w:t>
      </w:r>
      <w:r w:rsidR="001D7999">
        <w:rPr>
          <w:rFonts w:ascii="Arial" w:hAnsi="Arial" w:cs="Arial"/>
          <w:sz w:val="24"/>
        </w:rPr>
        <w:t>,</w:t>
      </w:r>
      <w:r>
        <w:rPr>
          <w:rFonts w:ascii="Arial" w:hAnsi="Arial" w:cs="Arial"/>
          <w:sz w:val="24"/>
        </w:rPr>
        <w:t xml:space="preserve"> maior será </w:t>
      </w:r>
      <w:r w:rsidR="00E31056">
        <w:rPr>
          <w:rFonts w:ascii="Arial" w:hAnsi="Arial" w:cs="Arial"/>
          <w:sz w:val="24"/>
        </w:rPr>
        <w:t>a necessidade de auxílio para realização da tarefa</w:t>
      </w:r>
      <w:r w:rsidR="001D7999">
        <w:rPr>
          <w:rFonts w:ascii="Arial" w:hAnsi="Arial" w:cs="Arial"/>
          <w:sz w:val="24"/>
        </w:rPr>
        <w:t>.</w:t>
      </w:r>
      <w:r w:rsidR="00C049BF">
        <w:rPr>
          <w:rFonts w:ascii="Arial" w:hAnsi="Arial" w:cs="Arial"/>
          <w:sz w:val="24"/>
        </w:rPr>
        <w:fldChar w:fldCharType="begin" w:fldLock="1"/>
      </w:r>
      <w:r w:rsidR="00195481">
        <w:rPr>
          <w:rFonts w:ascii="Arial" w:hAnsi="Arial" w:cs="Arial"/>
          <w:sz w:val="24"/>
        </w:rPr>
        <w:instrText>ADDIN CSL_CITATION { "citationItems" : [ { "id" : "ITEM-1", "itemData" : { "DOI" : "10.5935/0104-7795.20040003", "ISBN" : "1466-609X; 1364-8535", "ISSN" : "0104-7795", "PMID" : "20738852", "abstract" : "A vers\u00e3o brasileira de Medida de Independ\u00eancia Funcional (MIF) foi desenvolvida em 2000. Estudos de sua validade ainda s\u00e3o necess\u00e1rios como forma de corroborar seu uso na avalia\u00e7\u00e3o da reabilita\u00e7\u00e3o de brasileiros incapacitados, uma vez que peculiaridades socioculturais nacionais podem determinar um comportamento diverso dos dados fornecidos pelo instrumento. Objetivos: O objetivo deste estudo \u00e9 testar a validade de construto da MIF ao checar a validade convergente em grupos de pacientes com defici\u00eancias nas quais se esperam estar presentes graus espec\u00edficos de incapacidade. M\u00e9todo: Prontu\u00e1rios m\u00e9dicos de 150 pacientes com les\u00e3o medular (LM) e 103 pacientes com les\u00f5es encef\u00e1licas (LE) de dois centros de reabilita\u00e7\u00e3o da cidade de S\u00e3o Paulo forneceram dados a respeito de caracter\u00edsticas biodemogr\u00e1ficas, cl\u00ednicas e funcionais. O grau de incapacidade foi avaliado pela MIF. Os pacientes com LM foram classificados de acordo com o n\u00edvel de acometimento medular, como cervicais, tor\u00e1cicos ou lombares e abaixo. Pacientes com LE foram classificados conforme o dim\u00eddio mais comprometido como direito, esquerdo ou bilaterais. A sensibilidade da MIF foi testada em 93 pacientes com LE e 59 com LM por meio da compara\u00e7\u00e3o dos valores da MIF total, cognitiva e motora de admiss\u00e3o e alta. Resultados: entre os pacientes com LM pudemos demonstrar uma clara associa\u00e7\u00e3o entre o n\u00edvel de incapacidade e a MIF motora (cervical = 34.4 \u00b1 25.2, tor\u00e1cica = 51.6 \u00b1 19.5, lombar = 67.5 \u00b1 18.6; p &lt; 0.001). A MIF cognitiva apresentou um efeito teto entre os pacientes com les\u00e3o medular (85% dos pacientes tinham MIFc no valor mais alto poss\u00edvel), por outro lado, entre os pacientes com LE, isso n\u00e3o pode ser observado e houve uma associa\u00e7\u00e3o entre o valor obtido na MIFc e o lado envolvido, sendo os pacientes com envolvimento do hemicorpo esquerdo aqueles menos dependente em termos cognitivos. Houve mudan\u00e7a estatisticamente significante durante o tratamento, como pode ser observado pela varia\u00e7\u00e3o da MIFm em pacientes com LM e LE (44.5 \u00b1 24.1x 61.0 \u00b1 23.8; p &lt; 0.001 e 54.1 \u00b1 23.0 x 64.7 \u00b1 21.3; p &lt;0.001). O mesmo pode ser observado em pacientes com LE com comprometimento a esquerda e \u00e0 direita, mas n\u00e3o quando o comprometimento era bilateral. Conclus\u00e3o: a validade convergente da vers\u00e3o brasileira da MIF pode ser observada para as tarefas motoras tanto em pacientes com LM como LE. A MIFc mostrou-se de pouca utilidade entre os pacientes com LM cr\u00f4nico sob reabilita\u00e7\u00e3o ambulatorial, apesar de a associa\u00e7\u00e3o \u2026", "author" : [ { "dropping-particle" : "", "family" : "Riberto", "given" : "Marcelo", "non-dropping-particle" : "", "parse-names" : false, "suffix" : "" }, { "dropping-particle" : "", "family" : "Miyazaki", "given" : "Margarida H", "non-dropping-particle" : "", "parse-names" : false, "suffix" : "" }, { "dropping-particle" : "", "family" : "Juc\u00e1", "given" : "Sueli S H", "non-dropping-particle" : "", "parse-names" : false, "suffix" : "" }, { "dropping-particle" : "", "family" : "Sakamoto", "given" : "Hatsue", "non-dropping-particle" : "", "parse-names" : false, "suffix" : "" }, { "dropping-particle" : "", "family" : "Potiguara", "given" : "Paulo", "non-dropping-particle" : "", "parse-names" : false, "suffix" : "" }, { "dropping-particle" : "", "family" : "Pinto", "given" : "Novazzi", "non-dropping-particle" : "", "parse-names" : false, "suffix" : "" }, { "dropping-particle" : "", "family" : "Battistella", "given" : "Linamara R", "non-dropping-particle" : "", "parse-names" : false, "suffix" : "" } ], "container-title" : "Acta Fisiatrica", "id" : "ITEM-1", "issue" : "2", "issued" : { "date-parts" : [ [ "2004" ] ] }, "page" : "72-76", "title" : "Valida\u00e7\u00e3o da Vers\u00e3o Brasileira da Medida de Independ\u00eancia Funcional Validation of the Brazilian version of Functional Independence Measure", "type" : "article-journal", "volume" : "11" }, "uris" : [ "http://www.mendeley.com/documents/?uuid=645f3fd7-d546-43cf-8d35-39d344460b05" ] }, { "id" : "ITEM-2", "itemData" : { "author" : [ { "dropping-particle" : "", "family" : "Ricci", "given" : "NA", "non-dropping-particle" : "", "parse-names" : false, "suffix" : "" }, { "dropping-particle" : "", "family" : "Lemos", "given" : "ND", "non-dropping-particle" : "", "parse-names" : false, "suffix" : "" }, { "dropping-particle" : "", "family" : "Orrico", "given" : "KF", "non-dropping-particle" : "", "parse-names" : false, "suffix" : "" }, { "dropping-particle" : "", "family" : "Gazzola", "given" : "JM", "non-dropping-particle" : "", "parse-names" : false, "suffix" : "" } ], "container-title" : "Acta Fisiatrica", "id" : "ITEM-2", "issue" : "1", "issued" : { "date-parts" : [ [ "2006" ] ] }, "page" : "26-31", "title" : "Evolu\u00e7\u00e3o da independ\u00eancia funcional de idosos atendidos em programa de assist\u00eancia domicili\u00e1ria pela \u00f3ptica do cui- dador", "type" : "article-journal", "volume" : "13" }, "uris" : [ "http://www.mendeley.com/documents/?uuid=e2352d22-51e6-431a-93fd-6aee7eba4636" ] } ], "mendeley" : { "formattedCitation" : "&lt;sup&gt;61,100&lt;/sup&gt;", "plainTextFormattedCitation" : "61,100", "previouslyFormattedCitation" : "&lt;sup&gt;61,100&lt;/sup&gt;" }, "properties" : { "noteIndex" : 0 }, "schema" : "https://github.com/citation-style-language/schema/raw/master/csl-citation.json" }</w:instrText>
      </w:r>
      <w:r w:rsidR="00C049BF">
        <w:rPr>
          <w:rFonts w:ascii="Arial" w:hAnsi="Arial" w:cs="Arial"/>
          <w:sz w:val="24"/>
        </w:rPr>
        <w:fldChar w:fldCharType="separate"/>
      </w:r>
      <w:r w:rsidR="00412B48" w:rsidRPr="00412B48">
        <w:rPr>
          <w:rFonts w:ascii="Arial" w:hAnsi="Arial" w:cs="Arial"/>
          <w:noProof/>
          <w:sz w:val="24"/>
          <w:vertAlign w:val="superscript"/>
        </w:rPr>
        <w:t>61,100</w:t>
      </w:r>
      <w:r w:rsidR="00C049BF">
        <w:rPr>
          <w:rFonts w:ascii="Arial" w:hAnsi="Arial" w:cs="Arial"/>
          <w:sz w:val="24"/>
        </w:rPr>
        <w:fldChar w:fldCharType="end"/>
      </w:r>
    </w:p>
    <w:p w:rsidR="0036364B" w:rsidRDefault="0036364B" w:rsidP="001018B9">
      <w:pPr>
        <w:spacing w:after="0" w:line="360" w:lineRule="auto"/>
        <w:jc w:val="both"/>
        <w:rPr>
          <w:rFonts w:ascii="Arial" w:hAnsi="Arial" w:cs="Arial"/>
          <w:sz w:val="24"/>
        </w:rPr>
      </w:pPr>
    </w:p>
    <w:p w:rsidR="000A48C1" w:rsidRDefault="001D7999" w:rsidP="001018B9">
      <w:pPr>
        <w:spacing w:after="0" w:line="360" w:lineRule="auto"/>
        <w:jc w:val="both"/>
        <w:rPr>
          <w:rFonts w:ascii="Arial" w:hAnsi="Arial" w:cs="Arial"/>
          <w:sz w:val="24"/>
        </w:rPr>
      </w:pPr>
      <w:r>
        <w:rPr>
          <w:rFonts w:ascii="Arial" w:hAnsi="Arial" w:cs="Arial"/>
          <w:sz w:val="24"/>
        </w:rPr>
        <w:t>Em relação</w:t>
      </w:r>
      <w:r w:rsidR="009C72C1">
        <w:rPr>
          <w:rFonts w:ascii="Arial" w:hAnsi="Arial" w:cs="Arial"/>
          <w:sz w:val="24"/>
        </w:rPr>
        <w:t xml:space="preserve"> </w:t>
      </w:r>
      <w:r w:rsidR="00056B0D">
        <w:rPr>
          <w:rFonts w:ascii="Arial" w:hAnsi="Arial" w:cs="Arial"/>
          <w:sz w:val="24"/>
        </w:rPr>
        <w:t>à categorização d</w:t>
      </w:r>
      <w:r w:rsidR="009C72C1">
        <w:rPr>
          <w:rFonts w:ascii="Arial" w:hAnsi="Arial" w:cs="Arial"/>
          <w:sz w:val="24"/>
        </w:rPr>
        <w:t>os níveis de dependência, a</w:t>
      </w:r>
      <w:r w:rsidR="0065073D">
        <w:rPr>
          <w:rFonts w:ascii="Arial" w:hAnsi="Arial" w:cs="Arial"/>
          <w:sz w:val="24"/>
        </w:rPr>
        <w:t xml:space="preserve"> MIF é classificada </w:t>
      </w:r>
      <w:r w:rsidR="00106F7D">
        <w:rPr>
          <w:rFonts w:ascii="Arial" w:hAnsi="Arial" w:cs="Arial"/>
          <w:sz w:val="24"/>
        </w:rPr>
        <w:t>em quatro subescores, de acordo com a pontuação total:</w:t>
      </w:r>
      <w:r w:rsidR="009C72C1">
        <w:rPr>
          <w:rFonts w:ascii="Arial" w:hAnsi="Arial" w:cs="Arial"/>
          <w:sz w:val="24"/>
        </w:rPr>
        <w:t xml:space="preserve"> 18 pontos – </w:t>
      </w:r>
      <w:r w:rsidR="0065073D">
        <w:rPr>
          <w:rFonts w:ascii="Arial" w:hAnsi="Arial" w:cs="Arial"/>
          <w:sz w:val="24"/>
        </w:rPr>
        <w:t xml:space="preserve">indica </w:t>
      </w:r>
      <w:r w:rsidR="00106F7D">
        <w:rPr>
          <w:rFonts w:ascii="Arial" w:hAnsi="Arial" w:cs="Arial"/>
          <w:sz w:val="24"/>
        </w:rPr>
        <w:t>dependência completa</w:t>
      </w:r>
      <w:r w:rsidR="0040004E">
        <w:rPr>
          <w:rFonts w:ascii="Arial" w:hAnsi="Arial" w:cs="Arial"/>
          <w:sz w:val="24"/>
        </w:rPr>
        <w:t xml:space="preserve">, com necessidade de </w:t>
      </w:r>
      <w:r w:rsidR="00106F7D">
        <w:rPr>
          <w:rFonts w:ascii="Arial" w:hAnsi="Arial" w:cs="Arial"/>
          <w:sz w:val="24"/>
        </w:rPr>
        <w:t>assistência total</w:t>
      </w:r>
      <w:r w:rsidR="009C72C1">
        <w:rPr>
          <w:rFonts w:ascii="Arial" w:hAnsi="Arial" w:cs="Arial"/>
          <w:sz w:val="24"/>
        </w:rPr>
        <w:t xml:space="preserve">; 19 a 60 pontos – </w:t>
      </w:r>
      <w:r w:rsidR="00106F7D">
        <w:rPr>
          <w:rFonts w:ascii="Arial" w:hAnsi="Arial" w:cs="Arial"/>
          <w:sz w:val="24"/>
        </w:rPr>
        <w:t>dependência modificada</w:t>
      </w:r>
      <w:r w:rsidR="0040004E">
        <w:rPr>
          <w:rFonts w:ascii="Arial" w:hAnsi="Arial" w:cs="Arial"/>
          <w:sz w:val="24"/>
        </w:rPr>
        <w:t xml:space="preserve">, com </w:t>
      </w:r>
      <w:r w:rsidR="00106F7D">
        <w:rPr>
          <w:rFonts w:ascii="Arial" w:hAnsi="Arial" w:cs="Arial"/>
          <w:sz w:val="24"/>
        </w:rPr>
        <w:t>assistência de até 5</w:t>
      </w:r>
      <w:r w:rsidR="009C72C1">
        <w:rPr>
          <w:rFonts w:ascii="Arial" w:hAnsi="Arial" w:cs="Arial"/>
          <w:sz w:val="24"/>
        </w:rPr>
        <w:t>0% n</w:t>
      </w:r>
      <w:r w:rsidR="005C500A">
        <w:rPr>
          <w:rFonts w:ascii="Arial" w:hAnsi="Arial" w:cs="Arial"/>
          <w:sz w:val="24"/>
        </w:rPr>
        <w:t>as</w:t>
      </w:r>
      <w:r w:rsidR="009C72C1">
        <w:rPr>
          <w:rFonts w:ascii="Arial" w:hAnsi="Arial" w:cs="Arial"/>
          <w:sz w:val="24"/>
        </w:rPr>
        <w:t xml:space="preserve"> tarefa</w:t>
      </w:r>
      <w:r w:rsidR="005C500A">
        <w:rPr>
          <w:rFonts w:ascii="Arial" w:hAnsi="Arial" w:cs="Arial"/>
          <w:sz w:val="24"/>
        </w:rPr>
        <w:t>s</w:t>
      </w:r>
      <w:r w:rsidR="009C72C1">
        <w:rPr>
          <w:rFonts w:ascii="Arial" w:hAnsi="Arial" w:cs="Arial"/>
          <w:sz w:val="24"/>
        </w:rPr>
        <w:t>; 61 a 103 pontos – dependência modificada</w:t>
      </w:r>
      <w:r w:rsidR="0040004E">
        <w:rPr>
          <w:rFonts w:ascii="Arial" w:hAnsi="Arial" w:cs="Arial"/>
          <w:sz w:val="24"/>
        </w:rPr>
        <w:t>, com necessidade de assistência de até 25% na</w:t>
      </w:r>
      <w:r w:rsidR="005C500A">
        <w:rPr>
          <w:rFonts w:ascii="Arial" w:hAnsi="Arial" w:cs="Arial"/>
          <w:sz w:val="24"/>
        </w:rPr>
        <w:t>s</w:t>
      </w:r>
      <w:r w:rsidR="0040004E">
        <w:rPr>
          <w:rFonts w:ascii="Arial" w:hAnsi="Arial" w:cs="Arial"/>
          <w:sz w:val="24"/>
        </w:rPr>
        <w:t xml:space="preserve"> tarefa</w:t>
      </w:r>
      <w:r w:rsidR="005C500A">
        <w:rPr>
          <w:rFonts w:ascii="Arial" w:hAnsi="Arial" w:cs="Arial"/>
          <w:sz w:val="24"/>
        </w:rPr>
        <w:t>s</w:t>
      </w:r>
      <w:r w:rsidR="009C72C1">
        <w:rPr>
          <w:rFonts w:ascii="Arial" w:hAnsi="Arial" w:cs="Arial"/>
          <w:sz w:val="24"/>
        </w:rPr>
        <w:t>;</w:t>
      </w:r>
      <w:r w:rsidR="0065073D">
        <w:rPr>
          <w:rFonts w:ascii="Arial" w:hAnsi="Arial" w:cs="Arial"/>
          <w:sz w:val="24"/>
        </w:rPr>
        <w:t xml:space="preserve"> e</w:t>
      </w:r>
      <w:r w:rsidR="009C72C1">
        <w:rPr>
          <w:rFonts w:ascii="Arial" w:hAnsi="Arial" w:cs="Arial"/>
          <w:sz w:val="24"/>
        </w:rPr>
        <w:t xml:space="preserve"> 104 a 126 pontos – </w:t>
      </w:r>
      <w:r w:rsidR="0065073D">
        <w:rPr>
          <w:rFonts w:ascii="Arial" w:hAnsi="Arial" w:cs="Arial"/>
          <w:sz w:val="24"/>
        </w:rPr>
        <w:t xml:space="preserve">refere-se à </w:t>
      </w:r>
      <w:r w:rsidR="009C72C1">
        <w:rPr>
          <w:rFonts w:ascii="Arial" w:hAnsi="Arial" w:cs="Arial"/>
          <w:sz w:val="24"/>
        </w:rPr>
        <w:t xml:space="preserve">independência modificada (assistência </w:t>
      </w:r>
      <w:r w:rsidR="00E44A5D">
        <w:rPr>
          <w:rFonts w:ascii="Arial" w:hAnsi="Arial" w:cs="Arial"/>
          <w:sz w:val="24"/>
        </w:rPr>
        <w:t>menor que</w:t>
      </w:r>
      <w:r w:rsidR="0040004E">
        <w:rPr>
          <w:rFonts w:ascii="Arial" w:hAnsi="Arial" w:cs="Arial"/>
          <w:sz w:val="24"/>
        </w:rPr>
        <w:t xml:space="preserve"> 25% na</w:t>
      </w:r>
      <w:r w:rsidR="005C500A">
        <w:rPr>
          <w:rFonts w:ascii="Arial" w:hAnsi="Arial" w:cs="Arial"/>
          <w:sz w:val="24"/>
        </w:rPr>
        <w:t>s</w:t>
      </w:r>
      <w:r w:rsidR="009C72C1">
        <w:rPr>
          <w:rFonts w:ascii="Arial" w:hAnsi="Arial" w:cs="Arial"/>
          <w:sz w:val="24"/>
        </w:rPr>
        <w:t xml:space="preserve"> tarefa</w:t>
      </w:r>
      <w:r w:rsidR="005C500A">
        <w:rPr>
          <w:rFonts w:ascii="Arial" w:hAnsi="Arial" w:cs="Arial"/>
          <w:sz w:val="24"/>
        </w:rPr>
        <w:t>s</w:t>
      </w:r>
      <w:r w:rsidR="009C72C1">
        <w:rPr>
          <w:rFonts w:ascii="Arial" w:hAnsi="Arial" w:cs="Arial"/>
          <w:sz w:val="24"/>
        </w:rPr>
        <w:t>) ou independência completa</w:t>
      </w:r>
      <w:r>
        <w:rPr>
          <w:rFonts w:ascii="Arial" w:hAnsi="Arial" w:cs="Arial"/>
          <w:sz w:val="24"/>
        </w:rPr>
        <w:t>.</w:t>
      </w:r>
      <w:r w:rsidR="00A343F0">
        <w:rPr>
          <w:rFonts w:ascii="Arial" w:hAnsi="Arial" w:cs="Arial"/>
          <w:sz w:val="24"/>
        </w:rPr>
        <w:fldChar w:fldCharType="begin" w:fldLock="1"/>
      </w:r>
      <w:r w:rsidR="00195481">
        <w:rPr>
          <w:rFonts w:ascii="Arial" w:hAnsi="Arial" w:cs="Arial"/>
          <w:sz w:val="24"/>
        </w:rPr>
        <w:instrText>ADDIN CSL_CITATION { "citationItems" : [ { "id" : "ITEM-1", "itemData" : { "DOI" : "10.5935/0104-7795.20040003", "ISBN" : "1466-609X; 1364-8535", "ISSN" : "0104-7795", "PMID" : "20738852", "abstract" : "RESUMO A vers\u00e3o brasileira da Medida de Independ\u00eancia Funcional (MIF) foi desenvolvida por meio de um processo de tradu\u00e7\u00e3o para o portugu\u00eas do Brasil por equipe m\u00e9dica bil\u00edng\u00fce familiarizada com o instrumento e tradutor profissional, seguido de tradu\u00e7\u00e3o reversa para o ingl\u00eas por tradutor independente. N\u00e3o foram identificados problemas de equival\u00eancia cultural quando a vers\u00e3o obtida foi apresentada a um conjunto de 25 profissionais de sa\u00fade treinados no seu uso. Oito centros de reabilita\u00e7\u00e3o participaram da capta\u00e7\u00e3o de dados para a obten\u00e7\u00e3o de medidas de reprodutibilidade. Todos os pacientes adultos com hist\u00f3ria de pelo menos 4 meses de acidente vascular cerebral, consultados no per\u00edodo entre dezembro de 1999 e janeiro de 2000, foram avaliados por dois avaliadores treinados na aplica\u00e7\u00e3o da MIF, de forma independente, e reavaliados por apenas um desses examinadores ap\u00f3s uma semana (teste/reteste). Uma amostra de 164 pacientes foi examinada e os valores de kappa para concord\u00e2ncia em cada um dos itens da MIF variaram entre dois observadores de 0,50 (alimenta\u00e7\u00e3o) a 0,64 (controle da urina) e no teste/ reteste entre 0,61 (vestir abaixo da cintura) a 0,77 (transfer\u00eancia para o vaso sanit\u00e1rio). As subescalas da MIF apresentaram no teste/reteste boa correla\u00e7\u00e3o (Pearson: 0,91 \u2013 0,98; ICC: 0,91 \u2013 0,98); a reprodutibilidade interobservadores tamb\u00e9m foi boa (Pearson: 0,87 \u2013 0,98; ICC: 0,87 \u2013 0,98). An\u00e1lise de vari\u00e2ncia mostra boa concord\u00e2ncia entre as m\u00e9dias dos resultados de dois avaliadores na primeira avalia\u00e7\u00e3o e na medida ap\u00f3s uma semana. Conclu\u00edmos que a vers\u00e3o brasileira da MIF tem boa equival\u00eancia cultural e boa reprodutibilidade. UNITERMOS Medida de independ\u00eancia funcional; reprodutibilidade; equival\u00eancia cultural; avalia\u00e7\u00e3o funcional; tradu\u00e7\u00e3o. SUMMARY A Brazilian version of Functional Independence Measure (FIM) was developed in a translation process to Brazilian Portuguese by a bilingual medical team and a professional translator, followed by a reverse translation to English by an independent traslator. No problems of cultural equivalence were identified in the resultant version when it was presented to a group of 25 clinicians trained in its use. Eight rehabilitation centers participated in the gathering of data for the study of reproductibility. Two independent observers evaluated, between December 1999 and January 2000, all adult stroke patients with more than 4 months of impairment onset at the same day and only one of these clinicians repeated the obse\u2026", "author" : [ { "dropping-particle" : "", "family" : "Riberto", "given" : "Marcelo", "non-dropping-particle" : "", "parse-names" : false, "suffix" : "" }, { "dropping-particle" : "", "family" : "Miyazaki", "given" : "MH", "non-dropping-particle" : "", "parse-names" : false, "suffix" : "" }, { "dropping-particle" : "", "family" : "Jorge Filho", "given" : "Donaldo", "non-dropping-particle" : "", "parse-names" : false, "suffix" : "" }, { "dropping-particle" : "", "family" : "Sakamoto", "given" : "Hatsue", "non-dropping-particle" : "", "parse-names" : false, "suffix" : "" }, { "dropping-particle" : "", "family" : "Battistella", "given" : "Linamara Rizzo", "non-dropping-particle" : "", "parse-names" : false, "suffix" : "" } ], "container-title" : "Acta Fisi\u00e1trica", "id" : "ITEM-1", "issue" : "1", "issued" : { "date-parts" : [ [ "2001" ] ] }, "page" : "45-52", "title" : "Reprodutibilidade da vers\u00e4o brasileira da Medida de Independ\u00eancia Funcional", "type" : "article-journal", "volume" : "8" }, "uris" : [ "http://www.mendeley.com/documents/?uuid=894281fc-eb9a-4c2e-ab36-2df779479288" ] }, { "id" : "ITEM-2", "itemData" : { "DOI" : "10.1590/S0103-51502012000200011", "ISSN" : "0103-5150", "author" : [ { "dropping-particle" : "", "family" : "Fernandes", "given" : "Marina Bessi", "non-dropping-particle" : "", "parse-names" : false, "suffix" : "" }, { "dropping-particle" : "", "family" : "Cabral", "given" : "Dinalva Lacerda", "non-dropping-particle" : "", "parse-names" : false, "suffix" : "" }, { "dropping-particle" : "", "family" : "Souza", "given" : "Renata Jana\u00edna Pereira", "non-dropping-particle" : "", "parse-names" : false, "suffix" : "" }, { "dropping-particle" : "", "family" : "Sekitani", "given" : "Hamilton Yoshiaki", "non-dropping-particle" : "", "parse-names" : false, "suffix" : "" }, { "dropping-particle" : "", "family" : "Teixeira-salmela", "given" : "Luci Fuscaldi", "non-dropping-particle" : "", "parse-names" : false, "suffix" : "" }, { "dropping-particle" : "", "family" : "Laurentino", "given" : "Gl\u00f3ria Elizabeth Carneiro", "non-dropping-particle" : "", "parse-names" : false, "suffix" : "" } ], "container-title" : "Fisioterapia e Movimento", "id" : "ITEM-2", "issue" : "2", "issued" : { "date-parts" : [ [ "2012" ] ] }, "page" : "333-341", "title" : "Independ\u00eancia funcional de indiv\u00edduos hemipar\u00e9ticos cr\u00f4nicos e sua rela\u00e7\u00e3o com a fisioterapia Functional independence of individuals with chronic hemiparesis and its relation to physiotherapy", "type" : "article-journal", "volume" : "25" }, "uris" : [ "http://www.mendeley.com/documents/?uuid=7bdd1e1b-9944-40fb-82ac-a76ec63e76b5" ] } ], "mendeley" : { "formattedCitation" : "&lt;sup&gt;62,99&lt;/sup&gt;", "plainTextFormattedCitation" : "62,99", "previouslyFormattedCitation" : "&lt;sup&gt;62,99&lt;/sup&gt;" }, "properties" : { "noteIndex" : 0 }, "schema" : "https://github.com/citation-style-language/schema/raw/master/csl-citation.json" }</w:instrText>
      </w:r>
      <w:r w:rsidR="00A343F0">
        <w:rPr>
          <w:rFonts w:ascii="Arial" w:hAnsi="Arial" w:cs="Arial"/>
          <w:sz w:val="24"/>
        </w:rPr>
        <w:fldChar w:fldCharType="separate"/>
      </w:r>
      <w:r w:rsidR="00412B48" w:rsidRPr="00412B48">
        <w:rPr>
          <w:rFonts w:ascii="Arial" w:hAnsi="Arial" w:cs="Arial"/>
          <w:noProof/>
          <w:sz w:val="24"/>
          <w:vertAlign w:val="superscript"/>
        </w:rPr>
        <w:t>62,99</w:t>
      </w:r>
      <w:r w:rsidR="00A343F0">
        <w:rPr>
          <w:rFonts w:ascii="Arial" w:hAnsi="Arial" w:cs="Arial"/>
          <w:sz w:val="24"/>
        </w:rPr>
        <w:fldChar w:fldCharType="end"/>
      </w:r>
    </w:p>
    <w:p w:rsidR="00A62F69" w:rsidRDefault="00A62F69" w:rsidP="001018B9">
      <w:pPr>
        <w:spacing w:after="0" w:line="360" w:lineRule="auto"/>
        <w:jc w:val="both"/>
        <w:rPr>
          <w:rFonts w:ascii="Arial" w:hAnsi="Arial" w:cs="Arial"/>
          <w:sz w:val="24"/>
        </w:rPr>
      </w:pPr>
    </w:p>
    <w:p w:rsidR="008936C8" w:rsidRDefault="00F7296D" w:rsidP="004D4A6B">
      <w:pPr>
        <w:pStyle w:val="Ttulo2"/>
      </w:pPr>
      <w:bookmarkStart w:id="21" w:name="_Toc496749613"/>
      <w:r>
        <w:t>4.4</w:t>
      </w:r>
      <w:r w:rsidR="003F0333" w:rsidRPr="00CB35AB">
        <w:t xml:space="preserve">.2 </w:t>
      </w:r>
      <w:r w:rsidR="00E054D0" w:rsidRPr="00CB35AB">
        <w:t>Instrumento de avaliação da qualid</w:t>
      </w:r>
      <w:r w:rsidR="00876DCC" w:rsidRPr="00CB35AB">
        <w:t>ade de vida relacionada à saúde</w:t>
      </w:r>
      <w:bookmarkEnd w:id="21"/>
    </w:p>
    <w:p w:rsidR="008F21DF" w:rsidRDefault="008F21DF" w:rsidP="00A61E42">
      <w:pPr>
        <w:spacing w:after="0" w:line="360" w:lineRule="auto"/>
        <w:jc w:val="both"/>
        <w:rPr>
          <w:rFonts w:ascii="Arial" w:hAnsi="Arial" w:cs="Arial"/>
          <w:sz w:val="24"/>
        </w:rPr>
      </w:pPr>
    </w:p>
    <w:p w:rsidR="004B7EA3" w:rsidRDefault="00F16141" w:rsidP="001018B9">
      <w:pPr>
        <w:spacing w:after="0" w:line="360" w:lineRule="auto"/>
        <w:jc w:val="both"/>
        <w:rPr>
          <w:rFonts w:ascii="Arial" w:hAnsi="Arial" w:cs="Arial"/>
          <w:sz w:val="24"/>
          <w:szCs w:val="24"/>
        </w:rPr>
      </w:pPr>
      <w:r>
        <w:rPr>
          <w:rFonts w:ascii="Arial" w:hAnsi="Arial" w:cs="Arial"/>
          <w:sz w:val="24"/>
        </w:rPr>
        <w:t>A escala utilizada para</w:t>
      </w:r>
      <w:r w:rsidR="00573151">
        <w:rPr>
          <w:rFonts w:ascii="Arial" w:hAnsi="Arial" w:cs="Arial"/>
          <w:sz w:val="24"/>
        </w:rPr>
        <w:t xml:space="preserve"> avaliar a Q</w:t>
      </w:r>
      <w:r>
        <w:rPr>
          <w:rFonts w:ascii="Arial" w:hAnsi="Arial" w:cs="Arial"/>
          <w:sz w:val="24"/>
        </w:rPr>
        <w:t>VRS</w:t>
      </w:r>
      <w:r w:rsidR="005E7CB4">
        <w:rPr>
          <w:rFonts w:ascii="Arial" w:hAnsi="Arial" w:cs="Arial"/>
          <w:sz w:val="24"/>
        </w:rPr>
        <w:t xml:space="preserve"> d</w:t>
      </w:r>
      <w:r w:rsidR="003C44A3">
        <w:rPr>
          <w:rFonts w:ascii="Arial" w:hAnsi="Arial" w:cs="Arial"/>
          <w:sz w:val="24"/>
        </w:rPr>
        <w:t>as</w:t>
      </w:r>
      <w:r w:rsidR="005E7CB4">
        <w:rPr>
          <w:rFonts w:ascii="Arial" w:hAnsi="Arial" w:cs="Arial"/>
          <w:sz w:val="24"/>
        </w:rPr>
        <w:t xml:space="preserve"> crianças</w:t>
      </w:r>
      <w:r>
        <w:rPr>
          <w:rFonts w:ascii="Arial" w:hAnsi="Arial" w:cs="Arial"/>
          <w:sz w:val="24"/>
        </w:rPr>
        <w:t xml:space="preserve"> </w:t>
      </w:r>
      <w:r w:rsidR="003C44A3">
        <w:rPr>
          <w:rFonts w:ascii="Arial" w:hAnsi="Arial" w:cs="Arial"/>
          <w:sz w:val="24"/>
        </w:rPr>
        <w:t>e adolescentes</w:t>
      </w:r>
      <w:r w:rsidR="00A5069E">
        <w:rPr>
          <w:rFonts w:ascii="Arial" w:hAnsi="Arial" w:cs="Arial"/>
          <w:sz w:val="24"/>
        </w:rPr>
        <w:t xml:space="preserve"> foi </w:t>
      </w:r>
      <w:r>
        <w:rPr>
          <w:rFonts w:ascii="Arial" w:hAnsi="Arial" w:cs="Arial"/>
          <w:sz w:val="24"/>
        </w:rPr>
        <w:t xml:space="preserve">o </w:t>
      </w:r>
      <w:r w:rsidR="002F4BC0">
        <w:rPr>
          <w:rFonts w:ascii="Arial" w:hAnsi="Arial" w:cs="Arial"/>
          <w:sz w:val="24"/>
        </w:rPr>
        <w:t>instru</w:t>
      </w:r>
      <w:r w:rsidR="00876DCC">
        <w:rPr>
          <w:rFonts w:ascii="Arial" w:hAnsi="Arial" w:cs="Arial"/>
          <w:sz w:val="24"/>
        </w:rPr>
        <w:t>mento PedsQL</w:t>
      </w:r>
      <w:r w:rsidR="007F7F88" w:rsidRPr="0007615E">
        <w:rPr>
          <w:rFonts w:ascii="Arial" w:hAnsi="Arial" w:cs="Arial"/>
          <w:sz w:val="20"/>
          <w:vertAlign w:val="superscript"/>
        </w:rPr>
        <w:t>TM</w:t>
      </w:r>
      <w:r w:rsidR="00A93975">
        <w:rPr>
          <w:rFonts w:ascii="Arial" w:hAnsi="Arial" w:cs="Arial"/>
          <w:sz w:val="24"/>
        </w:rPr>
        <w:t xml:space="preserve"> 4.0, </w:t>
      </w:r>
      <w:r w:rsidR="0007615E">
        <w:rPr>
          <w:rFonts w:ascii="Arial" w:hAnsi="Arial" w:cs="Arial"/>
          <w:sz w:val="24"/>
          <w:szCs w:val="24"/>
        </w:rPr>
        <w:t>composto por 23 itens</w:t>
      </w:r>
      <w:r w:rsidR="00753258">
        <w:rPr>
          <w:rFonts w:ascii="Arial" w:hAnsi="Arial" w:cs="Arial"/>
          <w:sz w:val="24"/>
          <w:szCs w:val="24"/>
        </w:rPr>
        <w:t xml:space="preserve"> referentes a quatro domínios</w:t>
      </w:r>
      <w:r w:rsidR="00CB35AB">
        <w:rPr>
          <w:rFonts w:ascii="Arial" w:hAnsi="Arial" w:cs="Arial"/>
          <w:sz w:val="24"/>
          <w:szCs w:val="24"/>
        </w:rPr>
        <w:t xml:space="preserve">: </w:t>
      </w:r>
      <w:r w:rsidR="00E113C0">
        <w:rPr>
          <w:rFonts w:ascii="Arial" w:hAnsi="Arial" w:cs="Arial"/>
          <w:sz w:val="24"/>
          <w:szCs w:val="24"/>
        </w:rPr>
        <w:t>capacidade física</w:t>
      </w:r>
      <w:r w:rsidR="00445A32">
        <w:rPr>
          <w:rFonts w:ascii="Arial" w:hAnsi="Arial" w:cs="Arial"/>
          <w:sz w:val="24"/>
          <w:szCs w:val="24"/>
        </w:rPr>
        <w:t xml:space="preserve"> (</w:t>
      </w:r>
      <w:r w:rsidR="00CB35AB">
        <w:rPr>
          <w:rFonts w:ascii="Arial" w:hAnsi="Arial" w:cs="Arial"/>
          <w:sz w:val="24"/>
          <w:szCs w:val="24"/>
        </w:rPr>
        <w:t xml:space="preserve">08 itens), </w:t>
      </w:r>
      <w:r w:rsidR="00E113C0">
        <w:rPr>
          <w:rFonts w:ascii="Arial" w:hAnsi="Arial" w:cs="Arial"/>
          <w:sz w:val="24"/>
          <w:szCs w:val="24"/>
        </w:rPr>
        <w:t>aspectos emocionais</w:t>
      </w:r>
      <w:r w:rsidR="00CB35AB">
        <w:rPr>
          <w:rFonts w:ascii="Arial" w:hAnsi="Arial" w:cs="Arial"/>
          <w:sz w:val="24"/>
          <w:szCs w:val="24"/>
        </w:rPr>
        <w:t xml:space="preserve"> (05 itens), </w:t>
      </w:r>
      <w:r w:rsidR="00E113C0">
        <w:rPr>
          <w:rFonts w:ascii="Arial" w:hAnsi="Arial" w:cs="Arial"/>
          <w:sz w:val="24"/>
          <w:szCs w:val="24"/>
        </w:rPr>
        <w:t>aspectos sociais</w:t>
      </w:r>
      <w:r w:rsidR="00ED4746">
        <w:rPr>
          <w:rFonts w:ascii="Arial" w:hAnsi="Arial" w:cs="Arial"/>
          <w:sz w:val="24"/>
          <w:szCs w:val="24"/>
        </w:rPr>
        <w:t xml:space="preserve"> (05 itens) e </w:t>
      </w:r>
      <w:r w:rsidR="00E113C0">
        <w:rPr>
          <w:rFonts w:ascii="Arial" w:hAnsi="Arial" w:cs="Arial"/>
          <w:sz w:val="24"/>
          <w:szCs w:val="24"/>
        </w:rPr>
        <w:t xml:space="preserve">atividades </w:t>
      </w:r>
      <w:r w:rsidR="00CB35AB">
        <w:rPr>
          <w:rFonts w:ascii="Arial" w:hAnsi="Arial" w:cs="Arial"/>
          <w:sz w:val="24"/>
          <w:szCs w:val="24"/>
        </w:rPr>
        <w:t>escolar</w:t>
      </w:r>
      <w:r w:rsidR="00E113C0">
        <w:rPr>
          <w:rFonts w:ascii="Arial" w:hAnsi="Arial" w:cs="Arial"/>
          <w:sz w:val="24"/>
          <w:szCs w:val="24"/>
        </w:rPr>
        <w:t>es</w:t>
      </w:r>
      <w:r w:rsidR="001B2376">
        <w:rPr>
          <w:rFonts w:ascii="Arial" w:hAnsi="Arial" w:cs="Arial"/>
          <w:sz w:val="24"/>
          <w:szCs w:val="24"/>
        </w:rPr>
        <w:t xml:space="preserve"> </w:t>
      </w:r>
      <w:r w:rsidR="003B7C95">
        <w:rPr>
          <w:rFonts w:ascii="Arial" w:hAnsi="Arial" w:cs="Arial"/>
          <w:sz w:val="24"/>
          <w:szCs w:val="24"/>
        </w:rPr>
        <w:t>(05 itens).</w:t>
      </w:r>
      <w:r w:rsidR="00A80323">
        <w:rPr>
          <w:rFonts w:ascii="Arial" w:hAnsi="Arial" w:cs="Arial"/>
          <w:sz w:val="24"/>
          <w:szCs w:val="24"/>
        </w:rPr>
        <w:t xml:space="preserve"> </w:t>
      </w:r>
      <w:r w:rsidR="00F11361">
        <w:rPr>
          <w:rFonts w:ascii="Arial" w:hAnsi="Arial" w:cs="Arial"/>
          <w:sz w:val="24"/>
          <w:szCs w:val="24"/>
        </w:rPr>
        <w:t>N</w:t>
      </w:r>
      <w:r w:rsidR="00E74505">
        <w:rPr>
          <w:rFonts w:ascii="Arial" w:hAnsi="Arial" w:cs="Arial"/>
          <w:sz w:val="24"/>
          <w:szCs w:val="24"/>
        </w:rPr>
        <w:t xml:space="preserve">o serviço de ortopedia do HSI </w:t>
      </w:r>
      <w:r w:rsidR="008061D2">
        <w:rPr>
          <w:rFonts w:ascii="Arial" w:hAnsi="Arial" w:cs="Arial"/>
          <w:sz w:val="24"/>
          <w:szCs w:val="24"/>
        </w:rPr>
        <w:t>foram</w:t>
      </w:r>
      <w:r w:rsidR="00D63816">
        <w:rPr>
          <w:rFonts w:ascii="Arial" w:hAnsi="Arial" w:cs="Arial"/>
          <w:sz w:val="24"/>
          <w:szCs w:val="24"/>
        </w:rPr>
        <w:t xml:space="preserve"> aplicado</w:t>
      </w:r>
      <w:r w:rsidR="004B7EA3">
        <w:rPr>
          <w:rFonts w:ascii="Arial" w:hAnsi="Arial" w:cs="Arial"/>
          <w:sz w:val="24"/>
          <w:szCs w:val="24"/>
        </w:rPr>
        <w:t>s</w:t>
      </w:r>
      <w:r w:rsidR="003B7C95">
        <w:rPr>
          <w:rFonts w:ascii="Arial" w:hAnsi="Arial" w:cs="Arial"/>
          <w:sz w:val="24"/>
          <w:szCs w:val="24"/>
        </w:rPr>
        <w:t xml:space="preserve"> </w:t>
      </w:r>
      <w:r w:rsidR="00753258">
        <w:rPr>
          <w:rFonts w:ascii="Arial" w:hAnsi="Arial" w:cs="Arial"/>
          <w:sz w:val="24"/>
          <w:szCs w:val="24"/>
        </w:rPr>
        <w:t xml:space="preserve">os formulários que avaliam a percepção paterna da </w:t>
      </w:r>
      <w:r w:rsidR="00CC23BB">
        <w:rPr>
          <w:rFonts w:ascii="Arial" w:hAnsi="Arial" w:cs="Arial"/>
          <w:sz w:val="24"/>
          <w:szCs w:val="24"/>
        </w:rPr>
        <w:t>QVRS</w:t>
      </w:r>
      <w:r w:rsidR="00753258">
        <w:rPr>
          <w:rFonts w:ascii="Arial" w:hAnsi="Arial" w:cs="Arial"/>
          <w:sz w:val="24"/>
          <w:szCs w:val="24"/>
        </w:rPr>
        <w:t xml:space="preserve"> de crianças e adolescentes </w:t>
      </w:r>
      <w:r w:rsidR="00483810">
        <w:rPr>
          <w:rFonts w:ascii="Arial" w:hAnsi="Arial" w:cs="Arial"/>
          <w:sz w:val="24"/>
          <w:szCs w:val="24"/>
        </w:rPr>
        <w:t>com idade entr</w:t>
      </w:r>
      <w:r w:rsidR="006F31B1">
        <w:rPr>
          <w:rFonts w:ascii="Arial" w:hAnsi="Arial" w:cs="Arial"/>
          <w:sz w:val="24"/>
          <w:szCs w:val="24"/>
        </w:rPr>
        <w:t xml:space="preserve">e 2 </w:t>
      </w:r>
      <w:r w:rsidR="00483810">
        <w:rPr>
          <w:rFonts w:ascii="Arial" w:hAnsi="Arial" w:cs="Arial"/>
          <w:sz w:val="24"/>
          <w:szCs w:val="24"/>
        </w:rPr>
        <w:t>e</w:t>
      </w:r>
      <w:r w:rsidR="006F31B1">
        <w:rPr>
          <w:rFonts w:ascii="Arial" w:hAnsi="Arial" w:cs="Arial"/>
          <w:sz w:val="24"/>
          <w:szCs w:val="24"/>
        </w:rPr>
        <w:t xml:space="preserve"> 18 anos (Anexo </w:t>
      </w:r>
      <w:r w:rsidR="003B7C95">
        <w:rPr>
          <w:rFonts w:ascii="Arial" w:hAnsi="Arial" w:cs="Arial"/>
          <w:sz w:val="24"/>
          <w:szCs w:val="24"/>
        </w:rPr>
        <w:t>B)</w:t>
      </w:r>
      <w:r w:rsidR="004B7EA3">
        <w:rPr>
          <w:rFonts w:ascii="Arial" w:hAnsi="Arial" w:cs="Arial"/>
          <w:sz w:val="24"/>
          <w:szCs w:val="24"/>
        </w:rPr>
        <w:t>, pois as versões para autoavaliação são apropriadas apenas para crianças a partir de 5 anos de idade</w:t>
      </w:r>
      <w:r w:rsidR="00A41502">
        <w:rPr>
          <w:rFonts w:ascii="Arial" w:hAnsi="Arial" w:cs="Arial"/>
          <w:sz w:val="24"/>
          <w:szCs w:val="24"/>
        </w:rPr>
        <w:t>.</w:t>
      </w:r>
      <w:r w:rsidR="003003DA">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"10.2223/JPED.1788", "ISSN" : "0021-7557", "PMID" : "18679557", "abstract" : "OBJECTIVES: To evaluate the reliability and validity of the Brazilian version of the Pediatric Quality of Life Inventory (PedsQL 4.0) Generic Core Scales and measure the quality of life of healthy children and adolescents and patients with rheumatic diseases. METHODS: We followed the translation methodology proposed by the developer of the original English version of the PedsQL 4.0. The instrument was administered by interviews in two groups: 240 apparently healthy children and adolescents from S\u00e3o Paulo (SP, Brazil) and 105 patients with chronic rheumatic diseases matched by age, as well as their respective parents or caregivers. The parent proxy-report was administered to the children's parents or caregivers separately on the same day. RESULTS: Cronbach's alpha values were between 0.6 and 0.9 for all dimensions, demonstrating adequate internal consistency. Patients with rheumatic diseases reported significantly lower PedsQL scores on all dimensions when compared to the healthy control group (p &lt; 0.0001). Construct validity of the Brazilian Portuguese version of the PedsQL 4.0 was also confirmed. Parent proxy-report of patients with rheumatic diseases highly correlated with child self-report for physical functioning (r = 0.77, p &lt; 0.001) and school functioning (r = 0.73, p &lt; 0.001). Lower correlations were observed for emotional and social functioning (r = 0.40 and 0.59, respectively, p &lt; 0.001). CONCLUSIONS: The tool demonstrated reliability, validity, and the administration was fast and easy. Quality of life in patients with rheumatic diseases was significantly lower than in the healthy control group, supporting the necessity of a comprehensive approach to rheumatic disease management, focused on the psychosocial dimensions.", "author" : [ { "dropping-particle" : "", "family" : "Klatchoian", "given" : "Denise A", "non-dropping-particle" : "", "parse-names" : false, "suffix" : "" }, { "dropping-particle" : "", "family" : "Len", "given" : "Claudio A", "non-dropping-particle" : "", "parse-names" : false, "suffix" : "" }, { "dropping-particle" : "", "family" : "Terreri", "given" : "Maria Teresa R A", "non-dropping-particle" : "", "parse-names" : false, "suffix" : "" }, { "dropping-particle" : "", "family" : "Silva", "given" : "Marina", "non-dropping-particle" : "", "parse-names" : false, "suffix" : "" }, { "dropping-particle" : "", "family" : "Itamoto", "given" : "Caroline", "non-dropping-particle" : "", "parse-names" : false, "suffix" : "" }, { "dropping-particle" : "", "family" : "Ciconelli", "given" : "Rozana M", "non-dropping-particle" : "", "parse-names" : false, "suffix" : "" }, { "dropping-particle" : "", "family" : "Varni", "given" : "James W", "non-dropping-particle" : "", "parse-names" : false, "suffix" : "" }, { "dropping-particle" : "", "family" : "Hil\u00e1rio", "given" : "Maria Odete E", "non-dropping-particle" : "", "parse-names" : false, "suffix" : "" } ], "container-title" : "Jornal de Pediatria", "id" : "ITEM-1", "issue" : "4", "issued" : { "date-parts" : [ [ "2008" ] ] }, "page" : "308-315", "title" : "Quality of life of children and adolescents from S\u00e3o Paulo: reliability and validity of the Brazilian version of the Pediatric Quality of Life Inventory version 4.0 Generic Core Scales", "type" : "article-journal", "volume" : "84" }, "uris" : [ "http://www.mendeley.com/documents/?uuid=44dc1bef-bacf-44cc-a1cc-5f8e82b50507" ] } ], "mendeley" : { "formattedCitation" : "&lt;sup&gt;94&lt;/sup&gt;", "plainTextFormattedCitation" : "94", "previouslyFormattedCitation" : "&lt;sup&gt;94&lt;/sup&gt;" }, "properties" : { "noteIndex" : 0 }, "schema" : "https://github.com/citation-style-language/schema/raw/master/csl-citation.json" }</w:instrText>
      </w:r>
      <w:r w:rsidR="003003DA">
        <w:rPr>
          <w:rFonts w:ascii="Arial" w:hAnsi="Arial" w:cs="Arial"/>
          <w:sz w:val="24"/>
          <w:szCs w:val="24"/>
        </w:rPr>
        <w:fldChar w:fldCharType="separate"/>
      </w:r>
      <w:r w:rsidR="00412B48" w:rsidRPr="00412B48">
        <w:rPr>
          <w:rFonts w:ascii="Arial" w:hAnsi="Arial" w:cs="Arial"/>
          <w:noProof/>
          <w:sz w:val="24"/>
          <w:szCs w:val="24"/>
          <w:vertAlign w:val="superscript"/>
        </w:rPr>
        <w:t>94</w:t>
      </w:r>
      <w:r w:rsidR="003003DA">
        <w:rPr>
          <w:rFonts w:ascii="Arial" w:hAnsi="Arial" w:cs="Arial"/>
          <w:sz w:val="24"/>
          <w:szCs w:val="24"/>
        </w:rPr>
        <w:fldChar w:fldCharType="end"/>
      </w:r>
    </w:p>
    <w:p w:rsidR="00A80323" w:rsidRDefault="00A80323" w:rsidP="001018B9">
      <w:pPr>
        <w:spacing w:after="0" w:line="360" w:lineRule="auto"/>
        <w:jc w:val="both"/>
        <w:rPr>
          <w:rFonts w:ascii="Arial" w:hAnsi="Arial" w:cs="Arial"/>
          <w:sz w:val="24"/>
          <w:szCs w:val="24"/>
        </w:rPr>
      </w:pPr>
    </w:p>
    <w:p w:rsidR="00A62F69" w:rsidRDefault="00CB35AB" w:rsidP="001018B9">
      <w:pPr>
        <w:spacing w:after="0" w:line="360" w:lineRule="auto"/>
        <w:jc w:val="both"/>
        <w:rPr>
          <w:rFonts w:ascii="Arial" w:hAnsi="Arial" w:cs="Arial"/>
          <w:sz w:val="24"/>
          <w:szCs w:val="24"/>
        </w:rPr>
      </w:pPr>
      <w:r>
        <w:rPr>
          <w:rFonts w:ascii="Arial" w:hAnsi="Arial" w:cs="Arial"/>
          <w:sz w:val="24"/>
          <w:szCs w:val="24"/>
        </w:rPr>
        <w:t xml:space="preserve">As questões </w:t>
      </w:r>
      <w:r w:rsidR="004B7EA3">
        <w:rPr>
          <w:rFonts w:ascii="Arial" w:hAnsi="Arial" w:cs="Arial"/>
          <w:sz w:val="24"/>
          <w:szCs w:val="24"/>
        </w:rPr>
        <w:t>do PedsQL</w:t>
      </w:r>
      <w:r w:rsidR="004B7EA3" w:rsidRPr="004B7EA3">
        <w:rPr>
          <w:rFonts w:ascii="Arial" w:hAnsi="Arial" w:cs="Arial"/>
          <w:sz w:val="24"/>
          <w:szCs w:val="24"/>
          <w:vertAlign w:val="superscript"/>
        </w:rPr>
        <w:t>TM</w:t>
      </w:r>
      <w:r w:rsidR="004B7EA3">
        <w:rPr>
          <w:rFonts w:ascii="Arial" w:hAnsi="Arial" w:cs="Arial"/>
          <w:sz w:val="24"/>
          <w:szCs w:val="24"/>
        </w:rPr>
        <w:t xml:space="preserve"> 4.0 </w:t>
      </w:r>
      <w:r w:rsidR="000D59B0">
        <w:rPr>
          <w:rFonts w:ascii="Arial" w:hAnsi="Arial" w:cs="Arial"/>
          <w:sz w:val="24"/>
          <w:szCs w:val="24"/>
        </w:rPr>
        <w:t xml:space="preserve">identificam </w:t>
      </w:r>
      <w:r>
        <w:rPr>
          <w:rFonts w:ascii="Arial" w:hAnsi="Arial" w:cs="Arial"/>
          <w:sz w:val="24"/>
          <w:szCs w:val="24"/>
        </w:rPr>
        <w:t xml:space="preserve">o quanto cada item foi um problema para </w:t>
      </w:r>
      <w:r w:rsidR="004366A3">
        <w:rPr>
          <w:rFonts w:ascii="Arial" w:hAnsi="Arial" w:cs="Arial"/>
          <w:sz w:val="24"/>
          <w:szCs w:val="24"/>
        </w:rPr>
        <w:t>o paciente</w:t>
      </w:r>
      <w:r>
        <w:rPr>
          <w:rFonts w:ascii="Arial" w:hAnsi="Arial" w:cs="Arial"/>
          <w:sz w:val="24"/>
          <w:szCs w:val="24"/>
        </w:rPr>
        <w:t xml:space="preserve"> durante o último mês</w:t>
      </w:r>
      <w:r w:rsidR="003B7C95">
        <w:rPr>
          <w:rFonts w:ascii="Arial" w:hAnsi="Arial" w:cs="Arial"/>
          <w:sz w:val="24"/>
          <w:szCs w:val="24"/>
        </w:rPr>
        <w:t xml:space="preserve">. </w:t>
      </w:r>
      <w:r w:rsidR="00241F7C">
        <w:rPr>
          <w:rFonts w:ascii="Arial" w:hAnsi="Arial" w:cs="Arial"/>
          <w:sz w:val="24"/>
          <w:szCs w:val="24"/>
        </w:rPr>
        <w:t>Como</w:t>
      </w:r>
      <w:r w:rsidR="003B7C95">
        <w:rPr>
          <w:rFonts w:ascii="Arial" w:hAnsi="Arial" w:cs="Arial"/>
          <w:sz w:val="24"/>
          <w:szCs w:val="24"/>
        </w:rPr>
        <w:t xml:space="preserve"> opções de resposta, </w:t>
      </w:r>
      <w:r w:rsidR="005E7CB4">
        <w:rPr>
          <w:rFonts w:ascii="Arial" w:hAnsi="Arial" w:cs="Arial"/>
          <w:sz w:val="24"/>
          <w:szCs w:val="24"/>
        </w:rPr>
        <w:t>tem-se</w:t>
      </w:r>
      <w:r w:rsidR="003B7C95">
        <w:rPr>
          <w:rFonts w:ascii="Arial" w:hAnsi="Arial" w:cs="Arial"/>
          <w:sz w:val="24"/>
          <w:szCs w:val="24"/>
        </w:rPr>
        <w:t xml:space="preserve"> uma escala graduada em cinco níveis: 0 = nunca é um problema; 1 = quase nunca é um problema; 2 = algumas vezes é um problema; 3 = frequentemente é um problema; e 4 = quase sempre é um problema.</w:t>
      </w:r>
      <w:r w:rsidR="00E0387B">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"10.2223/JPED.1788", "ISSN" : "0021-7557", "PMID" : "18679557", "abstract" : "OBJECTIVES: To evaluate the reliability and validity of the Brazilian version of the Pediatric Quality of Life Inventory (PedsQL 4.0) Generic Core Scales and measure the quality of life of healthy children and adolescents and patients with rheumatic diseases. METHODS: We followed the translation methodology proposed by the developer of the original English version of the PedsQL 4.0. The instrument was administered by interviews in two groups: 240 apparently healthy children and adolescents from S\u00e3o Paulo (SP, Brazil) and 105 patients with chronic rheumatic diseases matched by age, as well as their respective parents or caregivers. The parent proxy-report was administered to the children's parents or caregivers separately on the same day. RESULTS: Cronbach's alpha values were between 0.6 and 0.9 for all dimensions, demonstrating adequate internal consistency. Patients with rheumatic diseases reported significantly lower PedsQL scores on all dimensions when compared to the healthy control group (p &lt; 0.0001). Construct validity of the Brazilian Portuguese version of the PedsQL 4.0 was also confirmed. Parent proxy-report of patients with rheumatic diseases highly correlated with child self-report for physical functioning (r = 0.77, p &lt; 0.001) and school functioning (r = 0.73, p &lt; 0.001). Lower correlations were observed for emotional and social functioning (r = 0.40 and 0.59, respectively, p &lt; 0.001). CONCLUSIONS: The tool demonstrated reliability, validity, and the administration was fast and easy. Quality of life in patients with rheumatic diseases was significantly lower than in the healthy control group, supporting the necessity of a comprehensive approach to rheumatic disease management, focused on the psychosocial dimensions.", "author" : [ { "dropping-particle" : "", "family" : "Klatchoian", "given" : "Denise A", "non-dropping-particle" : "", "parse-names" : false, "suffix" : "" }, { "dropping-particle" : "", "family" : "Len", "given" : "Claudio A", "non-dropping-particle" : "", "parse-names" : false, "suffix" : "" }, { "dropping-particle" : "", "family" : "Terreri", "given" : "Maria Teresa R A", "non-dropping-particle" : "", "parse-names" : false, "suffix" : "" }, { "dropping-particle" : "", "family" : "Silva", "given" : "Marina", "non-dropping-particle" : "", "parse-names" : false, "suffix" : "" }, { "dropping-particle" : "", "family" : "Itamoto", "given" : "Caroline", "non-dropping-particle" : "", "parse-names" : false, "suffix" : "" }, { "dropping-particle" : "", "family" : "Ciconelli", "given" : "Rozana M", "non-dropping-particle" : "", "parse-names" : false, "suffix" : "" }, { "dropping-particle" : "", "family" : "Varni", "given" : "James W", "non-dropping-particle" : "", "parse-names" : false, "suffix" : "" }, { "dropping-particle" : "", "family" : "Hil\u00e1rio", "given" : "Maria Odete E", "non-dropping-particle" : "", "parse-names" : false, "suffix" : "" } ], "container-title" : "Jornal de Pediatria", "id" : "ITEM-1", "issue" : "4", "issued" : { "date-parts" : [ [ "2008" ] ] }, "page" : "308-315", "title" : "Quality of life of children and adolescents from S\u00e3o Paulo: reliability and validity of the Brazilian version of the Pediatric Quality of Life Inventory version 4.0 Generic Core Scales", "type" : "article-journal", "volume" : "84" }, "uris" : [ "http://www.mendeley.com/documents/?uuid=44dc1bef-bacf-44cc-a1cc-5f8e82b50507" ] }, { "id" : "ITEM-2", "itemData" : { "DOI" : "10.1007/s11136-005-1388-z", "author" : [ { "dropping-particle" : "", "family" : "Varni", "given" : "J W", "non-dropping-particle" : "", "parse-names" : false, "suffix" : "" }, { "dropping-particle" : "", "family" : "Burwinkle", "given" : "Tasha M", "non-dropping-particle" : "", "parse-names" : false, "suffix" : "" }, { "dropping-particle" : "", "family" : "Seid", "given" : "Michael", "non-dropping-particle" : "", "parse-names" : false, "suffix" : "" }, { "dropping-particle" : "", "family" : "Skarr", "given" : "Douglas", "non-dropping-particle" : "", "parse-names" : false, "suffix" : "" } ], "container-title" : "Ambulatory Pediatric Association", "id" : "ITEM-2", "issue" : "6", "issued" : { "date-parts" : [ [ "2003" ] ] }, "page" : "329-341", "title" : "The PedsQL 4 . 0 as a pediatric population health measure: feasibility, reliability, and validity", "type" : "article-journal", "volume" : "3" }, "uris" : [ "http://www.mendeley.com/documents/?uuid=085efd4a-0ff3-420a-809f-24e3cf6826e9" ] } ], "mendeley" : { "formattedCitation" : "&lt;sup&gt;91,94&lt;/sup&gt;", "plainTextFormattedCitation" : "91,94", "previouslyFormattedCitation" : "&lt;sup&gt;91,94&lt;/sup&gt;" }, "properties" : { "noteIndex" : 0 }, "schema" : "https://github.com/citation-style-language/schema/raw/master/csl-citation.json" }</w:instrText>
      </w:r>
      <w:r w:rsidR="00E0387B">
        <w:rPr>
          <w:rFonts w:ascii="Arial" w:hAnsi="Arial" w:cs="Arial"/>
          <w:sz w:val="24"/>
          <w:szCs w:val="24"/>
        </w:rPr>
        <w:fldChar w:fldCharType="separate"/>
      </w:r>
      <w:r w:rsidR="00412B48" w:rsidRPr="00412B48">
        <w:rPr>
          <w:rFonts w:ascii="Arial" w:hAnsi="Arial" w:cs="Arial"/>
          <w:noProof/>
          <w:sz w:val="24"/>
          <w:szCs w:val="24"/>
          <w:vertAlign w:val="superscript"/>
        </w:rPr>
        <w:t>91,94</w:t>
      </w:r>
      <w:r w:rsidR="00E0387B">
        <w:rPr>
          <w:rFonts w:ascii="Arial" w:hAnsi="Arial" w:cs="Arial"/>
          <w:sz w:val="24"/>
          <w:szCs w:val="24"/>
        </w:rPr>
        <w:fldChar w:fldCharType="end"/>
      </w:r>
      <w:r w:rsidR="00A80323">
        <w:rPr>
          <w:rFonts w:ascii="Arial" w:hAnsi="Arial" w:cs="Arial"/>
          <w:sz w:val="24"/>
          <w:szCs w:val="24"/>
        </w:rPr>
        <w:t xml:space="preserve"> Em relação aos</w:t>
      </w:r>
      <w:r>
        <w:rPr>
          <w:rFonts w:ascii="Arial" w:hAnsi="Arial" w:cs="Arial"/>
          <w:sz w:val="24"/>
          <w:szCs w:val="24"/>
        </w:rPr>
        <w:t xml:space="preserve"> itens</w:t>
      </w:r>
      <w:r w:rsidR="001B2376">
        <w:rPr>
          <w:rFonts w:ascii="Arial" w:hAnsi="Arial" w:cs="Arial"/>
          <w:sz w:val="24"/>
          <w:szCs w:val="24"/>
        </w:rPr>
        <w:t xml:space="preserve"> do </w:t>
      </w:r>
      <w:r w:rsidR="000D59B0">
        <w:rPr>
          <w:rFonts w:ascii="Arial" w:hAnsi="Arial" w:cs="Arial"/>
          <w:sz w:val="24"/>
          <w:szCs w:val="24"/>
        </w:rPr>
        <w:t>instrumento</w:t>
      </w:r>
      <w:r w:rsidR="0099022F">
        <w:rPr>
          <w:rFonts w:ascii="Arial" w:hAnsi="Arial" w:cs="Arial"/>
          <w:sz w:val="24"/>
          <w:szCs w:val="24"/>
        </w:rPr>
        <w:t xml:space="preserve"> </w:t>
      </w:r>
      <w:r w:rsidR="005E7CB4">
        <w:rPr>
          <w:rFonts w:ascii="Arial" w:hAnsi="Arial" w:cs="Arial"/>
          <w:sz w:val="24"/>
        </w:rPr>
        <w:t>PedsQL</w:t>
      </w:r>
      <w:r w:rsidR="005E7CB4" w:rsidRPr="0007615E">
        <w:rPr>
          <w:rFonts w:ascii="Arial" w:hAnsi="Arial" w:cs="Arial"/>
          <w:sz w:val="20"/>
          <w:vertAlign w:val="superscript"/>
        </w:rPr>
        <w:t>TM</w:t>
      </w:r>
      <w:r w:rsidR="005E7CB4">
        <w:rPr>
          <w:rFonts w:ascii="Arial" w:hAnsi="Arial" w:cs="Arial"/>
          <w:sz w:val="20"/>
          <w:vertAlign w:val="superscript"/>
        </w:rPr>
        <w:t xml:space="preserve"> </w:t>
      </w:r>
      <w:r w:rsidR="005E7CB4" w:rsidRPr="005E7CB4">
        <w:rPr>
          <w:rFonts w:ascii="Arial" w:hAnsi="Arial" w:cs="Arial"/>
          <w:sz w:val="24"/>
        </w:rPr>
        <w:t>4.0</w:t>
      </w:r>
      <w:r w:rsidR="00A80323">
        <w:rPr>
          <w:rFonts w:ascii="Arial" w:hAnsi="Arial" w:cs="Arial"/>
          <w:sz w:val="24"/>
        </w:rPr>
        <w:t>,</w:t>
      </w:r>
      <w:r>
        <w:rPr>
          <w:rFonts w:ascii="Arial" w:hAnsi="Arial" w:cs="Arial"/>
          <w:sz w:val="24"/>
          <w:szCs w:val="24"/>
        </w:rPr>
        <w:t xml:space="preserve"> </w:t>
      </w:r>
      <w:r w:rsidR="00A80323">
        <w:rPr>
          <w:rFonts w:ascii="Arial" w:hAnsi="Arial" w:cs="Arial"/>
          <w:sz w:val="24"/>
          <w:szCs w:val="24"/>
        </w:rPr>
        <w:t xml:space="preserve">estes </w:t>
      </w:r>
      <w:r>
        <w:rPr>
          <w:rFonts w:ascii="Arial" w:hAnsi="Arial" w:cs="Arial"/>
          <w:sz w:val="24"/>
          <w:szCs w:val="24"/>
        </w:rPr>
        <w:t>são escore-reverso</w:t>
      </w:r>
      <w:r w:rsidR="00FA4787">
        <w:rPr>
          <w:rFonts w:ascii="Arial" w:hAnsi="Arial" w:cs="Arial"/>
          <w:sz w:val="24"/>
          <w:szCs w:val="24"/>
        </w:rPr>
        <w:t>. Sendo assim,</w:t>
      </w:r>
      <w:r>
        <w:rPr>
          <w:rFonts w:ascii="Arial" w:hAnsi="Arial" w:cs="Arial"/>
          <w:sz w:val="24"/>
          <w:szCs w:val="24"/>
        </w:rPr>
        <w:t xml:space="preserve"> as pontuações obtidas</w:t>
      </w:r>
      <w:r w:rsidR="00A11409">
        <w:rPr>
          <w:rFonts w:ascii="Arial" w:hAnsi="Arial" w:cs="Arial"/>
          <w:sz w:val="24"/>
          <w:szCs w:val="24"/>
        </w:rPr>
        <w:t xml:space="preserve"> em cada item, na escala de 0 a 4, </w:t>
      </w:r>
      <w:r>
        <w:rPr>
          <w:rFonts w:ascii="Arial" w:hAnsi="Arial" w:cs="Arial"/>
          <w:sz w:val="24"/>
          <w:szCs w:val="24"/>
        </w:rPr>
        <w:t>foram transpostas linearmente para uma escala de 0 a 100 (0=1</w:t>
      </w:r>
      <w:r w:rsidR="00A64F42">
        <w:rPr>
          <w:rFonts w:ascii="Arial" w:hAnsi="Arial" w:cs="Arial"/>
          <w:sz w:val="24"/>
          <w:szCs w:val="24"/>
        </w:rPr>
        <w:t>00, 1=75, 2=50, 3=25, 4=0), de modo</w:t>
      </w:r>
      <w:r>
        <w:rPr>
          <w:rFonts w:ascii="Arial" w:hAnsi="Arial" w:cs="Arial"/>
          <w:sz w:val="24"/>
          <w:szCs w:val="24"/>
        </w:rPr>
        <w:t xml:space="preserve"> que quanto maior o escore</w:t>
      </w:r>
      <w:r w:rsidR="00D56E9B">
        <w:rPr>
          <w:rFonts w:ascii="Arial" w:hAnsi="Arial" w:cs="Arial"/>
          <w:sz w:val="24"/>
          <w:szCs w:val="24"/>
        </w:rPr>
        <w:t xml:space="preserve"> total</w:t>
      </w:r>
      <w:r>
        <w:rPr>
          <w:rFonts w:ascii="Arial" w:hAnsi="Arial" w:cs="Arial"/>
          <w:sz w:val="24"/>
          <w:szCs w:val="24"/>
        </w:rPr>
        <w:t>, melhor a QVRS</w:t>
      </w:r>
      <w:r w:rsidR="00A822E3">
        <w:rPr>
          <w:rFonts w:ascii="Arial" w:hAnsi="Arial" w:cs="Arial"/>
          <w:sz w:val="24"/>
          <w:szCs w:val="24"/>
        </w:rPr>
        <w:t>. Destaca-se que</w:t>
      </w:r>
      <w:r w:rsidR="004B2052">
        <w:rPr>
          <w:rFonts w:ascii="Arial" w:hAnsi="Arial" w:cs="Arial"/>
          <w:sz w:val="24"/>
          <w:szCs w:val="24"/>
        </w:rPr>
        <w:t xml:space="preserve"> p</w:t>
      </w:r>
      <w:r w:rsidR="00A822E3">
        <w:rPr>
          <w:rFonts w:ascii="Arial" w:hAnsi="Arial" w:cs="Arial"/>
          <w:sz w:val="24"/>
          <w:szCs w:val="24"/>
        </w:rPr>
        <w:t>ara este</w:t>
      </w:r>
      <w:r w:rsidR="00A11409">
        <w:rPr>
          <w:rFonts w:ascii="Arial" w:hAnsi="Arial" w:cs="Arial"/>
          <w:sz w:val="24"/>
          <w:szCs w:val="24"/>
        </w:rPr>
        <w:t xml:space="preserve"> instrumento aplicado</w:t>
      </w:r>
      <w:r w:rsidR="004B2052">
        <w:rPr>
          <w:rFonts w:ascii="Arial" w:hAnsi="Arial" w:cs="Arial"/>
          <w:sz w:val="24"/>
          <w:szCs w:val="24"/>
        </w:rPr>
        <w:t>,</w:t>
      </w:r>
      <w:r w:rsidR="00A11409">
        <w:rPr>
          <w:rFonts w:ascii="Arial" w:hAnsi="Arial" w:cs="Arial"/>
          <w:sz w:val="24"/>
          <w:szCs w:val="24"/>
        </w:rPr>
        <w:t xml:space="preserve"> </w:t>
      </w:r>
      <w:r w:rsidR="003C0E83">
        <w:rPr>
          <w:rFonts w:ascii="Arial" w:hAnsi="Arial" w:cs="Arial"/>
          <w:sz w:val="24"/>
          <w:szCs w:val="24"/>
        </w:rPr>
        <w:t>não há um valor de corte</w:t>
      </w:r>
      <w:r w:rsidR="007A5AD5">
        <w:rPr>
          <w:rFonts w:ascii="Arial" w:hAnsi="Arial" w:cs="Arial"/>
          <w:sz w:val="24"/>
          <w:szCs w:val="24"/>
        </w:rPr>
        <w:t xml:space="preserve"> </w:t>
      </w:r>
      <w:r w:rsidR="00716498">
        <w:rPr>
          <w:rFonts w:ascii="Arial" w:hAnsi="Arial" w:cs="Arial"/>
          <w:sz w:val="24"/>
          <w:szCs w:val="24"/>
        </w:rPr>
        <w:t xml:space="preserve">estabelecido </w:t>
      </w:r>
      <w:r w:rsidR="007A5AD5">
        <w:rPr>
          <w:rFonts w:ascii="Arial" w:hAnsi="Arial" w:cs="Arial"/>
          <w:sz w:val="24"/>
          <w:szCs w:val="24"/>
        </w:rPr>
        <w:t>para avaliação da QVRS</w:t>
      </w:r>
      <w:r>
        <w:rPr>
          <w:rFonts w:ascii="Arial" w:hAnsi="Arial" w:cs="Arial"/>
          <w:sz w:val="24"/>
          <w:szCs w:val="24"/>
        </w:rPr>
        <w:t>.</w:t>
      </w:r>
      <w:r w:rsidR="008921C5">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"10.2223/JPED.1788", "ISSN" : "0021-7557", "PMID" : "18679557", "abstract" : "OBJECTIVES: To evaluate the reliability and validity of the Brazilian version of the Pediatric Quality of Life Inventory (PedsQL 4.0) Generic Core Scales and measure the quality of life of healthy children and adolescents and patients with rheumatic diseases. METHODS: We followed the translation methodology proposed by the developer of the original English version of the PedsQL 4.0. The instrument was administered by interviews in two groups: 240 apparently healthy children and adolescents from S\u00e3o Paulo (SP, Brazil) and 105 patients with chronic rheumatic diseases matched by age, as well as their respective parents or caregivers. The parent proxy-report was administered to the children's parents or caregivers separately on the same day. RESULTS: Cronbach's alpha values were between 0.6 and 0.9 for all dimensions, demonstrating adequate internal consistency. Patients with rheumatic diseases reported significantly lower PedsQL scores on all dimensions when compared to the healthy control group (p &lt; 0.0001). Construct validity of the Brazilian Portuguese version of the PedsQL 4.0 was also confirmed. Parent proxy-report of patients with rheumatic diseases highly correlated with child self-report for physical functioning (r = 0.77, p &lt; 0.001) and school functioning (r = 0.73, p &lt; 0.001). Lower correlations were observed for emotional and social functioning (r = 0.40 and 0.59, respectively, p &lt; 0.001). CONCLUSIONS: The tool demonstrated reliability, validity, and the administration was fast and easy. Quality of life in patients with rheumatic diseases was significantly lower than in the healthy control group, supporting the necessity of a comprehensive approach to rheumatic disease management, focused on the psychosocial dimensions.", "author" : [ { "dropping-particle" : "", "family" : "Klatchoian", "given" : "Denise A", "non-dropping-particle" : "", "parse-names" : false, "suffix" : "" }, { "dropping-particle" : "", "family" : "Len", "given" : "Claudio A", "non-dropping-particle" : "", "parse-names" : false, "suffix" : "" }, { "dropping-particle" : "", "family" : "Terreri", "given" : "Maria Teresa R A", "non-dropping-particle" : "", "parse-names" : false, "suffix" : "" }, { "dropping-particle" : "", "family" : "Silva", "given" : "Marina", "non-dropping-particle" : "", "parse-names" : false, "suffix" : "" }, { "dropping-particle" : "", "family" : "Itamoto", "given" : "Caroline", "non-dropping-particle" : "", "parse-names" : false, "suffix" : "" }, { "dropping-particle" : "", "family" : "Ciconelli", "given" : "Rozana M", "non-dropping-particle" : "", "parse-names" : false, "suffix" : "" }, { "dropping-particle" : "", "family" : "Varni", "given" : "James W", "non-dropping-particle" : "", "parse-names" : false, "suffix" : "" }, { "dropping-particle" : "", "family" : "Hil\u00e1rio", "given" : "Maria Odete E", "non-dropping-particle" : "", "parse-names" : false, "suffix" : "" } ], "container-title" : "Jornal de Pediatria", "id" : "ITEM-1", "issue" : "4", "issued" : { "date-parts" : [ [ "2008" ] ] }, "page" : "308-315", "title" : "Quality of life of children and adolescents from S\u00e3o Paulo: reliability and validity of the Brazilian version of the Pediatric Quality of Life Inventory version 4.0 Generic Core Scales", "type" : "article-journal", "volume" : "84" }, "uris" : [ "http://www.mendeley.com/documents/?uuid=44dc1bef-bacf-44cc-a1cc-5f8e82b50507" ] } ], "mendeley" : { "formattedCitation" : "&lt;sup&gt;94&lt;/sup&gt;", "plainTextFormattedCitation" : "94", "previouslyFormattedCitation" : "&lt;sup&gt;94&lt;/sup&gt;" }, "properties" : { "noteIndex" : 0 }, "schema" : "https://github.com/citation-style-language/schema/raw/master/csl-citation.json" }</w:instrText>
      </w:r>
      <w:r w:rsidR="008921C5">
        <w:rPr>
          <w:rFonts w:ascii="Arial" w:hAnsi="Arial" w:cs="Arial"/>
          <w:sz w:val="24"/>
          <w:szCs w:val="24"/>
        </w:rPr>
        <w:fldChar w:fldCharType="separate"/>
      </w:r>
      <w:r w:rsidR="00412B48" w:rsidRPr="00412B48">
        <w:rPr>
          <w:rFonts w:ascii="Arial" w:hAnsi="Arial" w:cs="Arial"/>
          <w:noProof/>
          <w:sz w:val="24"/>
          <w:szCs w:val="24"/>
          <w:vertAlign w:val="superscript"/>
        </w:rPr>
        <w:t>94</w:t>
      </w:r>
      <w:r w:rsidR="008921C5">
        <w:rPr>
          <w:rFonts w:ascii="Arial" w:hAnsi="Arial" w:cs="Arial"/>
          <w:sz w:val="24"/>
          <w:szCs w:val="24"/>
        </w:rPr>
        <w:fldChar w:fldCharType="end"/>
      </w:r>
    </w:p>
    <w:p w:rsidR="00876DCC" w:rsidRPr="00B158B6" w:rsidRDefault="00CC23BB" w:rsidP="001018B9">
      <w:pPr>
        <w:spacing w:after="0" w:line="360" w:lineRule="auto"/>
        <w:jc w:val="both"/>
        <w:rPr>
          <w:rFonts w:ascii="Arial" w:hAnsi="Arial" w:cs="Arial"/>
          <w:sz w:val="24"/>
          <w:szCs w:val="24"/>
        </w:rPr>
      </w:pPr>
      <w:r>
        <w:rPr>
          <w:rFonts w:ascii="Arial" w:hAnsi="Arial" w:cs="Arial"/>
          <w:sz w:val="24"/>
          <w:szCs w:val="24"/>
        </w:rPr>
        <w:lastRenderedPageBreak/>
        <w:t xml:space="preserve">Os escores dos domínios físico, emocional, social e escolar foram calculados somando-se os pontos atribuídos aos itens que integram cada domínio (na escala de 0 a 100), dividido pelo número de itens respondidos no domínio </w:t>
      </w:r>
      <w:r w:rsidR="004171D4">
        <w:rPr>
          <w:rFonts w:ascii="Arial" w:hAnsi="Arial" w:cs="Arial"/>
          <w:sz w:val="24"/>
          <w:szCs w:val="24"/>
        </w:rPr>
        <w:t>equivale</w:t>
      </w:r>
      <w:r>
        <w:rPr>
          <w:rFonts w:ascii="Arial" w:hAnsi="Arial" w:cs="Arial"/>
          <w:sz w:val="24"/>
          <w:szCs w:val="24"/>
        </w:rPr>
        <w:t xml:space="preserve">nte. O escore sumário de saúde psicossocial foi determinado pelo escore médio </w:t>
      </w:r>
      <w:r w:rsidR="008D348A">
        <w:rPr>
          <w:rFonts w:ascii="Arial" w:hAnsi="Arial" w:cs="Arial"/>
          <w:sz w:val="24"/>
          <w:szCs w:val="24"/>
        </w:rPr>
        <w:t>d</w:t>
      </w:r>
      <w:r>
        <w:rPr>
          <w:rFonts w:ascii="Arial" w:hAnsi="Arial" w:cs="Arial"/>
          <w:sz w:val="24"/>
          <w:szCs w:val="24"/>
        </w:rPr>
        <w:t xml:space="preserve">os domínios </w:t>
      </w:r>
      <w:r w:rsidR="008A42FA">
        <w:rPr>
          <w:rFonts w:ascii="Arial" w:hAnsi="Arial" w:cs="Arial"/>
          <w:sz w:val="24"/>
          <w:szCs w:val="24"/>
        </w:rPr>
        <w:t xml:space="preserve">aspectos </w:t>
      </w:r>
      <w:r>
        <w:rPr>
          <w:rFonts w:ascii="Arial" w:hAnsi="Arial" w:cs="Arial"/>
          <w:sz w:val="24"/>
          <w:szCs w:val="24"/>
        </w:rPr>
        <w:t>emociona</w:t>
      </w:r>
      <w:r w:rsidR="008A42FA">
        <w:rPr>
          <w:rFonts w:ascii="Arial" w:hAnsi="Arial" w:cs="Arial"/>
          <w:sz w:val="24"/>
          <w:szCs w:val="24"/>
        </w:rPr>
        <w:t>is</w:t>
      </w:r>
      <w:r>
        <w:rPr>
          <w:rFonts w:ascii="Arial" w:hAnsi="Arial" w:cs="Arial"/>
          <w:sz w:val="24"/>
          <w:szCs w:val="24"/>
        </w:rPr>
        <w:t xml:space="preserve">, </w:t>
      </w:r>
      <w:r w:rsidR="008A42FA">
        <w:rPr>
          <w:rFonts w:ascii="Arial" w:hAnsi="Arial" w:cs="Arial"/>
          <w:sz w:val="24"/>
          <w:szCs w:val="24"/>
        </w:rPr>
        <w:t xml:space="preserve">aspectos </w:t>
      </w:r>
      <w:r>
        <w:rPr>
          <w:rFonts w:ascii="Arial" w:hAnsi="Arial" w:cs="Arial"/>
          <w:sz w:val="24"/>
          <w:szCs w:val="24"/>
        </w:rPr>
        <w:t>socia</w:t>
      </w:r>
      <w:r w:rsidR="008A42FA">
        <w:rPr>
          <w:rFonts w:ascii="Arial" w:hAnsi="Arial" w:cs="Arial"/>
          <w:sz w:val="24"/>
          <w:szCs w:val="24"/>
        </w:rPr>
        <w:t>is</w:t>
      </w:r>
      <w:r>
        <w:rPr>
          <w:rFonts w:ascii="Arial" w:hAnsi="Arial" w:cs="Arial"/>
          <w:sz w:val="24"/>
          <w:szCs w:val="24"/>
        </w:rPr>
        <w:t xml:space="preserve"> e</w:t>
      </w:r>
      <w:r w:rsidR="008A42FA">
        <w:rPr>
          <w:rFonts w:ascii="Arial" w:hAnsi="Arial" w:cs="Arial"/>
          <w:sz w:val="24"/>
          <w:szCs w:val="24"/>
        </w:rPr>
        <w:t xml:space="preserve"> atividades</w:t>
      </w:r>
      <w:r>
        <w:rPr>
          <w:rFonts w:ascii="Arial" w:hAnsi="Arial" w:cs="Arial"/>
          <w:sz w:val="24"/>
          <w:szCs w:val="24"/>
        </w:rPr>
        <w:t xml:space="preserve"> escolar</w:t>
      </w:r>
      <w:r w:rsidR="008A42FA">
        <w:rPr>
          <w:rFonts w:ascii="Arial" w:hAnsi="Arial" w:cs="Arial"/>
          <w:sz w:val="24"/>
          <w:szCs w:val="24"/>
        </w:rPr>
        <w:t>es</w:t>
      </w:r>
      <w:r>
        <w:rPr>
          <w:rFonts w:ascii="Arial" w:hAnsi="Arial" w:cs="Arial"/>
          <w:sz w:val="24"/>
          <w:szCs w:val="24"/>
        </w:rPr>
        <w:t>. E, o escore representando a qualidade de vida geral (escore total do PedsQL</w:t>
      </w:r>
      <w:r w:rsidRPr="005450CF">
        <w:rPr>
          <w:rFonts w:ascii="Arial" w:hAnsi="Arial" w:cs="Arial"/>
          <w:sz w:val="24"/>
          <w:szCs w:val="24"/>
          <w:vertAlign w:val="superscript"/>
        </w:rPr>
        <w:t>TM</w:t>
      </w:r>
      <w:r>
        <w:rPr>
          <w:rFonts w:ascii="Arial" w:hAnsi="Arial" w:cs="Arial"/>
          <w:sz w:val="24"/>
          <w:szCs w:val="24"/>
        </w:rPr>
        <w:t xml:space="preserve"> 4.0) foi computado através da soma de todos os pontos da escala, dividido pelo número total </w:t>
      </w:r>
      <w:r w:rsidR="00B158B6">
        <w:rPr>
          <w:rFonts w:ascii="Arial" w:hAnsi="Arial" w:cs="Arial"/>
          <w:sz w:val="24"/>
          <w:szCs w:val="24"/>
        </w:rPr>
        <w:t>de itens respondidos</w:t>
      </w:r>
      <w:r w:rsidR="00CF7547">
        <w:rPr>
          <w:rFonts w:ascii="Arial" w:hAnsi="Arial" w:cs="Arial"/>
          <w:sz w:val="24"/>
          <w:szCs w:val="24"/>
        </w:rPr>
        <w:t>.</w:t>
      </w:r>
      <w:r w:rsidR="003B6BA9">
        <w:rPr>
          <w:rFonts w:ascii="Arial" w:hAnsi="Arial" w:cs="Arial"/>
          <w:sz w:val="24"/>
          <w:szCs w:val="24"/>
        </w:rPr>
        <w:t xml:space="preserve"> </w:t>
      </w:r>
      <w:r w:rsidR="007111C1">
        <w:rPr>
          <w:rFonts w:ascii="Arial" w:hAnsi="Arial" w:cs="Arial"/>
          <w:sz w:val="24"/>
          <w:szCs w:val="24"/>
        </w:rPr>
        <w:t>Na</w:t>
      </w:r>
      <w:r w:rsidR="00A64F42">
        <w:rPr>
          <w:rFonts w:ascii="Arial" w:hAnsi="Arial" w:cs="Arial"/>
          <w:sz w:val="24"/>
          <w:szCs w:val="24"/>
        </w:rPr>
        <w:t xml:space="preserve"> ausência de</w:t>
      </w:r>
      <w:r w:rsidR="00060B1F">
        <w:rPr>
          <w:rFonts w:ascii="Arial" w:hAnsi="Arial" w:cs="Arial"/>
          <w:sz w:val="24"/>
          <w:szCs w:val="24"/>
        </w:rPr>
        <w:t xml:space="preserve"> resposta em</w:t>
      </w:r>
      <w:r w:rsidR="00A64F42">
        <w:rPr>
          <w:rFonts w:ascii="Arial" w:hAnsi="Arial" w:cs="Arial"/>
          <w:sz w:val="24"/>
          <w:szCs w:val="24"/>
        </w:rPr>
        <w:t xml:space="preserve"> mais de 50% dos itens </w:t>
      </w:r>
      <w:r w:rsidR="00060B1F">
        <w:rPr>
          <w:rFonts w:ascii="Arial" w:hAnsi="Arial" w:cs="Arial"/>
          <w:sz w:val="24"/>
          <w:szCs w:val="24"/>
        </w:rPr>
        <w:t>que compõem o instrumento</w:t>
      </w:r>
      <w:r w:rsidR="00A64F42">
        <w:rPr>
          <w:rFonts w:ascii="Arial" w:hAnsi="Arial" w:cs="Arial"/>
          <w:sz w:val="24"/>
          <w:szCs w:val="24"/>
        </w:rPr>
        <w:t>, o escore</w:t>
      </w:r>
      <w:r w:rsidR="003B6BA9">
        <w:rPr>
          <w:rFonts w:ascii="Arial" w:hAnsi="Arial" w:cs="Arial"/>
          <w:sz w:val="24"/>
          <w:szCs w:val="24"/>
        </w:rPr>
        <w:t xml:space="preserve"> total</w:t>
      </w:r>
      <w:r w:rsidR="00B37B26">
        <w:rPr>
          <w:rFonts w:ascii="Arial" w:hAnsi="Arial" w:cs="Arial"/>
          <w:sz w:val="24"/>
          <w:szCs w:val="24"/>
        </w:rPr>
        <w:t xml:space="preserve"> da escala</w:t>
      </w:r>
      <w:r w:rsidR="00A64F42">
        <w:rPr>
          <w:rFonts w:ascii="Arial" w:hAnsi="Arial" w:cs="Arial"/>
          <w:sz w:val="24"/>
          <w:szCs w:val="24"/>
        </w:rPr>
        <w:t xml:space="preserve"> não </w:t>
      </w:r>
      <w:r w:rsidR="007E52FB">
        <w:rPr>
          <w:rFonts w:ascii="Arial" w:hAnsi="Arial" w:cs="Arial"/>
          <w:sz w:val="24"/>
          <w:szCs w:val="24"/>
        </w:rPr>
        <w:t>deve ser</w:t>
      </w:r>
      <w:r w:rsidR="00A64F42">
        <w:rPr>
          <w:rFonts w:ascii="Arial" w:hAnsi="Arial" w:cs="Arial"/>
          <w:sz w:val="24"/>
          <w:szCs w:val="24"/>
        </w:rPr>
        <w:t xml:space="preserve"> computado</w:t>
      </w:r>
      <w:r w:rsidR="00BD165E">
        <w:rPr>
          <w:rFonts w:ascii="Arial" w:hAnsi="Arial" w:cs="Arial"/>
          <w:sz w:val="24"/>
          <w:szCs w:val="24"/>
        </w:rPr>
        <w:t>.</w:t>
      </w:r>
      <w:r w:rsidR="00866849">
        <w:rPr>
          <w:rFonts w:ascii="Arial" w:hAnsi="Arial" w:cs="Arial"/>
          <w:sz w:val="24"/>
          <w:szCs w:val="24"/>
        </w:rPr>
        <w:fldChar w:fldCharType="begin" w:fldLock="1"/>
      </w:r>
      <w:r w:rsidR="00195481">
        <w:rPr>
          <w:rFonts w:ascii="Arial" w:hAnsi="Arial" w:cs="Arial"/>
          <w:sz w:val="24"/>
          <w:szCs w:val="24"/>
        </w:rPr>
        <w:instrText>ADDIN CSL_CITATION { "citationItems" : [ { "id" : "ITEM-1", "itemData" : { "DOI" : "10.2223/JPED.1788", "ISSN" : "0021-7557", "PMID" : "18679557", "abstract" : "OBJECTIVES: To evaluate the reliability and validity of the Brazilian version of the Pediatric Quality of Life Inventory (PedsQL 4.0) Generic Core Scales and measure the quality of life of healthy children and adolescents and patients with rheumatic diseases. METHODS: We followed the translation methodology proposed by the developer of the original English version of the PedsQL 4.0. The instrument was administered by interviews in two groups: 240 apparently healthy children and adolescents from S\u00e3o Paulo (SP, Brazil) and 105 patients with chronic rheumatic diseases matched by age, as well as their respective parents or caregivers. The parent proxy-report was administered to the children's parents or caregivers separately on the same day. RESULTS: Cronbach's alpha values were between 0.6 and 0.9 for all dimensions, demonstrating adequate internal consistency. Patients with rheumatic diseases reported significantly lower PedsQL scores on all dimensions when compared to the healthy control group (p &lt; 0.0001). Construct validity of the Brazilian Portuguese version of the PedsQL 4.0 was also confirmed. Parent proxy-report of patients with rheumatic diseases highly correlated with child self-report for physical functioning (r = 0.77, p &lt; 0.001) and school functioning (r = 0.73, p &lt; 0.001). Lower correlations were observed for emotional and social functioning (r = 0.40 and 0.59, respectively, p &lt; 0.001). CONCLUSIONS: The tool demonstrated reliability, validity, and the administration was fast and easy. Quality of life in patients with rheumatic diseases was significantly lower than in the healthy control group, supporting the necessity of a comprehensive approach to rheumatic disease management, focused on the psychosocial dimensions.", "author" : [ { "dropping-particle" : "", "family" : "Klatchoian", "given" : "Denise A", "non-dropping-particle" : "", "parse-names" : false, "suffix" : "" }, { "dropping-particle" : "", "family" : "Len", "given" : "Claudio A", "non-dropping-particle" : "", "parse-names" : false, "suffix" : "" }, { "dropping-particle" : "", "family" : "Terreri", "given" : "Maria Teresa R A", "non-dropping-particle" : "", "parse-names" : false, "suffix" : "" }, { "dropping-particle" : "", "family" : "Silva", "given" : "Marina", "non-dropping-particle" : "", "parse-names" : false, "suffix" : "" }, { "dropping-particle" : "", "family" : "Itamoto", "given" : "Caroline", "non-dropping-particle" : "", "parse-names" : false, "suffix" : "" }, { "dropping-particle" : "", "family" : "Ciconelli", "given" : "Rozana M", "non-dropping-particle" : "", "parse-names" : false, "suffix" : "" }, { "dropping-particle" : "", "family" : "Varni", "given" : "James W", "non-dropping-particle" : "", "parse-names" : false, "suffix" : "" }, { "dropping-particle" : "", "family" : "Hil\u00e1rio", "given" : "Maria Odete E", "non-dropping-particle" : "", "parse-names" : false, "suffix" : "" } ], "container-title" : "Jornal de Pediatria", "id" : "ITEM-1", "issue" : "4", "issued" : { "date-parts" : [ [ "2008" ] ] }, "page" : "308-315", "title" : "Quality of life of children and adolescents from S\u00e3o Paulo: reliability and validity of the Brazilian version of the Pediatric Quality of Life Inventory version 4.0 Generic Core Scales", "type" : "article-journal", "volume" : "84" }, "uris" : [ "http://www.mendeley.com/documents/?uuid=44dc1bef-bacf-44cc-a1cc-5f8e82b50507" ] } ], "mendeley" : { "formattedCitation" : "&lt;sup&gt;94&lt;/sup&gt;", "plainTextFormattedCitation" : "94", "previouslyFormattedCitation" : "&lt;sup&gt;94&lt;/sup&gt;" }, "properties" : { "noteIndex" : 0 }, "schema" : "https://github.com/citation-style-language/schema/raw/master/csl-citation.json" }</w:instrText>
      </w:r>
      <w:r w:rsidR="00866849">
        <w:rPr>
          <w:rFonts w:ascii="Arial" w:hAnsi="Arial" w:cs="Arial"/>
          <w:sz w:val="24"/>
          <w:szCs w:val="24"/>
        </w:rPr>
        <w:fldChar w:fldCharType="separate"/>
      </w:r>
      <w:r w:rsidR="00412B48" w:rsidRPr="00412B48">
        <w:rPr>
          <w:rFonts w:ascii="Arial" w:hAnsi="Arial" w:cs="Arial"/>
          <w:noProof/>
          <w:sz w:val="24"/>
          <w:szCs w:val="24"/>
          <w:vertAlign w:val="superscript"/>
        </w:rPr>
        <w:t>94</w:t>
      </w:r>
      <w:r w:rsidR="00866849">
        <w:rPr>
          <w:rFonts w:ascii="Arial" w:hAnsi="Arial" w:cs="Arial"/>
          <w:sz w:val="24"/>
          <w:szCs w:val="24"/>
        </w:rPr>
        <w:fldChar w:fldCharType="end"/>
      </w:r>
      <w:r w:rsidR="00060B1F">
        <w:rPr>
          <w:rFonts w:ascii="Arial" w:hAnsi="Arial" w:cs="Arial"/>
          <w:sz w:val="24"/>
          <w:szCs w:val="24"/>
        </w:rPr>
        <w:t xml:space="preserve"> </w:t>
      </w:r>
      <w:r w:rsidR="00211F97">
        <w:rPr>
          <w:rFonts w:ascii="Arial" w:hAnsi="Arial" w:cs="Arial"/>
          <w:sz w:val="24"/>
          <w:szCs w:val="24"/>
        </w:rPr>
        <w:t>Entretanto,</w:t>
      </w:r>
      <w:r w:rsidR="00B719AE">
        <w:rPr>
          <w:rFonts w:ascii="Arial" w:hAnsi="Arial" w:cs="Arial"/>
          <w:sz w:val="24"/>
          <w:szCs w:val="24"/>
        </w:rPr>
        <w:t xml:space="preserve"> esta situação não foi</w:t>
      </w:r>
      <w:r w:rsidR="007111C1">
        <w:rPr>
          <w:rFonts w:ascii="Arial" w:hAnsi="Arial" w:cs="Arial"/>
          <w:sz w:val="24"/>
          <w:szCs w:val="24"/>
        </w:rPr>
        <w:t xml:space="preserve"> </w:t>
      </w:r>
      <w:r w:rsidR="00DF1234">
        <w:rPr>
          <w:rFonts w:ascii="Arial" w:hAnsi="Arial" w:cs="Arial"/>
          <w:sz w:val="24"/>
          <w:szCs w:val="24"/>
        </w:rPr>
        <w:t>constatada</w:t>
      </w:r>
      <w:r w:rsidR="00B719AE">
        <w:rPr>
          <w:rFonts w:ascii="Arial" w:hAnsi="Arial" w:cs="Arial"/>
          <w:sz w:val="24"/>
          <w:szCs w:val="24"/>
        </w:rPr>
        <w:t xml:space="preserve"> em</w:t>
      </w:r>
      <w:r w:rsidR="000A6BD8">
        <w:rPr>
          <w:rFonts w:ascii="Arial" w:hAnsi="Arial" w:cs="Arial"/>
          <w:sz w:val="24"/>
          <w:szCs w:val="24"/>
        </w:rPr>
        <w:t xml:space="preserve"> </w:t>
      </w:r>
      <w:r w:rsidR="00B719AE">
        <w:rPr>
          <w:rFonts w:ascii="Arial" w:hAnsi="Arial" w:cs="Arial"/>
          <w:sz w:val="24"/>
          <w:szCs w:val="24"/>
        </w:rPr>
        <w:t xml:space="preserve">nenhum caso </w:t>
      </w:r>
      <w:r w:rsidR="00060B1F">
        <w:rPr>
          <w:rFonts w:ascii="Arial" w:hAnsi="Arial" w:cs="Arial"/>
          <w:sz w:val="24"/>
          <w:szCs w:val="24"/>
        </w:rPr>
        <w:t>deste estudo.</w:t>
      </w:r>
    </w:p>
    <w:p w:rsidR="008F21DF" w:rsidRDefault="008F21DF" w:rsidP="00A61E42">
      <w:pPr>
        <w:spacing w:after="0" w:line="360" w:lineRule="auto"/>
        <w:jc w:val="both"/>
        <w:rPr>
          <w:rFonts w:ascii="Arial" w:hAnsi="Arial" w:cs="Arial"/>
          <w:sz w:val="24"/>
        </w:rPr>
      </w:pPr>
    </w:p>
    <w:p w:rsidR="00A61E42" w:rsidRPr="00A61E42" w:rsidRDefault="00A61E42" w:rsidP="004D4A6B">
      <w:pPr>
        <w:pStyle w:val="Ttulo1"/>
      </w:pPr>
      <w:bookmarkStart w:id="22" w:name="_Toc496749614"/>
      <w:r w:rsidRPr="00A61E42">
        <w:t>4.</w:t>
      </w:r>
      <w:r w:rsidR="00F7296D">
        <w:t>5</w:t>
      </w:r>
      <w:r w:rsidRPr="00A61E42">
        <w:t xml:space="preserve"> Procedimentos</w:t>
      </w:r>
      <w:r w:rsidR="001F6740">
        <w:t xml:space="preserve"> do estudo</w:t>
      </w:r>
      <w:bookmarkEnd w:id="22"/>
    </w:p>
    <w:p w:rsidR="00A61E42" w:rsidRDefault="00A61E42" w:rsidP="00A61E42">
      <w:pPr>
        <w:spacing w:after="0" w:line="360" w:lineRule="auto"/>
        <w:jc w:val="both"/>
        <w:rPr>
          <w:rFonts w:ascii="Arial" w:hAnsi="Arial" w:cs="Arial"/>
          <w:sz w:val="24"/>
        </w:rPr>
      </w:pPr>
    </w:p>
    <w:p w:rsidR="001564DF" w:rsidRDefault="00C9365B" w:rsidP="001018B9">
      <w:pPr>
        <w:spacing w:after="0" w:line="360" w:lineRule="auto"/>
        <w:jc w:val="both"/>
        <w:rPr>
          <w:rFonts w:ascii="Arial" w:hAnsi="Arial" w:cs="Arial"/>
          <w:sz w:val="24"/>
        </w:rPr>
      </w:pPr>
      <w:r>
        <w:rPr>
          <w:rFonts w:ascii="Arial" w:hAnsi="Arial" w:cs="Arial"/>
          <w:sz w:val="24"/>
        </w:rPr>
        <w:t xml:space="preserve">A coleta de dados ocorreu </w:t>
      </w:r>
      <w:r w:rsidRPr="00C9365B">
        <w:rPr>
          <w:rFonts w:ascii="Arial" w:hAnsi="Arial" w:cs="Arial"/>
          <w:sz w:val="24"/>
        </w:rPr>
        <w:t xml:space="preserve">a partir da análise documental do prontuário </w:t>
      </w:r>
      <w:r w:rsidR="00F954B3">
        <w:rPr>
          <w:rFonts w:ascii="Arial" w:hAnsi="Arial" w:cs="Arial"/>
          <w:sz w:val="24"/>
        </w:rPr>
        <w:t xml:space="preserve">dos </w:t>
      </w:r>
      <w:r w:rsidRPr="00C9365B">
        <w:rPr>
          <w:rFonts w:ascii="Arial" w:hAnsi="Arial" w:cs="Arial"/>
          <w:sz w:val="24"/>
        </w:rPr>
        <w:t>participantes</w:t>
      </w:r>
      <w:r>
        <w:rPr>
          <w:rFonts w:ascii="Arial" w:hAnsi="Arial" w:cs="Arial"/>
          <w:sz w:val="24"/>
        </w:rPr>
        <w:t xml:space="preserve"> do estudo. </w:t>
      </w:r>
      <w:r w:rsidR="008F21DF" w:rsidRPr="00A557D3">
        <w:rPr>
          <w:rFonts w:ascii="Arial" w:hAnsi="Arial" w:cs="Arial"/>
          <w:sz w:val="24"/>
        </w:rPr>
        <w:t>Os dados sociodemográficos</w:t>
      </w:r>
      <w:r w:rsidR="00E218EE">
        <w:rPr>
          <w:rFonts w:ascii="Arial" w:hAnsi="Arial" w:cs="Arial"/>
          <w:sz w:val="24"/>
        </w:rPr>
        <w:t xml:space="preserve"> (sexo e idade)</w:t>
      </w:r>
      <w:r w:rsidR="00640D0A">
        <w:rPr>
          <w:rFonts w:ascii="Arial" w:hAnsi="Arial" w:cs="Arial"/>
          <w:sz w:val="24"/>
        </w:rPr>
        <w:t xml:space="preserve"> e clínico</w:t>
      </w:r>
      <w:r w:rsidR="00E218EE">
        <w:rPr>
          <w:rFonts w:ascii="Arial" w:hAnsi="Arial" w:cs="Arial"/>
          <w:sz w:val="24"/>
        </w:rPr>
        <w:t xml:space="preserve"> (tipo de MPS)</w:t>
      </w:r>
      <w:r w:rsidR="008F21DF" w:rsidRPr="00A557D3">
        <w:rPr>
          <w:rFonts w:ascii="Arial" w:hAnsi="Arial" w:cs="Arial"/>
          <w:sz w:val="24"/>
        </w:rPr>
        <w:t xml:space="preserve"> foram </w:t>
      </w:r>
      <w:r>
        <w:rPr>
          <w:rFonts w:ascii="Arial" w:hAnsi="Arial" w:cs="Arial"/>
          <w:sz w:val="24"/>
        </w:rPr>
        <w:t>registrados em</w:t>
      </w:r>
      <w:r w:rsidR="008F21DF" w:rsidRPr="00A557D3">
        <w:rPr>
          <w:rFonts w:ascii="Arial" w:hAnsi="Arial" w:cs="Arial"/>
          <w:sz w:val="24"/>
        </w:rPr>
        <w:t xml:space="preserve"> formulário </w:t>
      </w:r>
      <w:r w:rsidR="008F21DF">
        <w:rPr>
          <w:rFonts w:ascii="Arial" w:hAnsi="Arial" w:cs="Arial"/>
          <w:sz w:val="24"/>
        </w:rPr>
        <w:t>próprio</w:t>
      </w:r>
      <w:r w:rsidR="00062995">
        <w:rPr>
          <w:rFonts w:ascii="Arial" w:hAnsi="Arial" w:cs="Arial"/>
          <w:sz w:val="24"/>
        </w:rPr>
        <w:t xml:space="preserve"> (Apêndice A)</w:t>
      </w:r>
      <w:r w:rsidR="00F954B3">
        <w:rPr>
          <w:rFonts w:ascii="Arial" w:hAnsi="Arial" w:cs="Arial"/>
          <w:sz w:val="24"/>
        </w:rPr>
        <w:t>; e os</w:t>
      </w:r>
      <w:r w:rsidR="00A61E42">
        <w:rPr>
          <w:rFonts w:ascii="Arial" w:hAnsi="Arial" w:cs="Arial"/>
          <w:sz w:val="24"/>
        </w:rPr>
        <w:t xml:space="preserve"> </w:t>
      </w:r>
      <w:r w:rsidR="00E358A5">
        <w:rPr>
          <w:rFonts w:ascii="Arial" w:hAnsi="Arial" w:cs="Arial"/>
          <w:sz w:val="24"/>
        </w:rPr>
        <w:t>dados referentes à</w:t>
      </w:r>
      <w:r w:rsidR="008F21DF">
        <w:rPr>
          <w:rFonts w:ascii="Arial" w:hAnsi="Arial" w:cs="Arial"/>
          <w:sz w:val="24"/>
        </w:rPr>
        <w:t xml:space="preserve"> independência funcional </w:t>
      </w:r>
      <w:r w:rsidR="0085544E">
        <w:rPr>
          <w:rFonts w:ascii="Arial" w:hAnsi="Arial" w:cs="Arial"/>
          <w:sz w:val="24"/>
        </w:rPr>
        <w:t xml:space="preserve">e </w:t>
      </w:r>
      <w:r w:rsidR="00ED142C">
        <w:rPr>
          <w:rFonts w:ascii="Arial" w:hAnsi="Arial" w:cs="Arial"/>
          <w:sz w:val="24"/>
        </w:rPr>
        <w:t>à</w:t>
      </w:r>
      <w:r w:rsidR="0085544E">
        <w:rPr>
          <w:rFonts w:ascii="Arial" w:hAnsi="Arial" w:cs="Arial"/>
          <w:sz w:val="24"/>
        </w:rPr>
        <w:t xml:space="preserve"> </w:t>
      </w:r>
      <w:r w:rsidR="007B220E">
        <w:rPr>
          <w:rFonts w:ascii="Arial" w:hAnsi="Arial" w:cs="Arial"/>
          <w:sz w:val="24"/>
        </w:rPr>
        <w:t>QVRS</w:t>
      </w:r>
      <w:r w:rsidR="00C851D7">
        <w:rPr>
          <w:rFonts w:ascii="Arial" w:hAnsi="Arial" w:cs="Arial"/>
          <w:sz w:val="24"/>
        </w:rPr>
        <w:t xml:space="preserve"> </w:t>
      </w:r>
      <w:r w:rsidR="0085544E">
        <w:rPr>
          <w:rFonts w:ascii="Arial" w:hAnsi="Arial" w:cs="Arial"/>
          <w:sz w:val="24"/>
        </w:rPr>
        <w:t>f</w:t>
      </w:r>
      <w:r w:rsidR="00A61E42">
        <w:rPr>
          <w:rFonts w:ascii="Arial" w:hAnsi="Arial" w:cs="Arial"/>
          <w:sz w:val="24"/>
        </w:rPr>
        <w:t>ora</w:t>
      </w:r>
      <w:r w:rsidR="00E358A5">
        <w:rPr>
          <w:rFonts w:ascii="Arial" w:hAnsi="Arial" w:cs="Arial"/>
          <w:sz w:val="24"/>
        </w:rPr>
        <w:t xml:space="preserve">m obtidos </w:t>
      </w:r>
      <w:r w:rsidR="00CD210A">
        <w:rPr>
          <w:rFonts w:ascii="Arial" w:hAnsi="Arial" w:cs="Arial"/>
          <w:sz w:val="24"/>
        </w:rPr>
        <w:t>por meio d</w:t>
      </w:r>
      <w:r>
        <w:rPr>
          <w:rFonts w:ascii="Arial" w:hAnsi="Arial" w:cs="Arial"/>
          <w:sz w:val="24"/>
        </w:rPr>
        <w:t>a</w:t>
      </w:r>
      <w:r w:rsidR="00CD210A">
        <w:rPr>
          <w:rFonts w:ascii="Arial" w:hAnsi="Arial" w:cs="Arial"/>
          <w:sz w:val="24"/>
        </w:rPr>
        <w:t xml:space="preserve"> análise</w:t>
      </w:r>
      <w:r w:rsidR="001564DF">
        <w:rPr>
          <w:rFonts w:ascii="Arial" w:hAnsi="Arial" w:cs="Arial"/>
          <w:sz w:val="24"/>
        </w:rPr>
        <w:t xml:space="preserve"> </w:t>
      </w:r>
      <w:r w:rsidR="003543D5">
        <w:rPr>
          <w:rFonts w:ascii="Arial" w:hAnsi="Arial" w:cs="Arial"/>
          <w:sz w:val="24"/>
        </w:rPr>
        <w:t>das fichas de avaliação</w:t>
      </w:r>
      <w:r w:rsidR="001564DF">
        <w:rPr>
          <w:rFonts w:ascii="Arial" w:hAnsi="Arial" w:cs="Arial"/>
          <w:sz w:val="24"/>
        </w:rPr>
        <w:t xml:space="preserve"> </w:t>
      </w:r>
      <w:r w:rsidR="00C12C5E">
        <w:rPr>
          <w:rFonts w:ascii="Arial" w:hAnsi="Arial" w:cs="Arial"/>
          <w:sz w:val="24"/>
        </w:rPr>
        <w:t>padronizad</w:t>
      </w:r>
      <w:r w:rsidR="003543D5">
        <w:rPr>
          <w:rFonts w:ascii="Arial" w:hAnsi="Arial" w:cs="Arial"/>
          <w:sz w:val="24"/>
        </w:rPr>
        <w:t>a</w:t>
      </w:r>
      <w:r w:rsidR="00C12C5E">
        <w:rPr>
          <w:rFonts w:ascii="Arial" w:hAnsi="Arial" w:cs="Arial"/>
          <w:sz w:val="24"/>
        </w:rPr>
        <w:t>s</w:t>
      </w:r>
      <w:r w:rsidR="001564DF">
        <w:rPr>
          <w:rFonts w:ascii="Arial" w:hAnsi="Arial" w:cs="Arial"/>
          <w:sz w:val="24"/>
        </w:rPr>
        <w:t>, utilizad</w:t>
      </w:r>
      <w:r w:rsidR="003543D5">
        <w:rPr>
          <w:rFonts w:ascii="Arial" w:hAnsi="Arial" w:cs="Arial"/>
          <w:sz w:val="24"/>
        </w:rPr>
        <w:t>a</w:t>
      </w:r>
      <w:r w:rsidR="001564DF">
        <w:rPr>
          <w:rFonts w:ascii="Arial" w:hAnsi="Arial" w:cs="Arial"/>
          <w:sz w:val="24"/>
        </w:rPr>
        <w:t>s no referido serviço</w:t>
      </w:r>
      <w:r w:rsidR="005A5194">
        <w:rPr>
          <w:rFonts w:ascii="Arial" w:hAnsi="Arial" w:cs="Arial"/>
          <w:sz w:val="24"/>
        </w:rPr>
        <w:t>.</w:t>
      </w:r>
    </w:p>
    <w:p w:rsidR="001564DF" w:rsidRDefault="001564DF" w:rsidP="001018B9">
      <w:pPr>
        <w:spacing w:after="0" w:line="360" w:lineRule="auto"/>
        <w:jc w:val="both"/>
        <w:rPr>
          <w:rFonts w:ascii="Arial" w:hAnsi="Arial" w:cs="Arial"/>
          <w:sz w:val="24"/>
        </w:rPr>
      </w:pPr>
    </w:p>
    <w:p w:rsidR="008936C8" w:rsidRDefault="00452A4E" w:rsidP="001018B9">
      <w:pPr>
        <w:spacing w:after="0" w:line="360" w:lineRule="auto"/>
        <w:jc w:val="both"/>
        <w:rPr>
          <w:rFonts w:ascii="Arial" w:hAnsi="Arial" w:cs="Arial"/>
          <w:sz w:val="24"/>
        </w:rPr>
      </w:pPr>
      <w:r>
        <w:rPr>
          <w:rFonts w:ascii="Arial" w:hAnsi="Arial" w:cs="Arial"/>
          <w:sz w:val="24"/>
        </w:rPr>
        <w:t>A</w:t>
      </w:r>
      <w:r w:rsidR="001B2376">
        <w:rPr>
          <w:rFonts w:ascii="Arial" w:hAnsi="Arial" w:cs="Arial"/>
          <w:sz w:val="24"/>
        </w:rPr>
        <w:t xml:space="preserve"> e</w:t>
      </w:r>
      <w:r w:rsidR="008F3FD1">
        <w:rPr>
          <w:rFonts w:ascii="Arial" w:hAnsi="Arial" w:cs="Arial"/>
          <w:sz w:val="24"/>
        </w:rPr>
        <w:t xml:space="preserve">scala MIF </w:t>
      </w:r>
      <w:r w:rsidR="000A6D68">
        <w:rPr>
          <w:rFonts w:ascii="Arial" w:hAnsi="Arial" w:cs="Arial"/>
          <w:sz w:val="24"/>
        </w:rPr>
        <w:t>foi aplicad</w:t>
      </w:r>
      <w:r w:rsidR="00A61E42">
        <w:rPr>
          <w:rFonts w:ascii="Arial" w:hAnsi="Arial" w:cs="Arial"/>
          <w:sz w:val="24"/>
        </w:rPr>
        <w:t>a</w:t>
      </w:r>
      <w:r w:rsidR="000A6D68">
        <w:rPr>
          <w:rFonts w:ascii="Arial" w:hAnsi="Arial" w:cs="Arial"/>
          <w:sz w:val="24"/>
        </w:rPr>
        <w:t xml:space="preserve"> por </w:t>
      </w:r>
      <w:r w:rsidR="0039439F">
        <w:rPr>
          <w:rFonts w:ascii="Arial" w:hAnsi="Arial" w:cs="Arial"/>
          <w:sz w:val="24"/>
        </w:rPr>
        <w:t>profissional</w:t>
      </w:r>
      <w:r w:rsidR="001F6740">
        <w:rPr>
          <w:rFonts w:ascii="Arial" w:hAnsi="Arial" w:cs="Arial"/>
          <w:sz w:val="24"/>
        </w:rPr>
        <w:t xml:space="preserve"> devidamente treinad</w:t>
      </w:r>
      <w:r w:rsidR="0039439F">
        <w:rPr>
          <w:rFonts w:ascii="Arial" w:hAnsi="Arial" w:cs="Arial"/>
          <w:sz w:val="24"/>
        </w:rPr>
        <w:t>o</w:t>
      </w:r>
      <w:r w:rsidR="000A6D68">
        <w:rPr>
          <w:rFonts w:ascii="Arial" w:hAnsi="Arial" w:cs="Arial"/>
          <w:sz w:val="24"/>
        </w:rPr>
        <w:t xml:space="preserve">, seguindo as orientações do </w:t>
      </w:r>
      <w:r w:rsidR="006676DD" w:rsidRPr="005D0AE2">
        <w:rPr>
          <w:rFonts w:ascii="Arial" w:hAnsi="Arial" w:cs="Arial"/>
          <w:sz w:val="24"/>
        </w:rPr>
        <w:t>manual</w:t>
      </w:r>
      <w:r w:rsidR="00C7036D" w:rsidRPr="005D0AE2">
        <w:rPr>
          <w:rFonts w:ascii="Arial" w:hAnsi="Arial" w:cs="Arial"/>
          <w:sz w:val="24"/>
        </w:rPr>
        <w:t xml:space="preserve"> </w:t>
      </w:r>
      <w:r w:rsidR="00A27699" w:rsidRPr="005D0AE2">
        <w:rPr>
          <w:rFonts w:ascii="Arial" w:hAnsi="Arial" w:cs="Arial"/>
          <w:sz w:val="24"/>
        </w:rPr>
        <w:t>deste</w:t>
      </w:r>
      <w:r w:rsidR="006915E3" w:rsidRPr="005D0AE2">
        <w:rPr>
          <w:rFonts w:ascii="Arial" w:hAnsi="Arial" w:cs="Arial"/>
          <w:sz w:val="24"/>
        </w:rPr>
        <w:t xml:space="preserve"> instrumento</w:t>
      </w:r>
      <w:r w:rsidR="0025064C">
        <w:rPr>
          <w:rFonts w:ascii="Arial" w:hAnsi="Arial" w:cs="Arial"/>
          <w:sz w:val="24"/>
        </w:rPr>
        <w:t>.</w:t>
      </w:r>
      <w:r w:rsidR="00D837B0" w:rsidRPr="005D0AE2">
        <w:rPr>
          <w:rFonts w:ascii="Arial" w:hAnsi="Arial" w:cs="Arial"/>
          <w:sz w:val="24"/>
        </w:rPr>
        <w:fldChar w:fldCharType="begin" w:fldLock="1"/>
      </w:r>
      <w:r w:rsidR="00195481">
        <w:rPr>
          <w:rFonts w:ascii="Arial" w:hAnsi="Arial" w:cs="Arial"/>
          <w:sz w:val="24"/>
        </w:rPr>
        <w:instrText>ADDIN CSL_CITATION { "citationItems" : [ { "id" : "ITEM-1", "itemData" : { "author" : [ { "dropping-particle" : "", "family" : "Riberto", "given" : "Marcelo", "non-dropping-particle" : "", "parse-names" : false, "suffix" : "" } ], "id" : "ITEM-1", "issued" : { "date-parts" : [ [ "0" ] ] }, "title" : "Orienta\u00e7\u00e3o funcional para utiliza\u00e7\u00e3o da MIF - Medida de Independ\u00eancia Funcional", "type" : "article" }, "uris" : [ "http://www.mendeley.com/documents/?uuid=67cdf501-c735-4510-a732-aab848bc6b3f" ] } ], "mendeley" : { "formattedCitation" : "&lt;sup&gt;101&lt;/sup&gt;", "plainTextFormattedCitation" : "101", "previouslyFormattedCitation" : "&lt;sup&gt;101&lt;/sup&gt;" }, "properties" : { "noteIndex" : 0 }, "schema" : "https://github.com/citation-style-language/schema/raw/master/csl-citation.json" }</w:instrText>
      </w:r>
      <w:r w:rsidR="00D837B0" w:rsidRPr="005D0AE2">
        <w:rPr>
          <w:rFonts w:ascii="Arial" w:hAnsi="Arial" w:cs="Arial"/>
          <w:sz w:val="24"/>
        </w:rPr>
        <w:fldChar w:fldCharType="separate"/>
      </w:r>
      <w:r w:rsidR="00412B48" w:rsidRPr="00412B48">
        <w:rPr>
          <w:rFonts w:ascii="Arial" w:hAnsi="Arial" w:cs="Arial"/>
          <w:noProof/>
          <w:sz w:val="24"/>
          <w:vertAlign w:val="superscript"/>
        </w:rPr>
        <w:t>101</w:t>
      </w:r>
      <w:r w:rsidR="00D837B0" w:rsidRPr="005D0AE2">
        <w:rPr>
          <w:rFonts w:ascii="Arial" w:hAnsi="Arial" w:cs="Arial"/>
          <w:sz w:val="24"/>
        </w:rPr>
        <w:fldChar w:fldCharType="end"/>
      </w:r>
      <w:r w:rsidR="001F6740">
        <w:rPr>
          <w:rFonts w:ascii="Arial" w:hAnsi="Arial" w:cs="Arial"/>
          <w:sz w:val="24"/>
        </w:rPr>
        <w:t xml:space="preserve"> T</w:t>
      </w:r>
      <w:r w:rsidR="000A6D68">
        <w:rPr>
          <w:rFonts w:ascii="Arial" w:hAnsi="Arial" w:cs="Arial"/>
          <w:sz w:val="24"/>
        </w:rPr>
        <w:t>odos os itens</w:t>
      </w:r>
      <w:r w:rsidR="00A61E42">
        <w:rPr>
          <w:rFonts w:ascii="Arial" w:hAnsi="Arial" w:cs="Arial"/>
          <w:sz w:val="24"/>
        </w:rPr>
        <w:t xml:space="preserve"> </w:t>
      </w:r>
      <w:r w:rsidR="000A6D68">
        <w:rPr>
          <w:rFonts w:ascii="Arial" w:hAnsi="Arial" w:cs="Arial"/>
          <w:sz w:val="24"/>
        </w:rPr>
        <w:t>foram</w:t>
      </w:r>
      <w:r w:rsidR="006676DD">
        <w:rPr>
          <w:rFonts w:ascii="Arial" w:hAnsi="Arial" w:cs="Arial"/>
          <w:sz w:val="24"/>
        </w:rPr>
        <w:t xml:space="preserve"> avaliados separadamente e </w:t>
      </w:r>
      <w:r w:rsidR="000A6D68">
        <w:rPr>
          <w:rFonts w:ascii="Arial" w:hAnsi="Arial" w:cs="Arial"/>
          <w:sz w:val="24"/>
        </w:rPr>
        <w:t>preenchidos com a pontuação que melhor descrev</w:t>
      </w:r>
      <w:r w:rsidR="006676DD">
        <w:rPr>
          <w:rFonts w:ascii="Arial" w:hAnsi="Arial" w:cs="Arial"/>
          <w:sz w:val="24"/>
        </w:rPr>
        <w:t>ia</w:t>
      </w:r>
      <w:r w:rsidR="000A6D68">
        <w:rPr>
          <w:rFonts w:ascii="Arial" w:hAnsi="Arial" w:cs="Arial"/>
          <w:sz w:val="24"/>
        </w:rPr>
        <w:t xml:space="preserve"> </w:t>
      </w:r>
      <w:r w:rsidR="008F3FD1">
        <w:rPr>
          <w:rFonts w:ascii="Arial" w:hAnsi="Arial" w:cs="Arial"/>
          <w:sz w:val="24"/>
        </w:rPr>
        <w:t>a capacidade funcional</w:t>
      </w:r>
      <w:r w:rsidR="00B31538">
        <w:rPr>
          <w:rFonts w:ascii="Arial" w:hAnsi="Arial" w:cs="Arial"/>
          <w:sz w:val="24"/>
        </w:rPr>
        <w:t xml:space="preserve"> para</w:t>
      </w:r>
      <w:r w:rsidR="00A61E42">
        <w:rPr>
          <w:rFonts w:ascii="Arial" w:hAnsi="Arial" w:cs="Arial"/>
          <w:sz w:val="24"/>
        </w:rPr>
        <w:t xml:space="preserve"> realização da tarefa</w:t>
      </w:r>
      <w:r w:rsidR="00CE424F">
        <w:rPr>
          <w:rFonts w:ascii="Arial" w:hAnsi="Arial" w:cs="Arial"/>
          <w:sz w:val="24"/>
        </w:rPr>
        <w:t xml:space="preserve"> em análise</w:t>
      </w:r>
      <w:r w:rsidR="00132731">
        <w:rPr>
          <w:rFonts w:ascii="Arial" w:hAnsi="Arial" w:cs="Arial"/>
          <w:sz w:val="24"/>
        </w:rPr>
        <w:t xml:space="preserve">, </w:t>
      </w:r>
      <w:r w:rsidR="00C41FC2">
        <w:rPr>
          <w:rFonts w:ascii="Arial" w:hAnsi="Arial" w:cs="Arial"/>
          <w:sz w:val="24"/>
        </w:rPr>
        <w:t xml:space="preserve">de acordo </w:t>
      </w:r>
      <w:r w:rsidR="001B2FB9">
        <w:rPr>
          <w:rFonts w:ascii="Arial" w:hAnsi="Arial" w:cs="Arial"/>
          <w:sz w:val="24"/>
        </w:rPr>
        <w:t>à</w:t>
      </w:r>
      <w:r w:rsidR="00C41FC2">
        <w:rPr>
          <w:rFonts w:ascii="Arial" w:hAnsi="Arial" w:cs="Arial"/>
          <w:sz w:val="24"/>
        </w:rPr>
        <w:t xml:space="preserve"> </w:t>
      </w:r>
      <w:r w:rsidR="00ED142C">
        <w:rPr>
          <w:rFonts w:ascii="Arial" w:hAnsi="Arial" w:cs="Arial"/>
          <w:sz w:val="24"/>
        </w:rPr>
        <w:t xml:space="preserve">resposta concedida pelos </w:t>
      </w:r>
      <w:r w:rsidR="00046E8C">
        <w:rPr>
          <w:rFonts w:ascii="Arial" w:hAnsi="Arial" w:cs="Arial"/>
          <w:sz w:val="24"/>
        </w:rPr>
        <w:t>informantes</w:t>
      </w:r>
      <w:r w:rsidR="0075534B">
        <w:rPr>
          <w:rFonts w:ascii="Arial" w:hAnsi="Arial" w:cs="Arial"/>
          <w:sz w:val="24"/>
        </w:rPr>
        <w:t>,</w:t>
      </w:r>
      <w:r w:rsidR="00132731">
        <w:rPr>
          <w:rFonts w:ascii="Arial" w:hAnsi="Arial" w:cs="Arial"/>
          <w:sz w:val="24"/>
        </w:rPr>
        <w:t xml:space="preserve"> </w:t>
      </w:r>
      <w:r w:rsidR="00952024">
        <w:rPr>
          <w:rFonts w:ascii="Arial" w:hAnsi="Arial" w:cs="Arial"/>
          <w:sz w:val="24"/>
        </w:rPr>
        <w:t xml:space="preserve">ponderando </w:t>
      </w:r>
      <w:r w:rsidR="00774158">
        <w:rPr>
          <w:rFonts w:ascii="Arial" w:hAnsi="Arial" w:cs="Arial"/>
          <w:sz w:val="24"/>
        </w:rPr>
        <w:t xml:space="preserve">o que o indivíduo </w:t>
      </w:r>
      <w:r w:rsidR="00A8462E">
        <w:rPr>
          <w:rFonts w:ascii="Arial" w:hAnsi="Arial" w:cs="Arial"/>
          <w:sz w:val="24"/>
        </w:rPr>
        <w:t>efetivamente realiza</w:t>
      </w:r>
      <w:r w:rsidR="000A3DEB">
        <w:rPr>
          <w:rFonts w:ascii="Arial" w:hAnsi="Arial" w:cs="Arial"/>
          <w:sz w:val="24"/>
        </w:rPr>
        <w:t>va</w:t>
      </w:r>
      <w:r w:rsidR="00A8462E">
        <w:rPr>
          <w:rFonts w:ascii="Arial" w:hAnsi="Arial" w:cs="Arial"/>
          <w:sz w:val="24"/>
        </w:rPr>
        <w:t xml:space="preserve"> no seu cotidiano</w:t>
      </w:r>
      <w:r w:rsidR="007E28E6">
        <w:rPr>
          <w:rFonts w:ascii="Arial" w:hAnsi="Arial" w:cs="Arial"/>
          <w:sz w:val="24"/>
        </w:rPr>
        <w:t xml:space="preserve"> </w:t>
      </w:r>
      <w:r w:rsidR="0025747E">
        <w:rPr>
          <w:rFonts w:ascii="Arial" w:hAnsi="Arial" w:cs="Arial"/>
          <w:sz w:val="24"/>
        </w:rPr>
        <w:t xml:space="preserve">domiciliar </w:t>
      </w:r>
      <w:r w:rsidR="007E28E6">
        <w:rPr>
          <w:rFonts w:ascii="Arial" w:hAnsi="Arial" w:cs="Arial"/>
          <w:sz w:val="24"/>
        </w:rPr>
        <w:t>à época da avaliação</w:t>
      </w:r>
      <w:r w:rsidR="00132731">
        <w:rPr>
          <w:rFonts w:ascii="Arial" w:hAnsi="Arial" w:cs="Arial"/>
          <w:sz w:val="24"/>
        </w:rPr>
        <w:t>.</w:t>
      </w:r>
      <w:r w:rsidR="00B252ED">
        <w:rPr>
          <w:rFonts w:ascii="Arial" w:hAnsi="Arial" w:cs="Arial"/>
          <w:sz w:val="24"/>
        </w:rPr>
        <w:t xml:space="preserve"> </w:t>
      </w:r>
      <w:r w:rsidR="00914744">
        <w:rPr>
          <w:rFonts w:ascii="Arial" w:hAnsi="Arial" w:cs="Arial"/>
          <w:sz w:val="24"/>
        </w:rPr>
        <w:t>Ambos o</w:t>
      </w:r>
      <w:r w:rsidR="00E04243">
        <w:rPr>
          <w:rFonts w:ascii="Arial" w:hAnsi="Arial" w:cs="Arial"/>
          <w:sz w:val="24"/>
        </w:rPr>
        <w:t>s instrumentos</w:t>
      </w:r>
      <w:r w:rsidR="00914744">
        <w:rPr>
          <w:rFonts w:ascii="Arial" w:hAnsi="Arial" w:cs="Arial"/>
          <w:sz w:val="24"/>
        </w:rPr>
        <w:t>, a</w:t>
      </w:r>
      <w:r w:rsidR="00B252ED">
        <w:rPr>
          <w:rFonts w:ascii="Arial" w:hAnsi="Arial" w:cs="Arial"/>
          <w:sz w:val="24"/>
        </w:rPr>
        <w:t xml:space="preserve"> MIF</w:t>
      </w:r>
      <w:r w:rsidR="001527E2">
        <w:rPr>
          <w:rFonts w:ascii="Arial" w:hAnsi="Arial" w:cs="Arial"/>
          <w:sz w:val="24"/>
        </w:rPr>
        <w:t xml:space="preserve"> e o PedsQL</w:t>
      </w:r>
      <w:r w:rsidR="001527E2" w:rsidRPr="001527E2">
        <w:rPr>
          <w:rFonts w:ascii="Arial" w:hAnsi="Arial" w:cs="Arial"/>
          <w:sz w:val="24"/>
          <w:vertAlign w:val="superscript"/>
        </w:rPr>
        <w:t>TM</w:t>
      </w:r>
      <w:r w:rsidR="001527E2">
        <w:rPr>
          <w:rFonts w:ascii="Arial" w:hAnsi="Arial" w:cs="Arial"/>
          <w:sz w:val="24"/>
        </w:rPr>
        <w:t xml:space="preserve"> 4.0</w:t>
      </w:r>
      <w:r w:rsidR="00914744">
        <w:rPr>
          <w:rFonts w:ascii="Arial" w:hAnsi="Arial" w:cs="Arial"/>
          <w:sz w:val="24"/>
        </w:rPr>
        <w:t>,</w:t>
      </w:r>
      <w:r w:rsidR="00B252ED">
        <w:rPr>
          <w:rFonts w:ascii="Arial" w:hAnsi="Arial" w:cs="Arial"/>
          <w:sz w:val="24"/>
        </w:rPr>
        <w:t xml:space="preserve"> </w:t>
      </w:r>
      <w:r w:rsidR="00E04243">
        <w:rPr>
          <w:rFonts w:ascii="Arial" w:hAnsi="Arial" w:cs="Arial"/>
          <w:sz w:val="24"/>
        </w:rPr>
        <w:t>foram aplicados</w:t>
      </w:r>
      <w:r w:rsidR="00DB1848">
        <w:rPr>
          <w:rFonts w:ascii="Arial" w:hAnsi="Arial" w:cs="Arial"/>
          <w:sz w:val="24"/>
        </w:rPr>
        <w:t xml:space="preserve"> </w:t>
      </w:r>
      <w:r w:rsidR="00012C27">
        <w:rPr>
          <w:rFonts w:ascii="Arial" w:hAnsi="Arial" w:cs="Arial"/>
          <w:sz w:val="24"/>
        </w:rPr>
        <w:t>n</w:t>
      </w:r>
      <w:r w:rsidR="005A5194">
        <w:rPr>
          <w:rFonts w:ascii="Arial" w:hAnsi="Arial" w:cs="Arial"/>
          <w:sz w:val="24"/>
        </w:rPr>
        <w:t>o período d</w:t>
      </w:r>
      <w:r w:rsidR="00012C27">
        <w:rPr>
          <w:rFonts w:ascii="Arial" w:hAnsi="Arial" w:cs="Arial"/>
          <w:sz w:val="24"/>
        </w:rPr>
        <w:t>a admissão</w:t>
      </w:r>
      <w:r w:rsidR="005A5194">
        <w:rPr>
          <w:rFonts w:ascii="Arial" w:hAnsi="Arial" w:cs="Arial"/>
          <w:sz w:val="24"/>
        </w:rPr>
        <w:t xml:space="preserve"> dos pacientes</w:t>
      </w:r>
      <w:r w:rsidR="00012C27">
        <w:rPr>
          <w:rFonts w:ascii="Arial" w:hAnsi="Arial" w:cs="Arial"/>
          <w:sz w:val="24"/>
        </w:rPr>
        <w:t xml:space="preserve">, </w:t>
      </w:r>
      <w:r w:rsidR="00DB1848">
        <w:rPr>
          <w:rFonts w:ascii="Arial" w:hAnsi="Arial" w:cs="Arial"/>
          <w:sz w:val="24"/>
        </w:rPr>
        <w:t>através de entrevista realizada</w:t>
      </w:r>
      <w:r w:rsidR="00E04243">
        <w:rPr>
          <w:rFonts w:ascii="Arial" w:hAnsi="Arial" w:cs="Arial"/>
          <w:sz w:val="24"/>
        </w:rPr>
        <w:t xml:space="preserve"> </w:t>
      </w:r>
      <w:r w:rsidR="00B252ED">
        <w:rPr>
          <w:rFonts w:ascii="Arial" w:hAnsi="Arial" w:cs="Arial"/>
          <w:sz w:val="24"/>
        </w:rPr>
        <w:t>ju</w:t>
      </w:r>
      <w:r w:rsidR="00E03767">
        <w:rPr>
          <w:rFonts w:ascii="Arial" w:hAnsi="Arial" w:cs="Arial"/>
          <w:sz w:val="24"/>
        </w:rPr>
        <w:t>nto ao</w:t>
      </w:r>
      <w:r w:rsidR="00381F6A">
        <w:rPr>
          <w:rFonts w:ascii="Arial" w:hAnsi="Arial" w:cs="Arial"/>
          <w:sz w:val="24"/>
        </w:rPr>
        <w:t>s</w:t>
      </w:r>
      <w:r w:rsidR="00E03767">
        <w:rPr>
          <w:rFonts w:ascii="Arial" w:hAnsi="Arial" w:cs="Arial"/>
          <w:sz w:val="24"/>
        </w:rPr>
        <w:t xml:space="preserve"> </w:t>
      </w:r>
      <w:r w:rsidR="00B252ED">
        <w:rPr>
          <w:rFonts w:ascii="Arial" w:hAnsi="Arial" w:cs="Arial"/>
          <w:sz w:val="24"/>
        </w:rPr>
        <w:t>pai</w:t>
      </w:r>
      <w:r w:rsidR="00381F6A">
        <w:rPr>
          <w:rFonts w:ascii="Arial" w:hAnsi="Arial" w:cs="Arial"/>
          <w:sz w:val="24"/>
        </w:rPr>
        <w:t>s</w:t>
      </w:r>
      <w:r w:rsidR="005A5194">
        <w:rPr>
          <w:rFonts w:ascii="Arial" w:hAnsi="Arial" w:cs="Arial"/>
          <w:sz w:val="24"/>
        </w:rPr>
        <w:t>/</w:t>
      </w:r>
      <w:r w:rsidR="00E03767">
        <w:rPr>
          <w:rFonts w:ascii="Arial" w:hAnsi="Arial" w:cs="Arial"/>
          <w:sz w:val="24"/>
        </w:rPr>
        <w:t>cuidador</w:t>
      </w:r>
      <w:r w:rsidR="005A5194">
        <w:rPr>
          <w:rFonts w:ascii="Arial" w:hAnsi="Arial" w:cs="Arial"/>
          <w:sz w:val="24"/>
        </w:rPr>
        <w:t>,</w:t>
      </w:r>
      <w:r w:rsidR="00B252ED">
        <w:rPr>
          <w:rFonts w:ascii="Arial" w:hAnsi="Arial" w:cs="Arial"/>
          <w:sz w:val="24"/>
        </w:rPr>
        <w:t xml:space="preserve"> </w:t>
      </w:r>
      <w:r w:rsidR="003E0ACC">
        <w:rPr>
          <w:rFonts w:ascii="Arial" w:hAnsi="Arial" w:cs="Arial"/>
          <w:sz w:val="24"/>
        </w:rPr>
        <w:t>com o intuito</w:t>
      </w:r>
      <w:r w:rsidR="00B252ED">
        <w:rPr>
          <w:rFonts w:ascii="Arial" w:hAnsi="Arial" w:cs="Arial"/>
          <w:sz w:val="24"/>
        </w:rPr>
        <w:t xml:space="preserve"> de</w:t>
      </w:r>
      <w:r w:rsidR="00DD4D14">
        <w:rPr>
          <w:rFonts w:ascii="Arial" w:hAnsi="Arial" w:cs="Arial"/>
          <w:sz w:val="24"/>
        </w:rPr>
        <w:t xml:space="preserve"> reduzir</w:t>
      </w:r>
      <w:r w:rsidR="00E03767">
        <w:rPr>
          <w:rFonts w:ascii="Arial" w:hAnsi="Arial" w:cs="Arial"/>
          <w:sz w:val="24"/>
        </w:rPr>
        <w:t xml:space="preserve"> a </w:t>
      </w:r>
      <w:r w:rsidR="00B252ED">
        <w:rPr>
          <w:rFonts w:ascii="Arial" w:hAnsi="Arial" w:cs="Arial"/>
          <w:sz w:val="24"/>
        </w:rPr>
        <w:t>inconsistência de</w:t>
      </w:r>
      <w:r w:rsidR="0025064C">
        <w:rPr>
          <w:rFonts w:ascii="Arial" w:hAnsi="Arial" w:cs="Arial"/>
          <w:sz w:val="24"/>
        </w:rPr>
        <w:t xml:space="preserve"> dados</w:t>
      </w:r>
      <w:r w:rsidR="001527E2">
        <w:rPr>
          <w:rFonts w:ascii="Arial" w:hAnsi="Arial" w:cs="Arial"/>
          <w:sz w:val="24"/>
        </w:rPr>
        <w:t xml:space="preserve">, pois, em </w:t>
      </w:r>
      <w:r w:rsidR="00A41502">
        <w:rPr>
          <w:rFonts w:ascii="Arial" w:hAnsi="Arial" w:cs="Arial"/>
          <w:sz w:val="24"/>
        </w:rPr>
        <w:t>virtude</w:t>
      </w:r>
      <w:r w:rsidR="001527E2">
        <w:rPr>
          <w:rFonts w:ascii="Arial" w:hAnsi="Arial" w:cs="Arial"/>
          <w:sz w:val="24"/>
        </w:rPr>
        <w:t xml:space="preserve"> da MPS</w:t>
      </w:r>
      <w:r w:rsidR="005D3835">
        <w:rPr>
          <w:rFonts w:ascii="Arial" w:hAnsi="Arial" w:cs="Arial"/>
          <w:sz w:val="24"/>
        </w:rPr>
        <w:t xml:space="preserve"> ou a depender da idade,</w:t>
      </w:r>
      <w:r w:rsidR="001527E2">
        <w:rPr>
          <w:rFonts w:ascii="Arial" w:hAnsi="Arial" w:cs="Arial"/>
          <w:sz w:val="24"/>
        </w:rPr>
        <w:t xml:space="preserve"> os pacientes pode</w:t>
      </w:r>
      <w:r w:rsidR="00FF50C6">
        <w:rPr>
          <w:rFonts w:ascii="Arial" w:hAnsi="Arial" w:cs="Arial"/>
          <w:sz w:val="24"/>
        </w:rPr>
        <w:t>ria</w:t>
      </w:r>
      <w:r w:rsidR="005A5194">
        <w:rPr>
          <w:rFonts w:ascii="Arial" w:hAnsi="Arial" w:cs="Arial"/>
          <w:sz w:val="24"/>
        </w:rPr>
        <w:t>m apresenta</w:t>
      </w:r>
      <w:r w:rsidR="00BA294D">
        <w:rPr>
          <w:rFonts w:ascii="Arial" w:hAnsi="Arial" w:cs="Arial"/>
          <w:sz w:val="24"/>
        </w:rPr>
        <w:t>r</w:t>
      </w:r>
      <w:r w:rsidR="001527E2">
        <w:rPr>
          <w:rFonts w:ascii="Arial" w:hAnsi="Arial" w:cs="Arial"/>
          <w:sz w:val="24"/>
        </w:rPr>
        <w:t xml:space="preserve"> </w:t>
      </w:r>
      <w:r w:rsidR="00E03767">
        <w:rPr>
          <w:rFonts w:ascii="Arial" w:hAnsi="Arial" w:cs="Arial"/>
          <w:sz w:val="24"/>
        </w:rPr>
        <w:t>alteração cognitiva</w:t>
      </w:r>
      <w:r w:rsidR="001527E2">
        <w:rPr>
          <w:rFonts w:ascii="Arial" w:hAnsi="Arial" w:cs="Arial"/>
          <w:sz w:val="24"/>
        </w:rPr>
        <w:t xml:space="preserve"> </w:t>
      </w:r>
      <w:r w:rsidR="00131407">
        <w:rPr>
          <w:rFonts w:ascii="Arial" w:hAnsi="Arial" w:cs="Arial"/>
          <w:sz w:val="24"/>
        </w:rPr>
        <w:t>e/</w:t>
      </w:r>
      <w:r w:rsidR="005D3835">
        <w:rPr>
          <w:rFonts w:ascii="Arial" w:hAnsi="Arial" w:cs="Arial"/>
          <w:sz w:val="24"/>
        </w:rPr>
        <w:t>ou</w:t>
      </w:r>
      <w:r w:rsidR="001527E2">
        <w:rPr>
          <w:rFonts w:ascii="Arial" w:hAnsi="Arial" w:cs="Arial"/>
          <w:sz w:val="24"/>
        </w:rPr>
        <w:t xml:space="preserve"> dificuldade de compreensão</w:t>
      </w:r>
      <w:r w:rsidR="001E31D5">
        <w:rPr>
          <w:rFonts w:ascii="Arial" w:hAnsi="Arial" w:cs="Arial"/>
          <w:sz w:val="24"/>
        </w:rPr>
        <w:t>.</w:t>
      </w:r>
      <w:r w:rsidR="007C1DA8">
        <w:rPr>
          <w:rFonts w:ascii="Arial" w:hAnsi="Arial" w:cs="Arial"/>
          <w:sz w:val="24"/>
        </w:rPr>
        <w:t xml:space="preserve"> </w:t>
      </w:r>
      <w:r w:rsidR="00774158">
        <w:rPr>
          <w:rFonts w:ascii="Arial" w:hAnsi="Arial" w:cs="Arial"/>
          <w:sz w:val="24"/>
        </w:rPr>
        <w:t>Quanto ao</w:t>
      </w:r>
      <w:r w:rsidR="008936C8">
        <w:rPr>
          <w:rFonts w:ascii="Arial" w:hAnsi="Arial" w:cs="Arial"/>
          <w:sz w:val="24"/>
        </w:rPr>
        <w:t xml:space="preserve"> </w:t>
      </w:r>
      <w:r w:rsidR="00936007">
        <w:rPr>
          <w:rFonts w:ascii="Arial" w:hAnsi="Arial" w:cs="Arial"/>
          <w:sz w:val="24"/>
        </w:rPr>
        <w:t>PedsQL</w:t>
      </w:r>
      <w:r w:rsidR="00936007" w:rsidRPr="0007615E">
        <w:rPr>
          <w:rFonts w:ascii="Arial" w:hAnsi="Arial" w:cs="Arial"/>
          <w:sz w:val="20"/>
          <w:vertAlign w:val="superscript"/>
        </w:rPr>
        <w:t>TM</w:t>
      </w:r>
      <w:r w:rsidR="00936007">
        <w:rPr>
          <w:rFonts w:ascii="Arial" w:hAnsi="Arial" w:cs="Arial"/>
          <w:sz w:val="20"/>
          <w:vertAlign w:val="superscript"/>
        </w:rPr>
        <w:t xml:space="preserve"> </w:t>
      </w:r>
      <w:r w:rsidR="00936007" w:rsidRPr="005E7CB4">
        <w:rPr>
          <w:rFonts w:ascii="Arial" w:hAnsi="Arial" w:cs="Arial"/>
          <w:sz w:val="24"/>
        </w:rPr>
        <w:t>4.0</w:t>
      </w:r>
      <w:r w:rsidR="00936007">
        <w:rPr>
          <w:rFonts w:ascii="Arial" w:hAnsi="Arial" w:cs="Arial"/>
          <w:sz w:val="24"/>
        </w:rPr>
        <w:t>,</w:t>
      </w:r>
      <w:r w:rsidR="00936007">
        <w:rPr>
          <w:rFonts w:ascii="Arial" w:hAnsi="Arial" w:cs="Arial"/>
          <w:sz w:val="24"/>
          <w:szCs w:val="24"/>
        </w:rPr>
        <w:t xml:space="preserve"> </w:t>
      </w:r>
      <w:r w:rsidR="00656CE7">
        <w:rPr>
          <w:rFonts w:ascii="Arial" w:hAnsi="Arial" w:cs="Arial"/>
          <w:sz w:val="24"/>
        </w:rPr>
        <w:t xml:space="preserve">embora </w:t>
      </w:r>
      <w:r w:rsidR="00B2208E">
        <w:rPr>
          <w:rFonts w:ascii="Arial" w:hAnsi="Arial" w:cs="Arial"/>
          <w:sz w:val="24"/>
        </w:rPr>
        <w:t xml:space="preserve">a versão para os pais </w:t>
      </w:r>
      <w:r w:rsidR="00656CE7">
        <w:rPr>
          <w:rFonts w:ascii="Arial" w:hAnsi="Arial" w:cs="Arial"/>
          <w:sz w:val="24"/>
        </w:rPr>
        <w:t>corresponda a um instrumento que pode ser autoaplicado,</w:t>
      </w:r>
      <w:r w:rsidR="00A27699">
        <w:rPr>
          <w:rFonts w:ascii="Arial" w:hAnsi="Arial" w:cs="Arial"/>
          <w:sz w:val="24"/>
        </w:rPr>
        <w:t xml:space="preserve"> </w:t>
      </w:r>
      <w:r w:rsidR="00656CE7">
        <w:rPr>
          <w:rFonts w:ascii="Arial" w:hAnsi="Arial" w:cs="Arial"/>
          <w:sz w:val="24"/>
        </w:rPr>
        <w:t xml:space="preserve">o preenchimento </w:t>
      </w:r>
      <w:r w:rsidR="004420F4">
        <w:rPr>
          <w:rFonts w:ascii="Arial" w:hAnsi="Arial" w:cs="Arial"/>
          <w:sz w:val="24"/>
        </w:rPr>
        <w:t>d</w:t>
      </w:r>
      <w:r w:rsidR="00307F40">
        <w:rPr>
          <w:rFonts w:ascii="Arial" w:hAnsi="Arial" w:cs="Arial"/>
          <w:sz w:val="24"/>
        </w:rPr>
        <w:t>este</w:t>
      </w:r>
      <w:r w:rsidR="004420F4">
        <w:rPr>
          <w:rFonts w:ascii="Arial" w:hAnsi="Arial" w:cs="Arial"/>
          <w:sz w:val="24"/>
        </w:rPr>
        <w:t xml:space="preserve"> questionário</w:t>
      </w:r>
      <w:r w:rsidR="007635CB">
        <w:rPr>
          <w:rFonts w:ascii="Arial" w:hAnsi="Arial" w:cs="Arial"/>
          <w:sz w:val="24"/>
        </w:rPr>
        <w:t xml:space="preserve"> também</w:t>
      </w:r>
      <w:r w:rsidR="0075534B">
        <w:rPr>
          <w:rFonts w:ascii="Arial" w:hAnsi="Arial" w:cs="Arial"/>
          <w:sz w:val="24"/>
        </w:rPr>
        <w:t xml:space="preserve"> </w:t>
      </w:r>
      <w:r w:rsidR="00656CE7">
        <w:rPr>
          <w:rFonts w:ascii="Arial" w:hAnsi="Arial" w:cs="Arial"/>
          <w:sz w:val="24"/>
        </w:rPr>
        <w:t xml:space="preserve">foi feito </w:t>
      </w:r>
      <w:r w:rsidR="00F27309">
        <w:rPr>
          <w:rFonts w:ascii="Arial" w:hAnsi="Arial" w:cs="Arial"/>
          <w:sz w:val="24"/>
        </w:rPr>
        <w:t>p</w:t>
      </w:r>
      <w:r w:rsidR="0039439F">
        <w:rPr>
          <w:rFonts w:ascii="Arial" w:hAnsi="Arial" w:cs="Arial"/>
          <w:sz w:val="24"/>
        </w:rPr>
        <w:t>or profissional</w:t>
      </w:r>
      <w:r w:rsidR="00AA3A5D">
        <w:rPr>
          <w:rFonts w:ascii="Arial" w:hAnsi="Arial" w:cs="Arial"/>
          <w:sz w:val="24"/>
        </w:rPr>
        <w:t xml:space="preserve"> </w:t>
      </w:r>
      <w:r w:rsidR="0039439F">
        <w:rPr>
          <w:rFonts w:ascii="Arial" w:hAnsi="Arial" w:cs="Arial"/>
          <w:sz w:val="24"/>
        </w:rPr>
        <w:t>capacitado</w:t>
      </w:r>
      <w:r w:rsidR="009946C6">
        <w:rPr>
          <w:rFonts w:ascii="Arial" w:hAnsi="Arial" w:cs="Arial"/>
          <w:sz w:val="24"/>
        </w:rPr>
        <w:t>.</w:t>
      </w:r>
    </w:p>
    <w:p w:rsidR="00AA3A5D" w:rsidRDefault="00AA3A5D" w:rsidP="001018B9">
      <w:pPr>
        <w:spacing w:after="0" w:line="360" w:lineRule="auto"/>
        <w:jc w:val="both"/>
        <w:rPr>
          <w:rFonts w:ascii="Arial" w:hAnsi="Arial" w:cs="Arial"/>
          <w:sz w:val="24"/>
        </w:rPr>
      </w:pPr>
    </w:p>
    <w:p w:rsidR="00C12C5E" w:rsidRDefault="00C12C5E" w:rsidP="001018B9">
      <w:pPr>
        <w:spacing w:after="0" w:line="360" w:lineRule="auto"/>
        <w:jc w:val="both"/>
        <w:rPr>
          <w:rFonts w:ascii="Arial" w:hAnsi="Arial" w:cs="Arial"/>
          <w:sz w:val="24"/>
        </w:rPr>
      </w:pPr>
    </w:p>
    <w:p w:rsidR="00656CE7" w:rsidRPr="00656CE7" w:rsidRDefault="00656CE7" w:rsidP="00582961">
      <w:pPr>
        <w:pStyle w:val="Ttulo1"/>
      </w:pPr>
      <w:bookmarkStart w:id="23" w:name="_Toc496749615"/>
      <w:r w:rsidRPr="00656CE7">
        <w:lastRenderedPageBreak/>
        <w:t>4.</w:t>
      </w:r>
      <w:r w:rsidR="00F7296D">
        <w:t>6</w:t>
      </w:r>
      <w:r w:rsidRPr="00656CE7">
        <w:t xml:space="preserve"> Aspectos éticos do estudo</w:t>
      </w:r>
      <w:bookmarkEnd w:id="23"/>
    </w:p>
    <w:p w:rsidR="008936C8" w:rsidRDefault="008936C8" w:rsidP="008936C8">
      <w:pPr>
        <w:spacing w:after="0" w:line="360" w:lineRule="auto"/>
        <w:jc w:val="both"/>
        <w:rPr>
          <w:rFonts w:ascii="Arial" w:hAnsi="Arial" w:cs="Arial"/>
          <w:sz w:val="24"/>
        </w:rPr>
      </w:pPr>
    </w:p>
    <w:p w:rsidR="00656CE7" w:rsidRDefault="00553DBF" w:rsidP="004E0217">
      <w:pPr>
        <w:spacing w:after="0" w:line="360" w:lineRule="auto"/>
        <w:jc w:val="both"/>
        <w:rPr>
          <w:rFonts w:ascii="Arial" w:hAnsi="Arial" w:cs="Arial"/>
          <w:sz w:val="24"/>
        </w:rPr>
      </w:pPr>
      <w:r>
        <w:rPr>
          <w:rFonts w:ascii="Arial" w:hAnsi="Arial" w:cs="Arial"/>
          <w:sz w:val="24"/>
        </w:rPr>
        <w:t xml:space="preserve">O presente estudo está vinculado a um projeto </w:t>
      </w:r>
      <w:r w:rsidR="00FC550A">
        <w:rPr>
          <w:rFonts w:ascii="Arial" w:hAnsi="Arial" w:cs="Arial"/>
          <w:sz w:val="24"/>
        </w:rPr>
        <w:t>satélite</w:t>
      </w:r>
      <w:r>
        <w:rPr>
          <w:rFonts w:ascii="Arial" w:hAnsi="Arial" w:cs="Arial"/>
          <w:sz w:val="24"/>
        </w:rPr>
        <w:t xml:space="preserve"> intitulado “Avaliação clínica de manifestações musculoesqueléticas em pacientes portadores de mucopolissacaridoses”</w:t>
      </w:r>
      <w:r w:rsidR="009946C6">
        <w:rPr>
          <w:rFonts w:ascii="Arial" w:hAnsi="Arial" w:cs="Arial"/>
          <w:sz w:val="24"/>
        </w:rPr>
        <w:t>.</w:t>
      </w:r>
      <w:r w:rsidR="000A2871">
        <w:rPr>
          <w:rFonts w:ascii="Arial" w:hAnsi="Arial" w:cs="Arial"/>
          <w:sz w:val="24"/>
        </w:rPr>
        <w:t xml:space="preserve"> </w:t>
      </w:r>
      <w:r w:rsidR="00D45134">
        <w:rPr>
          <w:rFonts w:ascii="Arial" w:hAnsi="Arial" w:cs="Arial"/>
          <w:sz w:val="24"/>
        </w:rPr>
        <w:t>Atendendo às Diretrizes e Normas de Pesquisa em Seres Humanos, contidas na Resolução 466/2012 do Conselho Nacional de Saúde</w:t>
      </w:r>
      <w:r>
        <w:rPr>
          <w:rFonts w:ascii="Arial" w:hAnsi="Arial" w:cs="Arial"/>
          <w:sz w:val="24"/>
        </w:rPr>
        <w:t>,</w:t>
      </w:r>
      <w:r w:rsidR="00D45134">
        <w:rPr>
          <w:rFonts w:ascii="Arial" w:hAnsi="Arial" w:cs="Arial"/>
          <w:sz w:val="24"/>
        </w:rPr>
        <w:t xml:space="preserve"> o projeto foi</w:t>
      </w:r>
      <w:r w:rsidR="002E7CF3">
        <w:rPr>
          <w:rFonts w:ascii="Arial" w:hAnsi="Arial" w:cs="Arial"/>
          <w:sz w:val="24"/>
        </w:rPr>
        <w:t xml:space="preserve"> submetido a</w:t>
      </w:r>
      <w:r>
        <w:rPr>
          <w:rFonts w:ascii="Arial" w:hAnsi="Arial" w:cs="Arial"/>
          <w:sz w:val="24"/>
        </w:rPr>
        <w:t>o Comitê de Ética em Pesquisa (CEP) do Hospital Santa Izabel da Santa Cas</w:t>
      </w:r>
      <w:r w:rsidR="00221AE6">
        <w:rPr>
          <w:rFonts w:ascii="Arial" w:hAnsi="Arial" w:cs="Arial"/>
          <w:sz w:val="24"/>
        </w:rPr>
        <w:t>a de Misericórdia da Bahia</w:t>
      </w:r>
      <w:r w:rsidR="00FC550A">
        <w:rPr>
          <w:rFonts w:ascii="Arial" w:hAnsi="Arial" w:cs="Arial"/>
          <w:sz w:val="24"/>
        </w:rPr>
        <w:t xml:space="preserve"> </w:t>
      </w:r>
      <w:r w:rsidR="002E7CF3">
        <w:rPr>
          <w:rFonts w:ascii="Arial" w:hAnsi="Arial" w:cs="Arial"/>
          <w:sz w:val="24"/>
        </w:rPr>
        <w:t xml:space="preserve">e aprovado </w:t>
      </w:r>
      <w:r w:rsidR="00FC550A">
        <w:rPr>
          <w:rFonts w:ascii="Arial" w:hAnsi="Arial" w:cs="Arial"/>
          <w:sz w:val="24"/>
        </w:rPr>
        <w:t xml:space="preserve">sob </w:t>
      </w:r>
      <w:r>
        <w:rPr>
          <w:rFonts w:ascii="Arial" w:hAnsi="Arial" w:cs="Arial"/>
          <w:sz w:val="24"/>
        </w:rPr>
        <w:t>CAAE n.º 38746914.5.0000.5520</w:t>
      </w:r>
      <w:r w:rsidR="00892CD6">
        <w:rPr>
          <w:rFonts w:ascii="Arial" w:hAnsi="Arial" w:cs="Arial"/>
          <w:sz w:val="24"/>
        </w:rPr>
        <w:t xml:space="preserve"> /</w:t>
      </w:r>
      <w:r w:rsidR="00FF1F37">
        <w:rPr>
          <w:rFonts w:ascii="Arial" w:hAnsi="Arial" w:cs="Arial"/>
          <w:sz w:val="24"/>
        </w:rPr>
        <w:t xml:space="preserve"> Parecer n.º 1.672.503 </w:t>
      </w:r>
      <w:r>
        <w:rPr>
          <w:rFonts w:ascii="Arial" w:hAnsi="Arial" w:cs="Arial"/>
          <w:sz w:val="24"/>
        </w:rPr>
        <w:t>(</w:t>
      </w:r>
      <w:r w:rsidR="00383DE8" w:rsidRPr="009946C6">
        <w:rPr>
          <w:rFonts w:ascii="Arial" w:hAnsi="Arial" w:cs="Arial"/>
          <w:sz w:val="24"/>
        </w:rPr>
        <w:t>A</w:t>
      </w:r>
      <w:r w:rsidR="00935942">
        <w:rPr>
          <w:rFonts w:ascii="Arial" w:hAnsi="Arial" w:cs="Arial"/>
          <w:sz w:val="24"/>
        </w:rPr>
        <w:t xml:space="preserve">nexo </w:t>
      </w:r>
      <w:r w:rsidR="00D45134" w:rsidRPr="009946C6">
        <w:rPr>
          <w:rFonts w:ascii="Arial" w:hAnsi="Arial" w:cs="Arial"/>
          <w:sz w:val="24"/>
        </w:rPr>
        <w:t>C</w:t>
      </w:r>
      <w:r w:rsidRPr="001E1F6C">
        <w:rPr>
          <w:rFonts w:ascii="Arial" w:hAnsi="Arial" w:cs="Arial"/>
          <w:sz w:val="24"/>
        </w:rPr>
        <w:t>).</w:t>
      </w:r>
    </w:p>
    <w:p w:rsidR="00446450" w:rsidRDefault="00446450" w:rsidP="00446450">
      <w:pPr>
        <w:spacing w:after="0" w:line="360" w:lineRule="auto"/>
        <w:jc w:val="both"/>
        <w:rPr>
          <w:rFonts w:ascii="Arial" w:hAnsi="Arial" w:cs="Arial"/>
          <w:sz w:val="24"/>
        </w:rPr>
      </w:pPr>
    </w:p>
    <w:p w:rsidR="002E7CF3" w:rsidRDefault="009946C6" w:rsidP="004E0217">
      <w:pPr>
        <w:spacing w:after="0" w:line="360" w:lineRule="auto"/>
        <w:jc w:val="both"/>
        <w:rPr>
          <w:rFonts w:ascii="Arial" w:hAnsi="Arial" w:cs="Arial"/>
          <w:sz w:val="24"/>
        </w:rPr>
      </w:pPr>
      <w:r>
        <w:rPr>
          <w:rFonts w:ascii="Arial" w:hAnsi="Arial" w:cs="Arial"/>
          <w:sz w:val="24"/>
        </w:rPr>
        <w:t>P</w:t>
      </w:r>
      <w:r w:rsidR="002239AF">
        <w:rPr>
          <w:rFonts w:ascii="Arial" w:hAnsi="Arial" w:cs="Arial"/>
          <w:sz w:val="24"/>
        </w:rPr>
        <w:t xml:space="preserve">ara </w:t>
      </w:r>
      <w:r w:rsidR="002239AF" w:rsidRPr="007E6845">
        <w:rPr>
          <w:rFonts w:ascii="Arial" w:hAnsi="Arial" w:cs="Arial"/>
          <w:sz w:val="24"/>
        </w:rPr>
        <w:t>este estudo</w:t>
      </w:r>
      <w:r w:rsidR="002239AF">
        <w:rPr>
          <w:rFonts w:ascii="Arial" w:hAnsi="Arial" w:cs="Arial"/>
          <w:sz w:val="24"/>
        </w:rPr>
        <w:t xml:space="preserve"> não foi </w:t>
      </w:r>
      <w:r w:rsidR="00553DBF">
        <w:rPr>
          <w:rFonts w:ascii="Arial" w:hAnsi="Arial" w:cs="Arial"/>
          <w:sz w:val="24"/>
        </w:rPr>
        <w:t xml:space="preserve">feita qualquer modificação e/ou retificação dos dados em prontuário e </w:t>
      </w:r>
      <w:r w:rsidR="00FB602F">
        <w:rPr>
          <w:rFonts w:ascii="Arial" w:hAnsi="Arial" w:cs="Arial"/>
          <w:sz w:val="24"/>
        </w:rPr>
        <w:t>ficha</w:t>
      </w:r>
      <w:r w:rsidR="00553DBF">
        <w:rPr>
          <w:rFonts w:ascii="Arial" w:hAnsi="Arial" w:cs="Arial"/>
          <w:sz w:val="24"/>
        </w:rPr>
        <w:t xml:space="preserve">s de </w:t>
      </w:r>
      <w:r w:rsidR="0076538B">
        <w:rPr>
          <w:rFonts w:ascii="Arial" w:hAnsi="Arial" w:cs="Arial"/>
          <w:sz w:val="24"/>
        </w:rPr>
        <w:t>avaliaçã</w:t>
      </w:r>
      <w:r w:rsidR="00553DBF">
        <w:rPr>
          <w:rFonts w:ascii="Arial" w:hAnsi="Arial" w:cs="Arial"/>
          <w:sz w:val="24"/>
        </w:rPr>
        <w:t xml:space="preserve">o dos pacientes, </w:t>
      </w:r>
      <w:r w:rsidR="002239AF">
        <w:rPr>
          <w:rFonts w:ascii="Arial" w:hAnsi="Arial" w:cs="Arial"/>
          <w:sz w:val="24"/>
        </w:rPr>
        <w:t>nem qualquer tipo d</w:t>
      </w:r>
      <w:r w:rsidR="007635CB">
        <w:rPr>
          <w:rFonts w:ascii="Arial" w:hAnsi="Arial" w:cs="Arial"/>
          <w:sz w:val="24"/>
        </w:rPr>
        <w:t>e ingerência sobre o tratamento,</w:t>
      </w:r>
      <w:r w:rsidR="002239AF">
        <w:rPr>
          <w:rFonts w:ascii="Arial" w:hAnsi="Arial" w:cs="Arial"/>
          <w:sz w:val="24"/>
        </w:rPr>
        <w:t xml:space="preserve"> tendo em vista que os </w:t>
      </w:r>
      <w:r w:rsidR="002E7CF3">
        <w:rPr>
          <w:rFonts w:ascii="Arial" w:hAnsi="Arial" w:cs="Arial"/>
          <w:sz w:val="24"/>
        </w:rPr>
        <w:t>pacientes</w:t>
      </w:r>
      <w:r w:rsidR="002239AF">
        <w:rPr>
          <w:rFonts w:ascii="Arial" w:hAnsi="Arial" w:cs="Arial"/>
          <w:sz w:val="24"/>
        </w:rPr>
        <w:t xml:space="preserve"> foram e continuarão sendo tratados da forma convencional para a doença em questão, de acordo </w:t>
      </w:r>
      <w:r w:rsidR="005B4925">
        <w:rPr>
          <w:rFonts w:ascii="Arial" w:hAnsi="Arial" w:cs="Arial"/>
          <w:sz w:val="24"/>
        </w:rPr>
        <w:t xml:space="preserve">com </w:t>
      </w:r>
      <w:r w:rsidR="002239AF">
        <w:rPr>
          <w:rFonts w:ascii="Arial" w:hAnsi="Arial" w:cs="Arial"/>
          <w:sz w:val="24"/>
        </w:rPr>
        <w:t>os</w:t>
      </w:r>
      <w:r w:rsidR="007E6845">
        <w:rPr>
          <w:rFonts w:ascii="Arial" w:hAnsi="Arial" w:cs="Arial"/>
          <w:sz w:val="24"/>
        </w:rPr>
        <w:t xml:space="preserve"> critérios</w:t>
      </w:r>
      <w:r w:rsidR="002239AF">
        <w:rPr>
          <w:rFonts w:ascii="Arial" w:hAnsi="Arial" w:cs="Arial"/>
          <w:sz w:val="24"/>
        </w:rPr>
        <w:t xml:space="preserve"> estabelecidos pela equipe médica do respectivo serviço no qual </w:t>
      </w:r>
      <w:r w:rsidR="005B4B2C">
        <w:rPr>
          <w:rFonts w:ascii="Arial" w:hAnsi="Arial" w:cs="Arial"/>
          <w:sz w:val="24"/>
        </w:rPr>
        <w:t>a pesquisa foi implementada</w:t>
      </w:r>
      <w:r w:rsidR="002239AF">
        <w:rPr>
          <w:rFonts w:ascii="Arial" w:hAnsi="Arial" w:cs="Arial"/>
          <w:sz w:val="24"/>
        </w:rPr>
        <w:t>.</w:t>
      </w:r>
    </w:p>
    <w:p w:rsidR="002E7CF3" w:rsidRDefault="002E7CF3" w:rsidP="002E7CF3">
      <w:pPr>
        <w:spacing w:after="0" w:line="360" w:lineRule="auto"/>
        <w:jc w:val="both"/>
        <w:rPr>
          <w:rFonts w:ascii="Arial" w:hAnsi="Arial" w:cs="Arial"/>
          <w:sz w:val="24"/>
        </w:rPr>
      </w:pPr>
    </w:p>
    <w:p w:rsidR="00EA414E" w:rsidRPr="00EA414E" w:rsidRDefault="00F7296D" w:rsidP="00582961">
      <w:pPr>
        <w:pStyle w:val="Ttulo1"/>
      </w:pPr>
      <w:bookmarkStart w:id="24" w:name="_Toc496749616"/>
      <w:r>
        <w:t>4.7</w:t>
      </w:r>
      <w:r w:rsidR="00EA414E" w:rsidRPr="00EA414E">
        <w:t xml:space="preserve"> Metodologia de análise dos dados</w:t>
      </w:r>
      <w:bookmarkEnd w:id="24"/>
    </w:p>
    <w:p w:rsidR="00EA414E" w:rsidRDefault="00EA414E" w:rsidP="00EA414E">
      <w:pPr>
        <w:spacing w:after="0" w:line="360" w:lineRule="auto"/>
        <w:jc w:val="both"/>
        <w:rPr>
          <w:rFonts w:ascii="Arial" w:hAnsi="Arial" w:cs="Arial"/>
          <w:sz w:val="24"/>
        </w:rPr>
      </w:pPr>
    </w:p>
    <w:p w:rsidR="00661869" w:rsidRDefault="00661869" w:rsidP="00EA414E">
      <w:pPr>
        <w:spacing w:after="0" w:line="360" w:lineRule="auto"/>
        <w:jc w:val="both"/>
        <w:rPr>
          <w:rFonts w:ascii="Arial" w:hAnsi="Arial" w:cs="Arial"/>
          <w:sz w:val="24"/>
        </w:rPr>
      </w:pPr>
      <w:r>
        <w:rPr>
          <w:rFonts w:ascii="Arial" w:hAnsi="Arial" w:cs="Arial"/>
          <w:sz w:val="24"/>
        </w:rPr>
        <w:t xml:space="preserve">No processo de caracterização das variáveis, os dados sociodemográficos </w:t>
      </w:r>
      <w:r w:rsidR="00E218EE">
        <w:rPr>
          <w:rFonts w:ascii="Arial" w:hAnsi="Arial" w:cs="Arial"/>
          <w:sz w:val="24"/>
        </w:rPr>
        <w:t xml:space="preserve">e clínico </w:t>
      </w:r>
      <w:r>
        <w:rPr>
          <w:rFonts w:ascii="Arial" w:hAnsi="Arial" w:cs="Arial"/>
          <w:sz w:val="24"/>
        </w:rPr>
        <w:t>foram definidos como variáveis preditoras. Todas as dimensões / domínios da medida de independência funcional (escala MIF) e os domínios da qualidade de vida relacionada à saúde (instrumento PedsQL</w:t>
      </w:r>
      <w:r w:rsidRPr="007B0CE5">
        <w:rPr>
          <w:rFonts w:ascii="Arial" w:hAnsi="Arial" w:cs="Arial"/>
          <w:sz w:val="24"/>
          <w:vertAlign w:val="superscript"/>
        </w:rPr>
        <w:t>TM</w:t>
      </w:r>
      <w:r>
        <w:rPr>
          <w:rFonts w:ascii="Arial" w:hAnsi="Arial" w:cs="Arial"/>
          <w:sz w:val="24"/>
          <w:vertAlign w:val="superscript"/>
        </w:rPr>
        <w:t xml:space="preserve"> </w:t>
      </w:r>
      <w:r>
        <w:rPr>
          <w:rFonts w:ascii="Arial" w:hAnsi="Arial" w:cs="Arial"/>
          <w:sz w:val="24"/>
        </w:rPr>
        <w:t>4.0) foram classificados como variáveis desfecho. Na análise para verificar correlação entre a MIF e a QVRS, os domínios do instrumento PedsQL</w:t>
      </w:r>
      <w:r w:rsidRPr="00446450">
        <w:rPr>
          <w:rFonts w:ascii="Arial" w:hAnsi="Arial" w:cs="Arial"/>
          <w:sz w:val="24"/>
          <w:vertAlign w:val="superscript"/>
        </w:rPr>
        <w:t>TM</w:t>
      </w:r>
      <w:r>
        <w:rPr>
          <w:rFonts w:ascii="Arial" w:hAnsi="Arial" w:cs="Arial"/>
          <w:sz w:val="24"/>
        </w:rPr>
        <w:t xml:space="preserve"> 4.0 foram definidos como variáveis desfecho.</w:t>
      </w:r>
    </w:p>
    <w:p w:rsidR="00661869" w:rsidRDefault="00661869" w:rsidP="00EA414E">
      <w:pPr>
        <w:spacing w:after="0" w:line="360" w:lineRule="auto"/>
        <w:jc w:val="both"/>
        <w:rPr>
          <w:rFonts w:ascii="Arial" w:hAnsi="Arial" w:cs="Arial"/>
          <w:sz w:val="24"/>
        </w:rPr>
      </w:pPr>
    </w:p>
    <w:p w:rsidR="004209F6" w:rsidRDefault="00101D19" w:rsidP="004E0217">
      <w:pPr>
        <w:spacing w:after="0" w:line="360" w:lineRule="auto"/>
        <w:jc w:val="both"/>
        <w:rPr>
          <w:rFonts w:ascii="Arial" w:hAnsi="Arial" w:cs="Arial"/>
          <w:sz w:val="24"/>
        </w:rPr>
      </w:pPr>
      <w:r>
        <w:rPr>
          <w:rFonts w:ascii="Arial" w:hAnsi="Arial" w:cs="Arial"/>
          <w:sz w:val="24"/>
        </w:rPr>
        <w:t>V</w:t>
      </w:r>
      <w:r w:rsidR="00A82522">
        <w:rPr>
          <w:rFonts w:ascii="Arial" w:hAnsi="Arial" w:cs="Arial"/>
          <w:sz w:val="24"/>
        </w:rPr>
        <w:t xml:space="preserve">ariáveis </w:t>
      </w:r>
      <w:r w:rsidR="00393231">
        <w:rPr>
          <w:rFonts w:ascii="Arial" w:hAnsi="Arial" w:cs="Arial"/>
          <w:sz w:val="24"/>
        </w:rPr>
        <w:t xml:space="preserve">numéricas </w:t>
      </w:r>
      <w:r w:rsidR="000A5774">
        <w:rPr>
          <w:rFonts w:ascii="Arial" w:hAnsi="Arial" w:cs="Arial"/>
          <w:sz w:val="24"/>
        </w:rPr>
        <w:t>com distribuição</w:t>
      </w:r>
      <w:r w:rsidR="00AE6E7C">
        <w:rPr>
          <w:rFonts w:ascii="Arial" w:hAnsi="Arial" w:cs="Arial"/>
          <w:sz w:val="24"/>
        </w:rPr>
        <w:t xml:space="preserve"> normal</w:t>
      </w:r>
      <w:r w:rsidR="00B95807">
        <w:rPr>
          <w:rFonts w:ascii="Arial" w:hAnsi="Arial" w:cs="Arial"/>
          <w:sz w:val="24"/>
        </w:rPr>
        <w:t xml:space="preserve"> </w:t>
      </w:r>
      <w:r w:rsidR="00072013">
        <w:rPr>
          <w:rFonts w:ascii="Arial" w:hAnsi="Arial" w:cs="Arial"/>
          <w:sz w:val="24"/>
        </w:rPr>
        <w:t>foram descrit</w:t>
      </w:r>
      <w:r w:rsidR="000A5774">
        <w:rPr>
          <w:rFonts w:ascii="Arial" w:hAnsi="Arial" w:cs="Arial"/>
          <w:sz w:val="24"/>
        </w:rPr>
        <w:t>a</w:t>
      </w:r>
      <w:r w:rsidR="00072013">
        <w:rPr>
          <w:rFonts w:ascii="Arial" w:hAnsi="Arial" w:cs="Arial"/>
          <w:sz w:val="24"/>
        </w:rPr>
        <w:t>s em média (µ) e desvio-padrão (</w:t>
      </w:r>
      <w:r w:rsidR="0037526D">
        <w:rPr>
          <w:rFonts w:ascii="Arial" w:hAnsi="Arial" w:cs="Arial"/>
          <w:sz w:val="24"/>
        </w:rPr>
        <w:t>±</w:t>
      </w:r>
      <w:r w:rsidR="00072013">
        <w:rPr>
          <w:rFonts w:ascii="Arial" w:hAnsi="Arial" w:cs="Arial"/>
          <w:sz w:val="24"/>
        </w:rPr>
        <w:t>DP)</w:t>
      </w:r>
      <w:r w:rsidR="000A5774">
        <w:rPr>
          <w:rFonts w:ascii="Arial" w:hAnsi="Arial" w:cs="Arial"/>
          <w:sz w:val="24"/>
        </w:rPr>
        <w:t xml:space="preserve">; e </w:t>
      </w:r>
      <w:r w:rsidR="00D72668">
        <w:rPr>
          <w:rFonts w:ascii="Arial" w:hAnsi="Arial" w:cs="Arial"/>
          <w:sz w:val="24"/>
        </w:rPr>
        <w:t>as</w:t>
      </w:r>
      <w:r w:rsidR="000A5774">
        <w:rPr>
          <w:rFonts w:ascii="Arial" w:hAnsi="Arial" w:cs="Arial"/>
          <w:sz w:val="24"/>
        </w:rPr>
        <w:t xml:space="preserve"> </w:t>
      </w:r>
      <w:r w:rsidR="002F3395">
        <w:rPr>
          <w:rFonts w:ascii="Arial" w:hAnsi="Arial" w:cs="Arial"/>
          <w:sz w:val="24"/>
        </w:rPr>
        <w:t xml:space="preserve">com distribuição </w:t>
      </w:r>
      <w:r w:rsidR="000A5774">
        <w:rPr>
          <w:rFonts w:ascii="Arial" w:hAnsi="Arial" w:cs="Arial"/>
          <w:sz w:val="24"/>
        </w:rPr>
        <w:t>não</w:t>
      </w:r>
      <w:r w:rsidR="00AE6E7C">
        <w:rPr>
          <w:rFonts w:ascii="Arial" w:hAnsi="Arial" w:cs="Arial"/>
          <w:sz w:val="24"/>
        </w:rPr>
        <w:t xml:space="preserve"> normal</w:t>
      </w:r>
      <w:r w:rsidR="00D72668">
        <w:rPr>
          <w:rFonts w:ascii="Arial" w:hAnsi="Arial" w:cs="Arial"/>
          <w:sz w:val="24"/>
        </w:rPr>
        <w:t>,</w:t>
      </w:r>
      <w:r w:rsidR="000A5774">
        <w:rPr>
          <w:rFonts w:ascii="Arial" w:hAnsi="Arial" w:cs="Arial"/>
          <w:sz w:val="24"/>
        </w:rPr>
        <w:t xml:space="preserve"> em mediana (Md) e intervalo interquartil (IIQ). A</w:t>
      </w:r>
      <w:r w:rsidR="002523D4">
        <w:rPr>
          <w:rFonts w:ascii="Arial" w:hAnsi="Arial" w:cs="Arial"/>
          <w:sz w:val="24"/>
        </w:rPr>
        <w:t>s</w:t>
      </w:r>
      <w:r w:rsidR="00534836">
        <w:rPr>
          <w:rFonts w:ascii="Arial" w:hAnsi="Arial" w:cs="Arial"/>
          <w:sz w:val="24"/>
        </w:rPr>
        <w:t xml:space="preserve"> variáveis categóricas foram apresentadas </w:t>
      </w:r>
      <w:r w:rsidR="00D72668">
        <w:rPr>
          <w:rFonts w:ascii="Arial" w:hAnsi="Arial" w:cs="Arial"/>
          <w:sz w:val="24"/>
        </w:rPr>
        <w:t>por</w:t>
      </w:r>
      <w:r w:rsidR="006E18E6">
        <w:rPr>
          <w:rFonts w:ascii="Arial" w:hAnsi="Arial" w:cs="Arial"/>
          <w:sz w:val="24"/>
        </w:rPr>
        <w:t xml:space="preserve"> frequência absoluta e relativa.</w:t>
      </w:r>
      <w:r w:rsidR="001345FB">
        <w:rPr>
          <w:rFonts w:ascii="Arial" w:hAnsi="Arial" w:cs="Arial"/>
          <w:sz w:val="24"/>
        </w:rPr>
        <w:t xml:space="preserve"> </w:t>
      </w:r>
      <w:r w:rsidR="00750809" w:rsidRPr="008757BA">
        <w:rPr>
          <w:rFonts w:ascii="Arial" w:hAnsi="Arial" w:cs="Arial"/>
          <w:sz w:val="24"/>
        </w:rPr>
        <w:t xml:space="preserve">Os testes </w:t>
      </w:r>
      <w:r w:rsidR="0084492E" w:rsidRPr="008757BA">
        <w:rPr>
          <w:rFonts w:ascii="Arial" w:hAnsi="Arial" w:cs="Arial"/>
          <w:sz w:val="24"/>
        </w:rPr>
        <w:t>aplicados</w:t>
      </w:r>
      <w:r w:rsidR="00750809" w:rsidRPr="008757BA">
        <w:rPr>
          <w:rFonts w:ascii="Arial" w:hAnsi="Arial" w:cs="Arial"/>
          <w:sz w:val="24"/>
        </w:rPr>
        <w:t xml:space="preserve"> para a análise das</w:t>
      </w:r>
      <w:r w:rsidR="002574D0" w:rsidRPr="008757BA">
        <w:rPr>
          <w:rFonts w:ascii="Arial" w:hAnsi="Arial" w:cs="Arial"/>
          <w:sz w:val="24"/>
        </w:rPr>
        <w:t xml:space="preserve"> variáveis</w:t>
      </w:r>
      <w:r w:rsidR="00750809" w:rsidRPr="008757BA">
        <w:rPr>
          <w:rFonts w:ascii="Arial" w:hAnsi="Arial" w:cs="Arial"/>
          <w:sz w:val="24"/>
        </w:rPr>
        <w:t xml:space="preserve"> foram definidos de acordo com a distribuição dos dados. </w:t>
      </w:r>
      <w:r w:rsidR="00CE0886" w:rsidRPr="008757BA">
        <w:rPr>
          <w:rFonts w:ascii="Arial" w:hAnsi="Arial" w:cs="Arial"/>
          <w:sz w:val="24"/>
        </w:rPr>
        <w:t xml:space="preserve">Para a </w:t>
      </w:r>
      <w:r w:rsidR="002F3395" w:rsidRPr="008757BA">
        <w:rPr>
          <w:rFonts w:ascii="Arial" w:hAnsi="Arial" w:cs="Arial"/>
          <w:sz w:val="24"/>
        </w:rPr>
        <w:t>comparação</w:t>
      </w:r>
      <w:r w:rsidR="00CE0886" w:rsidRPr="008757BA">
        <w:rPr>
          <w:rFonts w:ascii="Arial" w:hAnsi="Arial" w:cs="Arial"/>
          <w:sz w:val="24"/>
        </w:rPr>
        <w:t xml:space="preserve"> intergrupos dos valores</w:t>
      </w:r>
      <w:r w:rsidR="00184F7C" w:rsidRPr="008757BA">
        <w:rPr>
          <w:rFonts w:ascii="Arial" w:hAnsi="Arial" w:cs="Arial"/>
          <w:sz w:val="24"/>
        </w:rPr>
        <w:t xml:space="preserve"> </w:t>
      </w:r>
      <w:r w:rsidR="002F3395" w:rsidRPr="008757BA">
        <w:rPr>
          <w:rFonts w:ascii="Arial" w:hAnsi="Arial" w:cs="Arial"/>
          <w:sz w:val="24"/>
        </w:rPr>
        <w:t xml:space="preserve">do escore total da MIF e </w:t>
      </w:r>
      <w:r w:rsidR="00093559" w:rsidRPr="008757BA">
        <w:rPr>
          <w:rFonts w:ascii="Arial" w:hAnsi="Arial" w:cs="Arial"/>
          <w:sz w:val="24"/>
        </w:rPr>
        <w:t xml:space="preserve">da QVRS </w:t>
      </w:r>
      <w:r w:rsidR="00CE0886" w:rsidRPr="008757BA">
        <w:rPr>
          <w:rFonts w:ascii="Arial" w:hAnsi="Arial" w:cs="Arial"/>
          <w:sz w:val="24"/>
        </w:rPr>
        <w:t>foi utilizado o teste</w:t>
      </w:r>
      <w:r w:rsidR="00CE0886" w:rsidRPr="008757BA">
        <w:rPr>
          <w:rFonts w:ascii="Arial" w:hAnsi="Arial" w:cs="Arial"/>
          <w:i/>
          <w:sz w:val="24"/>
        </w:rPr>
        <w:t xml:space="preserve"> t de Student</w:t>
      </w:r>
      <w:r w:rsidR="00CE0886" w:rsidRPr="008757BA">
        <w:rPr>
          <w:rFonts w:ascii="Arial" w:hAnsi="Arial" w:cs="Arial"/>
          <w:sz w:val="24"/>
        </w:rPr>
        <w:t xml:space="preserve"> para amostras independentes.</w:t>
      </w:r>
      <w:r w:rsidR="008757BA">
        <w:rPr>
          <w:rFonts w:ascii="Arial" w:hAnsi="Arial" w:cs="Arial"/>
          <w:sz w:val="24"/>
        </w:rPr>
        <w:t xml:space="preserve"> </w:t>
      </w:r>
      <w:r w:rsidR="008757BA" w:rsidRPr="008C1FF4">
        <w:rPr>
          <w:rFonts w:ascii="Arial" w:hAnsi="Arial" w:cs="Arial"/>
          <w:sz w:val="24"/>
        </w:rPr>
        <w:t>Considerando o</w:t>
      </w:r>
      <w:r w:rsidR="003D25F2" w:rsidRPr="008C1FF4">
        <w:rPr>
          <w:rFonts w:ascii="Arial" w:hAnsi="Arial" w:cs="Arial"/>
          <w:sz w:val="24"/>
        </w:rPr>
        <w:t>s</w:t>
      </w:r>
      <w:r w:rsidR="008757BA" w:rsidRPr="008C1FF4">
        <w:rPr>
          <w:rFonts w:ascii="Arial" w:hAnsi="Arial" w:cs="Arial"/>
          <w:sz w:val="24"/>
        </w:rPr>
        <w:t xml:space="preserve"> tipo</w:t>
      </w:r>
      <w:r w:rsidR="003D25F2" w:rsidRPr="008C1FF4">
        <w:rPr>
          <w:rFonts w:ascii="Arial" w:hAnsi="Arial" w:cs="Arial"/>
          <w:sz w:val="24"/>
        </w:rPr>
        <w:t>s</w:t>
      </w:r>
      <w:r w:rsidR="008757BA" w:rsidRPr="008C1FF4">
        <w:rPr>
          <w:rFonts w:ascii="Arial" w:hAnsi="Arial" w:cs="Arial"/>
          <w:sz w:val="24"/>
        </w:rPr>
        <w:t xml:space="preserve"> de MPS, a análise das variáveis MIF e QVRS ocorreu de forma descritiva, por média (µ) e desvio-padrão (±DP)</w:t>
      </w:r>
      <w:r w:rsidR="007D5090" w:rsidRPr="008C1FF4">
        <w:rPr>
          <w:rFonts w:ascii="Arial" w:hAnsi="Arial" w:cs="Arial"/>
          <w:sz w:val="24"/>
        </w:rPr>
        <w:t xml:space="preserve"> ou mediana (Md) e </w:t>
      </w:r>
      <w:r w:rsidR="007D5090" w:rsidRPr="008C1FF4">
        <w:rPr>
          <w:rFonts w:ascii="Arial" w:hAnsi="Arial" w:cs="Arial"/>
          <w:sz w:val="24"/>
        </w:rPr>
        <w:lastRenderedPageBreak/>
        <w:t>intervalo interquartil (IIQ)</w:t>
      </w:r>
      <w:r w:rsidR="008757BA" w:rsidRPr="008C1FF4">
        <w:rPr>
          <w:rFonts w:ascii="Arial" w:hAnsi="Arial" w:cs="Arial"/>
          <w:sz w:val="24"/>
        </w:rPr>
        <w:t xml:space="preserve">. Não foi possível a comparação </w:t>
      </w:r>
      <w:r w:rsidR="0043505A" w:rsidRPr="008C1FF4">
        <w:rPr>
          <w:rFonts w:ascii="Arial" w:hAnsi="Arial" w:cs="Arial"/>
          <w:sz w:val="24"/>
        </w:rPr>
        <w:t xml:space="preserve">entre os diferentes </w:t>
      </w:r>
      <w:r w:rsidR="00E53744" w:rsidRPr="008C1FF4">
        <w:rPr>
          <w:rFonts w:ascii="Arial" w:hAnsi="Arial" w:cs="Arial"/>
          <w:sz w:val="24"/>
        </w:rPr>
        <w:t>tip</w:t>
      </w:r>
      <w:r w:rsidR="0043505A" w:rsidRPr="008C1FF4">
        <w:rPr>
          <w:rFonts w:ascii="Arial" w:hAnsi="Arial" w:cs="Arial"/>
          <w:sz w:val="24"/>
        </w:rPr>
        <w:t>os,</w:t>
      </w:r>
      <w:r w:rsidR="008757BA" w:rsidRPr="008C1FF4">
        <w:rPr>
          <w:rFonts w:ascii="Arial" w:hAnsi="Arial" w:cs="Arial"/>
          <w:sz w:val="24"/>
        </w:rPr>
        <w:t xml:space="preserve"> em virtude da heterogeneidade da distribuição amostral (frequência entre os grupos). Por esta razão, a</w:t>
      </w:r>
      <w:r w:rsidR="009D790B" w:rsidRPr="008C1FF4">
        <w:rPr>
          <w:rFonts w:ascii="Arial" w:hAnsi="Arial" w:cs="Arial"/>
          <w:sz w:val="24"/>
        </w:rPr>
        <w:t xml:space="preserve">s variáveis MIF e QVRS foram descritas </w:t>
      </w:r>
      <w:r w:rsidR="008757BA" w:rsidRPr="008C1FF4">
        <w:rPr>
          <w:rFonts w:ascii="Arial" w:hAnsi="Arial" w:cs="Arial"/>
          <w:sz w:val="24"/>
        </w:rPr>
        <w:t>apenas</w:t>
      </w:r>
      <w:r w:rsidR="009D790B" w:rsidRPr="008C1FF4">
        <w:rPr>
          <w:rFonts w:ascii="Arial" w:hAnsi="Arial" w:cs="Arial"/>
          <w:sz w:val="24"/>
        </w:rPr>
        <w:t xml:space="preserve"> n</w:t>
      </w:r>
      <w:r w:rsidR="008757BA" w:rsidRPr="008C1FF4">
        <w:rPr>
          <w:rFonts w:ascii="Arial" w:hAnsi="Arial" w:cs="Arial"/>
          <w:sz w:val="24"/>
        </w:rPr>
        <w:t>o grupo com maior representação.</w:t>
      </w:r>
      <w:r w:rsidR="00265BB0" w:rsidRPr="008C1FF4">
        <w:rPr>
          <w:rFonts w:ascii="Arial" w:hAnsi="Arial" w:cs="Arial"/>
          <w:sz w:val="24"/>
        </w:rPr>
        <w:t xml:space="preserve"> </w:t>
      </w:r>
      <w:r w:rsidR="000C7109">
        <w:rPr>
          <w:rFonts w:ascii="Arial" w:hAnsi="Arial" w:cs="Arial"/>
          <w:sz w:val="24"/>
        </w:rPr>
        <w:t>P</w:t>
      </w:r>
      <w:r w:rsidR="00F44FEC" w:rsidRPr="008757BA">
        <w:rPr>
          <w:rFonts w:ascii="Arial" w:hAnsi="Arial" w:cs="Arial"/>
          <w:sz w:val="24"/>
        </w:rPr>
        <w:t>ara as análises de correlação</w:t>
      </w:r>
      <w:r w:rsidR="00317F88" w:rsidRPr="008757BA">
        <w:rPr>
          <w:rFonts w:ascii="Arial" w:hAnsi="Arial" w:cs="Arial"/>
          <w:sz w:val="24"/>
        </w:rPr>
        <w:t>,</w:t>
      </w:r>
      <w:r w:rsidR="00470162" w:rsidRPr="008757BA">
        <w:rPr>
          <w:rFonts w:ascii="Arial" w:hAnsi="Arial" w:cs="Arial"/>
          <w:sz w:val="24"/>
        </w:rPr>
        <w:t xml:space="preserve"> </w:t>
      </w:r>
      <w:r w:rsidR="00F44FEC" w:rsidRPr="008757BA">
        <w:rPr>
          <w:rFonts w:ascii="Arial" w:hAnsi="Arial" w:cs="Arial"/>
          <w:sz w:val="24"/>
        </w:rPr>
        <w:t xml:space="preserve">foi utilizado o </w:t>
      </w:r>
      <w:r w:rsidR="00802B4B" w:rsidRPr="008757BA">
        <w:rPr>
          <w:rFonts w:ascii="Arial" w:hAnsi="Arial" w:cs="Arial"/>
          <w:sz w:val="24"/>
        </w:rPr>
        <w:t>teste</w:t>
      </w:r>
      <w:r w:rsidR="00F44FEC" w:rsidRPr="008757BA">
        <w:rPr>
          <w:rFonts w:ascii="Arial" w:hAnsi="Arial" w:cs="Arial"/>
          <w:sz w:val="24"/>
        </w:rPr>
        <w:t xml:space="preserve"> de correlação de </w:t>
      </w:r>
      <w:r w:rsidR="00F44FEC" w:rsidRPr="008757BA">
        <w:rPr>
          <w:rFonts w:ascii="Arial" w:hAnsi="Arial" w:cs="Arial"/>
          <w:i/>
          <w:sz w:val="24"/>
        </w:rPr>
        <w:t>Pearson</w:t>
      </w:r>
      <w:r w:rsidR="00317F88" w:rsidRPr="008757BA">
        <w:rPr>
          <w:rFonts w:ascii="Arial" w:hAnsi="Arial" w:cs="Arial"/>
          <w:sz w:val="24"/>
        </w:rPr>
        <w:t>,</w:t>
      </w:r>
      <w:r w:rsidR="00F44FEC" w:rsidRPr="008757BA">
        <w:rPr>
          <w:rFonts w:ascii="Arial" w:hAnsi="Arial" w:cs="Arial"/>
          <w:sz w:val="24"/>
        </w:rPr>
        <w:t xml:space="preserve"> quando houve normalidade na distribuição dos dados; e o teste de correlação de </w:t>
      </w:r>
      <w:r w:rsidR="00F44FEC" w:rsidRPr="008757BA">
        <w:rPr>
          <w:rFonts w:ascii="Arial" w:hAnsi="Arial" w:cs="Arial"/>
          <w:i/>
          <w:sz w:val="24"/>
        </w:rPr>
        <w:t>Spearman</w:t>
      </w:r>
      <w:r w:rsidR="00F44FEC" w:rsidRPr="008757BA">
        <w:rPr>
          <w:rFonts w:ascii="Arial" w:hAnsi="Arial" w:cs="Arial"/>
          <w:sz w:val="24"/>
        </w:rPr>
        <w:t>, quando as variáveis apresentaram distribuição não normal.</w:t>
      </w:r>
    </w:p>
    <w:p w:rsidR="00616F56" w:rsidRDefault="00616F56" w:rsidP="004E0217">
      <w:pPr>
        <w:spacing w:after="0" w:line="360" w:lineRule="auto"/>
        <w:jc w:val="both"/>
        <w:rPr>
          <w:rFonts w:ascii="Arial" w:hAnsi="Arial" w:cs="Arial"/>
          <w:sz w:val="24"/>
        </w:rPr>
      </w:pPr>
    </w:p>
    <w:p w:rsidR="00D7059B" w:rsidRDefault="00CF20CE" w:rsidP="004E0217">
      <w:pPr>
        <w:spacing w:after="0" w:line="360" w:lineRule="auto"/>
        <w:jc w:val="both"/>
        <w:rPr>
          <w:rFonts w:ascii="Arial" w:hAnsi="Arial" w:cs="Arial"/>
          <w:sz w:val="24"/>
        </w:rPr>
      </w:pPr>
      <w:r>
        <w:rPr>
          <w:rFonts w:ascii="Arial" w:hAnsi="Arial" w:cs="Arial"/>
          <w:sz w:val="24"/>
        </w:rPr>
        <w:t xml:space="preserve">Com o objetivo de identificar variáveis que </w:t>
      </w:r>
      <w:r w:rsidR="00360337">
        <w:rPr>
          <w:rFonts w:ascii="Arial" w:hAnsi="Arial" w:cs="Arial"/>
          <w:sz w:val="24"/>
        </w:rPr>
        <w:t>tivessem</w:t>
      </w:r>
      <w:r>
        <w:rPr>
          <w:rFonts w:ascii="Arial" w:hAnsi="Arial" w:cs="Arial"/>
          <w:sz w:val="24"/>
        </w:rPr>
        <w:t xml:space="preserve"> associação independente com a QVRS, f</w:t>
      </w:r>
      <w:r w:rsidR="00EA49D2">
        <w:rPr>
          <w:rFonts w:ascii="Arial" w:hAnsi="Arial" w:cs="Arial"/>
          <w:sz w:val="24"/>
        </w:rPr>
        <w:t xml:space="preserve">oi </w:t>
      </w:r>
      <w:r w:rsidR="00F44FEC">
        <w:rPr>
          <w:rFonts w:ascii="Arial" w:hAnsi="Arial" w:cs="Arial"/>
          <w:sz w:val="24"/>
        </w:rPr>
        <w:t>desenvolvido</w:t>
      </w:r>
      <w:r w:rsidR="00B66DB5">
        <w:rPr>
          <w:rFonts w:ascii="Arial" w:hAnsi="Arial" w:cs="Arial"/>
          <w:sz w:val="24"/>
        </w:rPr>
        <w:t xml:space="preserve"> </w:t>
      </w:r>
      <w:r w:rsidR="00EA49D2">
        <w:rPr>
          <w:rFonts w:ascii="Arial" w:hAnsi="Arial" w:cs="Arial"/>
          <w:sz w:val="24"/>
        </w:rPr>
        <w:t>um modelo de análise multivariada</w:t>
      </w:r>
      <w:r w:rsidR="006F57B2">
        <w:rPr>
          <w:rFonts w:ascii="Arial" w:hAnsi="Arial" w:cs="Arial"/>
          <w:sz w:val="24"/>
        </w:rPr>
        <w:t xml:space="preserve"> </w:t>
      </w:r>
      <w:r w:rsidR="00F44FEC">
        <w:rPr>
          <w:rFonts w:ascii="Arial" w:hAnsi="Arial" w:cs="Arial"/>
          <w:sz w:val="24"/>
        </w:rPr>
        <w:t>de regressão linear,</w:t>
      </w:r>
      <w:r w:rsidR="00634D48">
        <w:rPr>
          <w:rFonts w:ascii="Arial" w:hAnsi="Arial" w:cs="Arial"/>
          <w:sz w:val="24"/>
        </w:rPr>
        <w:t xml:space="preserve"> </w:t>
      </w:r>
      <w:r w:rsidR="004F21E6">
        <w:rPr>
          <w:rFonts w:ascii="Arial" w:hAnsi="Arial" w:cs="Arial"/>
          <w:sz w:val="24"/>
        </w:rPr>
        <w:t>inclui</w:t>
      </w:r>
      <w:r w:rsidR="00D7059B">
        <w:rPr>
          <w:rFonts w:ascii="Arial" w:hAnsi="Arial" w:cs="Arial"/>
          <w:sz w:val="24"/>
        </w:rPr>
        <w:t xml:space="preserve">ndo </w:t>
      </w:r>
      <w:r w:rsidR="00EA49D2">
        <w:rPr>
          <w:rFonts w:ascii="Arial" w:hAnsi="Arial" w:cs="Arial"/>
          <w:sz w:val="24"/>
        </w:rPr>
        <w:t>como variáveis preditoras as dimensões da escala MIF que</w:t>
      </w:r>
      <w:r w:rsidR="00D7059B">
        <w:rPr>
          <w:rFonts w:ascii="Arial" w:hAnsi="Arial" w:cs="Arial"/>
          <w:sz w:val="24"/>
        </w:rPr>
        <w:t xml:space="preserve"> na análise univariada </w:t>
      </w:r>
      <w:r w:rsidR="00802B4B">
        <w:rPr>
          <w:rFonts w:ascii="Arial" w:hAnsi="Arial" w:cs="Arial"/>
          <w:sz w:val="24"/>
        </w:rPr>
        <w:t xml:space="preserve">com </w:t>
      </w:r>
      <w:r w:rsidR="00A76289">
        <w:rPr>
          <w:rFonts w:ascii="Arial" w:hAnsi="Arial" w:cs="Arial"/>
          <w:sz w:val="24"/>
        </w:rPr>
        <w:t>o PedsQL</w:t>
      </w:r>
      <w:r w:rsidR="00A76289" w:rsidRPr="00A76289">
        <w:rPr>
          <w:rFonts w:ascii="Arial" w:hAnsi="Arial" w:cs="Arial"/>
          <w:sz w:val="24"/>
          <w:vertAlign w:val="superscript"/>
        </w:rPr>
        <w:t>TM</w:t>
      </w:r>
      <w:r w:rsidR="00A76289">
        <w:rPr>
          <w:rFonts w:ascii="Arial" w:hAnsi="Arial" w:cs="Arial"/>
          <w:sz w:val="24"/>
        </w:rPr>
        <w:t xml:space="preserve"> 4.0</w:t>
      </w:r>
      <w:r w:rsidR="00802B4B">
        <w:rPr>
          <w:rFonts w:ascii="Arial" w:hAnsi="Arial" w:cs="Arial"/>
          <w:sz w:val="24"/>
        </w:rPr>
        <w:t xml:space="preserve"> </w:t>
      </w:r>
      <w:r w:rsidR="00D7059B">
        <w:rPr>
          <w:rFonts w:ascii="Arial" w:hAnsi="Arial" w:cs="Arial"/>
          <w:sz w:val="24"/>
        </w:rPr>
        <w:t xml:space="preserve">apresentaram </w:t>
      </w:r>
      <w:r w:rsidR="005013E5">
        <w:rPr>
          <w:rFonts w:ascii="Arial" w:hAnsi="Arial" w:cs="Arial"/>
          <w:sz w:val="24"/>
        </w:rPr>
        <w:t>diferença</w:t>
      </w:r>
      <w:r w:rsidR="00D7059B">
        <w:rPr>
          <w:rFonts w:ascii="Arial" w:hAnsi="Arial" w:cs="Arial"/>
          <w:sz w:val="24"/>
        </w:rPr>
        <w:t xml:space="preserve"> estatística menor que </w:t>
      </w:r>
      <w:r w:rsidR="00B66DB5">
        <w:rPr>
          <w:rFonts w:ascii="Arial" w:hAnsi="Arial" w:cs="Arial"/>
          <w:sz w:val="24"/>
        </w:rPr>
        <w:t>5</w:t>
      </w:r>
      <w:r w:rsidR="008C653F">
        <w:rPr>
          <w:rFonts w:ascii="Arial" w:hAnsi="Arial" w:cs="Arial"/>
          <w:sz w:val="24"/>
        </w:rPr>
        <w:t>%.</w:t>
      </w:r>
      <w:r w:rsidR="001F12E0">
        <w:rPr>
          <w:rFonts w:ascii="Arial" w:hAnsi="Arial" w:cs="Arial"/>
          <w:sz w:val="24"/>
        </w:rPr>
        <w:t xml:space="preserve"> As variáveis foram inseridas manu</w:t>
      </w:r>
      <w:r w:rsidR="00DB4FDC">
        <w:rPr>
          <w:rFonts w:ascii="Arial" w:hAnsi="Arial" w:cs="Arial"/>
          <w:sz w:val="24"/>
        </w:rPr>
        <w:t>almente e, no modelo final, foi aceita</w:t>
      </w:r>
      <w:r w:rsidR="001F12E0">
        <w:rPr>
          <w:rFonts w:ascii="Arial" w:hAnsi="Arial" w:cs="Arial"/>
          <w:sz w:val="24"/>
        </w:rPr>
        <w:t xml:space="preserve"> </w:t>
      </w:r>
      <w:r w:rsidR="00B57BDE">
        <w:rPr>
          <w:rFonts w:ascii="Arial" w:hAnsi="Arial" w:cs="Arial"/>
          <w:sz w:val="24"/>
        </w:rPr>
        <w:t>aquela</w:t>
      </w:r>
      <w:r w:rsidR="001F12E0">
        <w:rPr>
          <w:rFonts w:ascii="Arial" w:hAnsi="Arial" w:cs="Arial"/>
          <w:sz w:val="24"/>
        </w:rPr>
        <w:t xml:space="preserve"> com associação estatística p&lt;0,05.</w:t>
      </w:r>
    </w:p>
    <w:p w:rsidR="00376260" w:rsidRDefault="00376260" w:rsidP="004E0217">
      <w:pPr>
        <w:spacing w:after="0" w:line="360" w:lineRule="auto"/>
        <w:jc w:val="both"/>
        <w:rPr>
          <w:rFonts w:ascii="Arial" w:hAnsi="Arial" w:cs="Arial"/>
          <w:sz w:val="24"/>
        </w:rPr>
      </w:pPr>
    </w:p>
    <w:p w:rsidR="005D782E" w:rsidRDefault="001D4DA6" w:rsidP="004E0217">
      <w:pPr>
        <w:spacing w:after="0" w:line="360" w:lineRule="auto"/>
        <w:jc w:val="both"/>
        <w:rPr>
          <w:rFonts w:ascii="Arial" w:hAnsi="Arial" w:cs="Arial"/>
          <w:sz w:val="24"/>
        </w:rPr>
      </w:pPr>
      <w:r>
        <w:rPr>
          <w:rFonts w:ascii="Arial" w:hAnsi="Arial" w:cs="Arial"/>
          <w:sz w:val="24"/>
        </w:rPr>
        <w:t>Neste estudo, o</w:t>
      </w:r>
      <w:r w:rsidR="0076773D">
        <w:rPr>
          <w:rFonts w:ascii="Arial" w:hAnsi="Arial" w:cs="Arial"/>
          <w:sz w:val="24"/>
        </w:rPr>
        <w:t xml:space="preserve"> nível de significância adotado para os te</w:t>
      </w:r>
      <w:r w:rsidR="007F48C9" w:rsidRPr="005F79BA">
        <w:rPr>
          <w:rFonts w:ascii="Arial" w:hAnsi="Arial" w:cs="Arial"/>
          <w:sz w:val="24"/>
        </w:rPr>
        <w:t xml:space="preserve">stes estatísticos </w:t>
      </w:r>
      <w:r w:rsidR="007F02EE">
        <w:rPr>
          <w:rFonts w:ascii="Arial" w:hAnsi="Arial" w:cs="Arial"/>
          <w:sz w:val="24"/>
        </w:rPr>
        <w:t xml:space="preserve">aplicados </w:t>
      </w:r>
      <w:r w:rsidR="0076773D">
        <w:rPr>
          <w:rFonts w:ascii="Arial" w:hAnsi="Arial" w:cs="Arial"/>
          <w:sz w:val="24"/>
        </w:rPr>
        <w:t>foi de 5</w:t>
      </w:r>
      <w:r w:rsidR="007F48C9" w:rsidRPr="005F79BA">
        <w:rPr>
          <w:rFonts w:ascii="Arial" w:hAnsi="Arial" w:cs="Arial"/>
          <w:sz w:val="24"/>
        </w:rPr>
        <w:t>%</w:t>
      </w:r>
      <w:r w:rsidR="007F48C9">
        <w:rPr>
          <w:rFonts w:ascii="Arial" w:hAnsi="Arial" w:cs="Arial"/>
          <w:sz w:val="24"/>
        </w:rPr>
        <w:t>.</w:t>
      </w:r>
      <w:r w:rsidR="00F44FEC">
        <w:rPr>
          <w:rFonts w:ascii="Arial" w:hAnsi="Arial" w:cs="Arial"/>
          <w:sz w:val="24"/>
        </w:rPr>
        <w:t xml:space="preserve"> </w:t>
      </w:r>
      <w:r w:rsidR="0076773D">
        <w:rPr>
          <w:rFonts w:ascii="Arial" w:hAnsi="Arial" w:cs="Arial"/>
          <w:sz w:val="24"/>
        </w:rPr>
        <w:t>Todas</w:t>
      </w:r>
      <w:r w:rsidR="004F21E6">
        <w:rPr>
          <w:rFonts w:ascii="Arial" w:hAnsi="Arial" w:cs="Arial"/>
          <w:sz w:val="24"/>
        </w:rPr>
        <w:t xml:space="preserve"> </w:t>
      </w:r>
      <w:r w:rsidR="005D782E">
        <w:rPr>
          <w:rFonts w:ascii="Arial" w:hAnsi="Arial" w:cs="Arial"/>
          <w:sz w:val="24"/>
        </w:rPr>
        <w:t xml:space="preserve">as análises foram realizadas utilizando o programa estatístico </w:t>
      </w:r>
      <w:r w:rsidR="00634D48">
        <w:rPr>
          <w:rFonts w:ascii="Arial" w:hAnsi="Arial" w:cs="Arial"/>
          <w:sz w:val="24"/>
        </w:rPr>
        <w:t>IBM</w:t>
      </w:r>
      <w:r w:rsidR="005013E5">
        <w:rPr>
          <w:rFonts w:ascii="Arial" w:hAnsi="Arial" w:cs="Arial"/>
          <w:sz w:val="24"/>
        </w:rPr>
        <w:t>®</w:t>
      </w:r>
      <w:r w:rsidR="00634D48">
        <w:rPr>
          <w:rFonts w:ascii="Arial" w:hAnsi="Arial" w:cs="Arial"/>
          <w:sz w:val="24"/>
        </w:rPr>
        <w:t xml:space="preserve"> </w:t>
      </w:r>
      <w:r w:rsidR="005D782E">
        <w:rPr>
          <w:rFonts w:ascii="Arial" w:hAnsi="Arial" w:cs="Arial"/>
          <w:sz w:val="24"/>
        </w:rPr>
        <w:t>SPSS®</w:t>
      </w:r>
      <w:r w:rsidR="00634D48">
        <w:rPr>
          <w:rFonts w:ascii="Arial" w:hAnsi="Arial" w:cs="Arial"/>
          <w:sz w:val="24"/>
        </w:rPr>
        <w:t xml:space="preserve"> Statistics</w:t>
      </w:r>
      <w:r w:rsidR="009F7E47">
        <w:rPr>
          <w:rFonts w:ascii="Arial" w:hAnsi="Arial" w:cs="Arial"/>
          <w:sz w:val="24"/>
        </w:rPr>
        <w:t xml:space="preserve"> (IBM Corp. Released 2011)</w:t>
      </w:r>
      <w:r w:rsidR="005D782E">
        <w:rPr>
          <w:rFonts w:ascii="Arial" w:hAnsi="Arial" w:cs="Arial"/>
          <w:sz w:val="24"/>
        </w:rPr>
        <w:t>, versão 20.0 para Windows.</w:t>
      </w:r>
    </w:p>
    <w:p w:rsidR="00B059A2" w:rsidRDefault="00B059A2" w:rsidP="00F44284">
      <w:pPr>
        <w:spacing w:after="0" w:line="360" w:lineRule="auto"/>
        <w:jc w:val="both"/>
        <w:rPr>
          <w:rFonts w:ascii="Arial" w:hAnsi="Arial" w:cs="Arial"/>
          <w:sz w:val="24"/>
        </w:rPr>
      </w:pPr>
    </w:p>
    <w:p w:rsidR="00AE6E7C" w:rsidRDefault="00AE6E7C" w:rsidP="00F44284">
      <w:pPr>
        <w:spacing w:after="0" w:line="360" w:lineRule="auto"/>
        <w:jc w:val="both"/>
        <w:rPr>
          <w:rFonts w:ascii="Arial" w:hAnsi="Arial" w:cs="Arial"/>
          <w:sz w:val="24"/>
        </w:rPr>
      </w:pPr>
    </w:p>
    <w:p w:rsidR="00446450" w:rsidRDefault="00446450" w:rsidP="00F44284">
      <w:pPr>
        <w:spacing w:after="0" w:line="360" w:lineRule="auto"/>
        <w:jc w:val="both"/>
        <w:rPr>
          <w:rFonts w:ascii="Arial" w:hAnsi="Arial" w:cs="Arial"/>
          <w:sz w:val="24"/>
        </w:rPr>
      </w:pPr>
    </w:p>
    <w:p w:rsidR="00446450" w:rsidRDefault="00446450" w:rsidP="00F44284">
      <w:pPr>
        <w:spacing w:after="0" w:line="360" w:lineRule="auto"/>
        <w:jc w:val="both"/>
        <w:rPr>
          <w:rFonts w:ascii="Arial" w:hAnsi="Arial" w:cs="Arial"/>
          <w:sz w:val="24"/>
        </w:rPr>
      </w:pPr>
    </w:p>
    <w:p w:rsidR="00E218EE" w:rsidRDefault="00E218EE" w:rsidP="00F44284">
      <w:pPr>
        <w:spacing w:after="0" w:line="360" w:lineRule="auto"/>
        <w:jc w:val="both"/>
        <w:rPr>
          <w:rFonts w:ascii="Arial" w:hAnsi="Arial" w:cs="Arial"/>
          <w:sz w:val="24"/>
        </w:rPr>
      </w:pPr>
    </w:p>
    <w:p w:rsidR="00E218EE" w:rsidRDefault="00E218EE" w:rsidP="00F44284">
      <w:pPr>
        <w:spacing w:after="0" w:line="360" w:lineRule="auto"/>
        <w:jc w:val="both"/>
        <w:rPr>
          <w:rFonts w:ascii="Arial" w:hAnsi="Arial" w:cs="Arial"/>
          <w:sz w:val="24"/>
        </w:rPr>
      </w:pPr>
    </w:p>
    <w:p w:rsidR="00E218EE" w:rsidRDefault="00E218EE" w:rsidP="00F44284">
      <w:pPr>
        <w:spacing w:after="0" w:line="360" w:lineRule="auto"/>
        <w:jc w:val="both"/>
        <w:rPr>
          <w:rFonts w:ascii="Arial" w:hAnsi="Arial" w:cs="Arial"/>
          <w:sz w:val="24"/>
        </w:rPr>
      </w:pPr>
    </w:p>
    <w:p w:rsidR="00E218EE" w:rsidRDefault="00E218EE" w:rsidP="00F44284">
      <w:pPr>
        <w:spacing w:after="0" w:line="360" w:lineRule="auto"/>
        <w:jc w:val="both"/>
        <w:rPr>
          <w:rFonts w:ascii="Arial" w:hAnsi="Arial" w:cs="Arial"/>
          <w:sz w:val="24"/>
        </w:rPr>
      </w:pPr>
    </w:p>
    <w:p w:rsidR="00E218EE" w:rsidRDefault="00E218EE" w:rsidP="00F44284">
      <w:pPr>
        <w:spacing w:after="0" w:line="360" w:lineRule="auto"/>
        <w:jc w:val="both"/>
        <w:rPr>
          <w:rFonts w:ascii="Arial" w:hAnsi="Arial" w:cs="Arial"/>
          <w:sz w:val="24"/>
        </w:rPr>
      </w:pPr>
    </w:p>
    <w:p w:rsidR="00E218EE" w:rsidRDefault="00E218EE" w:rsidP="00F44284">
      <w:pPr>
        <w:spacing w:after="0" w:line="360" w:lineRule="auto"/>
        <w:jc w:val="both"/>
        <w:rPr>
          <w:rFonts w:ascii="Arial" w:hAnsi="Arial" w:cs="Arial"/>
          <w:sz w:val="24"/>
        </w:rPr>
      </w:pPr>
    </w:p>
    <w:p w:rsidR="00E218EE" w:rsidRDefault="00E218EE" w:rsidP="00F44284">
      <w:pPr>
        <w:spacing w:after="0" w:line="360" w:lineRule="auto"/>
        <w:jc w:val="both"/>
        <w:rPr>
          <w:rFonts w:ascii="Arial" w:hAnsi="Arial" w:cs="Arial"/>
          <w:sz w:val="24"/>
        </w:rPr>
      </w:pPr>
    </w:p>
    <w:p w:rsidR="00E218EE" w:rsidRDefault="00E218EE" w:rsidP="00F44284">
      <w:pPr>
        <w:spacing w:after="0" w:line="360" w:lineRule="auto"/>
        <w:jc w:val="both"/>
        <w:rPr>
          <w:rFonts w:ascii="Arial" w:hAnsi="Arial" w:cs="Arial"/>
          <w:sz w:val="24"/>
        </w:rPr>
      </w:pPr>
    </w:p>
    <w:p w:rsidR="00E218EE" w:rsidRDefault="00E218EE" w:rsidP="00F44284">
      <w:pPr>
        <w:spacing w:after="0" w:line="360" w:lineRule="auto"/>
        <w:jc w:val="both"/>
        <w:rPr>
          <w:rFonts w:ascii="Arial" w:hAnsi="Arial" w:cs="Arial"/>
          <w:sz w:val="24"/>
        </w:rPr>
      </w:pPr>
    </w:p>
    <w:p w:rsidR="00E218EE" w:rsidRDefault="00E218EE" w:rsidP="00F44284">
      <w:pPr>
        <w:spacing w:after="0" w:line="360" w:lineRule="auto"/>
        <w:jc w:val="both"/>
        <w:rPr>
          <w:rFonts w:ascii="Arial" w:hAnsi="Arial" w:cs="Arial"/>
          <w:sz w:val="24"/>
        </w:rPr>
      </w:pPr>
    </w:p>
    <w:p w:rsidR="00E218EE" w:rsidRDefault="00E218EE" w:rsidP="00F44284">
      <w:pPr>
        <w:spacing w:after="0" w:line="360" w:lineRule="auto"/>
        <w:jc w:val="both"/>
        <w:rPr>
          <w:rFonts w:ascii="Arial" w:hAnsi="Arial" w:cs="Arial"/>
          <w:sz w:val="24"/>
        </w:rPr>
      </w:pPr>
    </w:p>
    <w:p w:rsidR="001C393D" w:rsidRDefault="001C393D" w:rsidP="00F44284">
      <w:pPr>
        <w:spacing w:after="0" w:line="360" w:lineRule="auto"/>
        <w:jc w:val="both"/>
        <w:rPr>
          <w:rFonts w:ascii="Arial" w:hAnsi="Arial" w:cs="Arial"/>
          <w:sz w:val="24"/>
        </w:rPr>
      </w:pPr>
    </w:p>
    <w:p w:rsidR="00A82522" w:rsidRPr="00A82522" w:rsidRDefault="00A82522" w:rsidP="00582961">
      <w:pPr>
        <w:pStyle w:val="Ttulo1"/>
      </w:pPr>
      <w:bookmarkStart w:id="25" w:name="_Toc496749617"/>
      <w:r w:rsidRPr="00A82522">
        <w:lastRenderedPageBreak/>
        <w:t>5 RESULTADOS</w:t>
      </w:r>
      <w:bookmarkEnd w:id="25"/>
    </w:p>
    <w:p w:rsidR="00A82522" w:rsidRDefault="00A82522" w:rsidP="00A82522">
      <w:pPr>
        <w:spacing w:after="0" w:line="360" w:lineRule="auto"/>
        <w:jc w:val="both"/>
        <w:rPr>
          <w:rFonts w:ascii="Arial" w:hAnsi="Arial" w:cs="Arial"/>
          <w:sz w:val="24"/>
        </w:rPr>
      </w:pPr>
    </w:p>
    <w:p w:rsidR="0037526D" w:rsidRDefault="00E51D5D" w:rsidP="00AB0CE5">
      <w:pPr>
        <w:spacing w:after="0" w:line="360" w:lineRule="auto"/>
        <w:jc w:val="both"/>
        <w:rPr>
          <w:rFonts w:ascii="Arial" w:hAnsi="Arial" w:cs="Arial"/>
          <w:sz w:val="24"/>
        </w:rPr>
      </w:pPr>
      <w:r>
        <w:rPr>
          <w:rFonts w:ascii="Arial" w:hAnsi="Arial" w:cs="Arial"/>
          <w:sz w:val="24"/>
        </w:rPr>
        <w:t xml:space="preserve">No período de </w:t>
      </w:r>
      <w:r w:rsidR="001564DF">
        <w:rPr>
          <w:rFonts w:ascii="Arial" w:hAnsi="Arial" w:cs="Arial"/>
          <w:sz w:val="24"/>
        </w:rPr>
        <w:t>janeiro de 2012</w:t>
      </w:r>
      <w:r>
        <w:rPr>
          <w:rFonts w:ascii="Arial" w:hAnsi="Arial" w:cs="Arial"/>
          <w:sz w:val="24"/>
        </w:rPr>
        <w:t xml:space="preserve"> a</w:t>
      </w:r>
      <w:r w:rsidR="001564DF">
        <w:rPr>
          <w:rFonts w:ascii="Arial" w:hAnsi="Arial" w:cs="Arial"/>
          <w:sz w:val="24"/>
        </w:rPr>
        <w:t xml:space="preserve"> outubro de 2014</w:t>
      </w:r>
      <w:r>
        <w:rPr>
          <w:rFonts w:ascii="Arial" w:hAnsi="Arial" w:cs="Arial"/>
          <w:sz w:val="24"/>
        </w:rPr>
        <w:t xml:space="preserve">, 29 pacientes com diagnóstico </w:t>
      </w:r>
      <w:r w:rsidR="00C86171">
        <w:rPr>
          <w:rFonts w:ascii="Arial" w:hAnsi="Arial" w:cs="Arial"/>
          <w:sz w:val="24"/>
        </w:rPr>
        <w:t xml:space="preserve">de MPS </w:t>
      </w:r>
      <w:r w:rsidR="002A3D40">
        <w:rPr>
          <w:rFonts w:ascii="Arial" w:hAnsi="Arial" w:cs="Arial"/>
          <w:sz w:val="24"/>
        </w:rPr>
        <w:t xml:space="preserve">foram </w:t>
      </w:r>
      <w:r w:rsidR="00B95807">
        <w:rPr>
          <w:rFonts w:ascii="Arial" w:hAnsi="Arial" w:cs="Arial"/>
          <w:sz w:val="24"/>
        </w:rPr>
        <w:t>acompanhados no ambulatório de ortopedia do HSI</w:t>
      </w:r>
      <w:r w:rsidR="002A3D40">
        <w:rPr>
          <w:rFonts w:ascii="Arial" w:hAnsi="Arial" w:cs="Arial"/>
          <w:sz w:val="24"/>
        </w:rPr>
        <w:t xml:space="preserve">. </w:t>
      </w:r>
      <w:r w:rsidR="00814149">
        <w:rPr>
          <w:rFonts w:ascii="Arial" w:hAnsi="Arial" w:cs="Arial"/>
          <w:sz w:val="24"/>
        </w:rPr>
        <w:t>Este estudo contou com a participaç</w:t>
      </w:r>
      <w:r w:rsidR="00D46C82">
        <w:rPr>
          <w:rFonts w:ascii="Arial" w:hAnsi="Arial" w:cs="Arial"/>
          <w:sz w:val="24"/>
        </w:rPr>
        <w:t xml:space="preserve">ão de </w:t>
      </w:r>
      <w:r w:rsidR="00814149">
        <w:rPr>
          <w:rFonts w:ascii="Arial" w:hAnsi="Arial" w:cs="Arial"/>
          <w:sz w:val="24"/>
        </w:rPr>
        <w:t xml:space="preserve">26 </w:t>
      </w:r>
      <w:r w:rsidR="00D46C82">
        <w:rPr>
          <w:rFonts w:ascii="Arial" w:hAnsi="Arial" w:cs="Arial"/>
          <w:sz w:val="24"/>
        </w:rPr>
        <w:t>destes pacientes</w:t>
      </w:r>
      <w:r w:rsidR="00814149">
        <w:rPr>
          <w:rFonts w:ascii="Arial" w:hAnsi="Arial" w:cs="Arial"/>
          <w:sz w:val="24"/>
        </w:rPr>
        <w:t>;</w:t>
      </w:r>
      <w:r w:rsidR="00B95807">
        <w:rPr>
          <w:rFonts w:ascii="Arial" w:hAnsi="Arial" w:cs="Arial"/>
          <w:sz w:val="24"/>
        </w:rPr>
        <w:t xml:space="preserve"> 3 </w:t>
      </w:r>
      <w:r w:rsidR="00580DDA">
        <w:rPr>
          <w:rFonts w:ascii="Arial" w:hAnsi="Arial" w:cs="Arial"/>
          <w:sz w:val="24"/>
        </w:rPr>
        <w:t xml:space="preserve">não </w:t>
      </w:r>
      <w:r w:rsidR="00B95807">
        <w:rPr>
          <w:rFonts w:ascii="Arial" w:hAnsi="Arial" w:cs="Arial"/>
          <w:sz w:val="24"/>
        </w:rPr>
        <w:t>foram</w:t>
      </w:r>
      <w:r w:rsidR="00580DDA">
        <w:rPr>
          <w:rFonts w:ascii="Arial" w:hAnsi="Arial" w:cs="Arial"/>
          <w:sz w:val="24"/>
        </w:rPr>
        <w:t xml:space="preserve"> incluídos</w:t>
      </w:r>
      <w:r w:rsidR="00802FC1">
        <w:rPr>
          <w:rFonts w:ascii="Arial" w:hAnsi="Arial" w:cs="Arial"/>
          <w:sz w:val="24"/>
        </w:rPr>
        <w:t xml:space="preserve"> </w:t>
      </w:r>
      <w:r w:rsidR="00D46C82">
        <w:rPr>
          <w:rFonts w:ascii="Arial" w:hAnsi="Arial" w:cs="Arial"/>
          <w:sz w:val="24"/>
        </w:rPr>
        <w:t>por</w:t>
      </w:r>
      <w:r w:rsidR="00814149">
        <w:rPr>
          <w:rFonts w:ascii="Arial" w:hAnsi="Arial" w:cs="Arial"/>
          <w:sz w:val="24"/>
        </w:rPr>
        <w:t xml:space="preserve"> apresenta</w:t>
      </w:r>
      <w:r w:rsidR="00D46C82">
        <w:rPr>
          <w:rFonts w:ascii="Arial" w:hAnsi="Arial" w:cs="Arial"/>
          <w:sz w:val="24"/>
        </w:rPr>
        <w:t>r</w:t>
      </w:r>
      <w:r w:rsidR="00802FC1">
        <w:rPr>
          <w:rFonts w:ascii="Arial" w:hAnsi="Arial" w:cs="Arial"/>
          <w:sz w:val="24"/>
        </w:rPr>
        <w:t xml:space="preserve"> </w:t>
      </w:r>
      <w:r w:rsidR="00B95807">
        <w:rPr>
          <w:rFonts w:ascii="Arial" w:hAnsi="Arial" w:cs="Arial"/>
          <w:sz w:val="24"/>
        </w:rPr>
        <w:t>idade superior a 18 anos.</w:t>
      </w:r>
    </w:p>
    <w:p w:rsidR="008C653F" w:rsidRDefault="008C653F" w:rsidP="00AB0CE5">
      <w:pPr>
        <w:spacing w:after="0" w:line="360" w:lineRule="auto"/>
        <w:jc w:val="both"/>
        <w:rPr>
          <w:rFonts w:ascii="Arial" w:hAnsi="Arial" w:cs="Arial"/>
          <w:sz w:val="24"/>
        </w:rPr>
      </w:pPr>
    </w:p>
    <w:p w:rsidR="00FE513D" w:rsidRDefault="00B95807" w:rsidP="00AB0CE5">
      <w:pPr>
        <w:spacing w:after="0" w:line="360" w:lineRule="auto"/>
        <w:jc w:val="both"/>
        <w:rPr>
          <w:rFonts w:ascii="Arial" w:hAnsi="Arial" w:cs="Arial"/>
          <w:sz w:val="24"/>
        </w:rPr>
      </w:pPr>
      <w:r>
        <w:rPr>
          <w:rFonts w:ascii="Arial" w:hAnsi="Arial" w:cs="Arial"/>
          <w:sz w:val="24"/>
        </w:rPr>
        <w:t xml:space="preserve">A </w:t>
      </w:r>
      <w:r w:rsidR="00807F40">
        <w:rPr>
          <w:rFonts w:ascii="Arial" w:hAnsi="Arial" w:cs="Arial"/>
          <w:sz w:val="24"/>
        </w:rPr>
        <w:t>população</w:t>
      </w:r>
      <w:r>
        <w:rPr>
          <w:rFonts w:ascii="Arial" w:hAnsi="Arial" w:cs="Arial"/>
          <w:sz w:val="24"/>
        </w:rPr>
        <w:t xml:space="preserve"> </w:t>
      </w:r>
      <w:r w:rsidR="00C8347B">
        <w:rPr>
          <w:rFonts w:ascii="Arial" w:hAnsi="Arial" w:cs="Arial"/>
          <w:sz w:val="24"/>
        </w:rPr>
        <w:t>foi constituída predominantemente por indi</w:t>
      </w:r>
      <w:r w:rsidR="004500A6">
        <w:rPr>
          <w:rFonts w:ascii="Arial" w:hAnsi="Arial" w:cs="Arial"/>
          <w:sz w:val="24"/>
        </w:rPr>
        <w:t>víduos do sexo masculino</w:t>
      </w:r>
      <w:r w:rsidR="0037526D">
        <w:rPr>
          <w:rFonts w:ascii="Arial" w:hAnsi="Arial" w:cs="Arial"/>
          <w:sz w:val="24"/>
        </w:rPr>
        <w:t xml:space="preserve"> (61,5%)</w:t>
      </w:r>
      <w:r>
        <w:rPr>
          <w:rFonts w:ascii="Arial" w:hAnsi="Arial" w:cs="Arial"/>
          <w:sz w:val="24"/>
        </w:rPr>
        <w:t>, com</w:t>
      </w:r>
      <w:r w:rsidR="00C8347B">
        <w:rPr>
          <w:rFonts w:ascii="Arial" w:hAnsi="Arial" w:cs="Arial"/>
          <w:sz w:val="24"/>
        </w:rPr>
        <w:t xml:space="preserve"> média de idade de 10±4,5 anos</w:t>
      </w:r>
      <w:r w:rsidR="001130AE">
        <w:rPr>
          <w:rFonts w:ascii="Arial" w:hAnsi="Arial" w:cs="Arial"/>
          <w:sz w:val="24"/>
        </w:rPr>
        <w:t xml:space="preserve">, acometidos por </w:t>
      </w:r>
      <w:r w:rsidR="0037526D">
        <w:rPr>
          <w:rFonts w:ascii="Arial" w:hAnsi="Arial" w:cs="Arial"/>
          <w:sz w:val="24"/>
        </w:rPr>
        <w:t>MPS tipo VI (73,1%)</w:t>
      </w:r>
      <w:r w:rsidR="004500A6">
        <w:rPr>
          <w:rFonts w:ascii="Arial" w:hAnsi="Arial" w:cs="Arial"/>
          <w:sz w:val="24"/>
        </w:rPr>
        <w:t xml:space="preserve">. </w:t>
      </w:r>
      <w:r w:rsidR="00796319">
        <w:rPr>
          <w:rFonts w:ascii="Arial" w:hAnsi="Arial" w:cs="Arial"/>
          <w:sz w:val="24"/>
        </w:rPr>
        <w:t>A</w:t>
      </w:r>
      <w:r w:rsidR="004500A6">
        <w:rPr>
          <w:rFonts w:ascii="Arial" w:hAnsi="Arial" w:cs="Arial"/>
          <w:sz w:val="24"/>
        </w:rPr>
        <w:t>s características sociodemográficas</w:t>
      </w:r>
      <w:r w:rsidR="00F76428">
        <w:rPr>
          <w:rFonts w:ascii="Arial" w:hAnsi="Arial" w:cs="Arial"/>
          <w:sz w:val="24"/>
        </w:rPr>
        <w:t xml:space="preserve"> e clínica</w:t>
      </w:r>
      <w:r w:rsidR="004500A6">
        <w:rPr>
          <w:rFonts w:ascii="Arial" w:hAnsi="Arial" w:cs="Arial"/>
          <w:sz w:val="24"/>
        </w:rPr>
        <w:t xml:space="preserve"> estudadas encontram-se </w:t>
      </w:r>
      <w:r w:rsidR="00BC758B">
        <w:rPr>
          <w:rFonts w:ascii="Arial" w:hAnsi="Arial" w:cs="Arial"/>
          <w:sz w:val="24"/>
        </w:rPr>
        <w:t>evidenciada</w:t>
      </w:r>
      <w:r w:rsidR="004500A6">
        <w:rPr>
          <w:rFonts w:ascii="Arial" w:hAnsi="Arial" w:cs="Arial"/>
          <w:sz w:val="24"/>
        </w:rPr>
        <w:t xml:space="preserve">s na </w:t>
      </w:r>
      <w:r w:rsidR="00BB3328">
        <w:rPr>
          <w:rFonts w:ascii="Arial" w:hAnsi="Arial" w:cs="Arial"/>
          <w:sz w:val="24"/>
        </w:rPr>
        <w:t>t</w:t>
      </w:r>
      <w:r w:rsidR="0037526D">
        <w:rPr>
          <w:rFonts w:ascii="Arial" w:hAnsi="Arial" w:cs="Arial"/>
          <w:sz w:val="24"/>
        </w:rPr>
        <w:t>abela 1.</w:t>
      </w:r>
    </w:p>
    <w:p w:rsidR="0037526D" w:rsidRDefault="0037526D" w:rsidP="0037526D">
      <w:pPr>
        <w:spacing w:after="0" w:line="360" w:lineRule="auto"/>
        <w:jc w:val="both"/>
        <w:rPr>
          <w:rFonts w:ascii="Arial" w:hAnsi="Arial" w:cs="Arial"/>
          <w:sz w:val="24"/>
        </w:rPr>
      </w:pPr>
    </w:p>
    <w:p w:rsidR="007A1E7F" w:rsidRDefault="007A1E7F" w:rsidP="008B6B6A">
      <w:pPr>
        <w:pStyle w:val="EstiloDissertao"/>
        <w:ind w:left="851" w:right="851"/>
      </w:pPr>
      <w:bookmarkStart w:id="26" w:name="_Toc496543266"/>
      <w:bookmarkStart w:id="27" w:name="_Toc496553538"/>
      <w:r w:rsidRPr="007A1E7F">
        <w:rPr>
          <w:b/>
        </w:rPr>
        <w:t xml:space="preserve">Tabela </w:t>
      </w:r>
      <w:r w:rsidRPr="007A1E7F">
        <w:rPr>
          <w:b/>
        </w:rPr>
        <w:fldChar w:fldCharType="begin"/>
      </w:r>
      <w:r w:rsidRPr="007A1E7F">
        <w:rPr>
          <w:b/>
        </w:rPr>
        <w:instrText xml:space="preserve"> SEQ Tabela \* ARABIC </w:instrText>
      </w:r>
      <w:r w:rsidRPr="007A1E7F">
        <w:rPr>
          <w:b/>
        </w:rPr>
        <w:fldChar w:fldCharType="separate"/>
      </w:r>
      <w:r w:rsidR="005E2BE9">
        <w:rPr>
          <w:b/>
          <w:noProof/>
        </w:rPr>
        <w:t>1</w:t>
      </w:r>
      <w:r w:rsidRPr="007A1E7F">
        <w:rPr>
          <w:b/>
        </w:rPr>
        <w:fldChar w:fldCharType="end"/>
      </w:r>
      <w:r w:rsidRPr="007A1E7F">
        <w:rPr>
          <w:b/>
        </w:rPr>
        <w:t xml:space="preserve"> –</w:t>
      </w:r>
      <w:r>
        <w:t xml:space="preserve"> </w:t>
      </w:r>
      <w:r w:rsidRPr="008160C5">
        <w:t>Características sociodemográficas e clínica d</w:t>
      </w:r>
      <w:r w:rsidR="008F54FD">
        <w:t>a</w:t>
      </w:r>
      <w:r w:rsidRPr="008160C5">
        <w:t xml:space="preserve">s </w:t>
      </w:r>
      <w:r w:rsidR="008F54FD">
        <w:t>crianças e adolescentes</w:t>
      </w:r>
      <w:r w:rsidRPr="008160C5">
        <w:t xml:space="preserve"> com MPS acompanhados no ambulatório de ortopedia do </w:t>
      </w:r>
      <w:r w:rsidR="0068475B">
        <w:t>HSI</w:t>
      </w:r>
      <w:r w:rsidRPr="008160C5">
        <w:t xml:space="preserve">, no período de </w:t>
      </w:r>
      <w:r w:rsidR="00986620">
        <w:t>janeiro de 2012</w:t>
      </w:r>
      <w:r w:rsidRPr="008160C5">
        <w:t xml:space="preserve"> a </w:t>
      </w:r>
      <w:r w:rsidR="00986620">
        <w:t>outubro d</w:t>
      </w:r>
      <w:r w:rsidRPr="008160C5">
        <w:t>e 201</w:t>
      </w:r>
      <w:r w:rsidR="00986620">
        <w:t>4</w:t>
      </w:r>
      <w:r w:rsidRPr="008160C5">
        <w:t>.</w:t>
      </w:r>
      <w:bookmarkEnd w:id="26"/>
      <w:bookmarkEnd w:id="27"/>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3304"/>
      </w:tblGrid>
      <w:tr w:rsidR="0037526D" w:rsidRPr="0037526D" w:rsidTr="00842537">
        <w:trPr>
          <w:jc w:val="center"/>
        </w:trPr>
        <w:tc>
          <w:tcPr>
            <w:tcW w:w="4023" w:type="dxa"/>
            <w:tcBorders>
              <w:top w:val="single" w:sz="4" w:space="0" w:color="auto"/>
              <w:bottom w:val="single" w:sz="4" w:space="0" w:color="auto"/>
            </w:tcBorders>
          </w:tcPr>
          <w:p w:rsidR="0037526D" w:rsidRPr="008C653F" w:rsidRDefault="0037526D" w:rsidP="0037526D">
            <w:pPr>
              <w:tabs>
                <w:tab w:val="left" w:pos="3332"/>
              </w:tabs>
              <w:spacing w:line="360" w:lineRule="auto"/>
              <w:jc w:val="center"/>
              <w:rPr>
                <w:rFonts w:ascii="Arial" w:hAnsi="Arial" w:cs="Arial"/>
                <w:b/>
              </w:rPr>
            </w:pPr>
            <w:r w:rsidRPr="008C653F">
              <w:rPr>
                <w:rFonts w:ascii="Arial" w:hAnsi="Arial" w:cs="Arial"/>
                <w:b/>
              </w:rPr>
              <w:t>Variáveis</w:t>
            </w:r>
          </w:p>
        </w:tc>
        <w:tc>
          <w:tcPr>
            <w:tcW w:w="3304" w:type="dxa"/>
            <w:tcBorders>
              <w:top w:val="single" w:sz="4" w:space="0" w:color="auto"/>
              <w:bottom w:val="single" w:sz="4" w:space="0" w:color="auto"/>
            </w:tcBorders>
          </w:tcPr>
          <w:p w:rsidR="0037526D" w:rsidRPr="008C653F" w:rsidRDefault="00C8347B" w:rsidP="00C8347B">
            <w:pPr>
              <w:spacing w:line="360" w:lineRule="auto"/>
              <w:jc w:val="center"/>
              <w:rPr>
                <w:rFonts w:ascii="Arial" w:hAnsi="Arial" w:cs="Arial"/>
                <w:b/>
              </w:rPr>
            </w:pPr>
            <w:r w:rsidRPr="008C653F">
              <w:rPr>
                <w:rFonts w:ascii="Arial" w:hAnsi="Arial" w:cs="Arial"/>
                <w:b/>
              </w:rPr>
              <w:t>N (%) ou Média±DP</w:t>
            </w:r>
            <w:r w:rsidR="0037526D" w:rsidRPr="008C653F">
              <w:rPr>
                <w:rFonts w:ascii="Arial" w:hAnsi="Arial" w:cs="Arial"/>
                <w:b/>
              </w:rPr>
              <w:t xml:space="preserve"> </w:t>
            </w:r>
          </w:p>
        </w:tc>
      </w:tr>
      <w:tr w:rsidR="0037526D" w:rsidRPr="0037526D" w:rsidTr="00842537">
        <w:trPr>
          <w:jc w:val="center"/>
        </w:trPr>
        <w:tc>
          <w:tcPr>
            <w:tcW w:w="4023" w:type="dxa"/>
            <w:tcBorders>
              <w:top w:val="single" w:sz="4" w:space="0" w:color="auto"/>
            </w:tcBorders>
          </w:tcPr>
          <w:p w:rsidR="0037526D" w:rsidRPr="008C653F" w:rsidRDefault="0037526D" w:rsidP="0037526D">
            <w:pPr>
              <w:spacing w:line="360" w:lineRule="auto"/>
              <w:jc w:val="both"/>
              <w:rPr>
                <w:rFonts w:ascii="Arial" w:hAnsi="Arial" w:cs="Arial"/>
                <w:b/>
              </w:rPr>
            </w:pPr>
            <w:r w:rsidRPr="008C653F">
              <w:rPr>
                <w:rFonts w:ascii="Arial" w:hAnsi="Arial" w:cs="Arial"/>
                <w:b/>
              </w:rPr>
              <w:t>Sexo</w:t>
            </w:r>
          </w:p>
        </w:tc>
        <w:tc>
          <w:tcPr>
            <w:tcW w:w="3304" w:type="dxa"/>
            <w:tcBorders>
              <w:top w:val="single" w:sz="4" w:space="0" w:color="auto"/>
            </w:tcBorders>
          </w:tcPr>
          <w:p w:rsidR="0037526D" w:rsidRPr="008C653F" w:rsidRDefault="0037526D" w:rsidP="0037526D">
            <w:pPr>
              <w:spacing w:line="360" w:lineRule="auto"/>
              <w:jc w:val="both"/>
              <w:rPr>
                <w:rFonts w:ascii="Arial" w:hAnsi="Arial" w:cs="Arial"/>
              </w:rPr>
            </w:pPr>
          </w:p>
        </w:tc>
      </w:tr>
      <w:tr w:rsidR="0037526D" w:rsidRPr="0037526D" w:rsidTr="00842537">
        <w:trPr>
          <w:jc w:val="center"/>
        </w:trPr>
        <w:tc>
          <w:tcPr>
            <w:tcW w:w="4023" w:type="dxa"/>
          </w:tcPr>
          <w:p w:rsidR="0037526D" w:rsidRPr="008C653F" w:rsidRDefault="0037526D" w:rsidP="0037526D">
            <w:pPr>
              <w:spacing w:line="360" w:lineRule="auto"/>
              <w:ind w:left="426"/>
              <w:jc w:val="both"/>
              <w:rPr>
                <w:rFonts w:ascii="Arial" w:hAnsi="Arial" w:cs="Arial"/>
              </w:rPr>
            </w:pPr>
            <w:r w:rsidRPr="008C653F">
              <w:rPr>
                <w:rFonts w:ascii="Arial" w:hAnsi="Arial" w:cs="Arial"/>
              </w:rPr>
              <w:t>Feminino</w:t>
            </w:r>
          </w:p>
        </w:tc>
        <w:tc>
          <w:tcPr>
            <w:tcW w:w="3304" w:type="dxa"/>
          </w:tcPr>
          <w:p w:rsidR="0037526D" w:rsidRPr="008C653F" w:rsidRDefault="0037526D" w:rsidP="0037526D">
            <w:pPr>
              <w:spacing w:line="360" w:lineRule="auto"/>
              <w:jc w:val="center"/>
              <w:rPr>
                <w:rFonts w:ascii="Arial" w:hAnsi="Arial" w:cs="Arial"/>
              </w:rPr>
            </w:pPr>
            <w:r w:rsidRPr="008C653F">
              <w:rPr>
                <w:rFonts w:ascii="Arial" w:hAnsi="Arial" w:cs="Arial"/>
              </w:rPr>
              <w:t>10 (38,5%)</w:t>
            </w:r>
          </w:p>
        </w:tc>
      </w:tr>
      <w:tr w:rsidR="0037526D" w:rsidRPr="0037526D" w:rsidTr="00842537">
        <w:trPr>
          <w:jc w:val="center"/>
        </w:trPr>
        <w:tc>
          <w:tcPr>
            <w:tcW w:w="4023" w:type="dxa"/>
          </w:tcPr>
          <w:p w:rsidR="0037526D" w:rsidRPr="008C653F" w:rsidRDefault="0037526D" w:rsidP="0037526D">
            <w:pPr>
              <w:spacing w:line="360" w:lineRule="auto"/>
              <w:ind w:left="426"/>
              <w:jc w:val="both"/>
              <w:rPr>
                <w:rFonts w:ascii="Arial" w:hAnsi="Arial" w:cs="Arial"/>
              </w:rPr>
            </w:pPr>
            <w:r w:rsidRPr="008C653F">
              <w:rPr>
                <w:rFonts w:ascii="Arial" w:hAnsi="Arial" w:cs="Arial"/>
              </w:rPr>
              <w:t>Masculino</w:t>
            </w:r>
          </w:p>
        </w:tc>
        <w:tc>
          <w:tcPr>
            <w:tcW w:w="3304" w:type="dxa"/>
          </w:tcPr>
          <w:p w:rsidR="0037526D" w:rsidRPr="008C653F" w:rsidRDefault="0037526D" w:rsidP="0037526D">
            <w:pPr>
              <w:spacing w:line="360" w:lineRule="auto"/>
              <w:jc w:val="center"/>
              <w:rPr>
                <w:rFonts w:ascii="Arial" w:hAnsi="Arial" w:cs="Arial"/>
              </w:rPr>
            </w:pPr>
            <w:r w:rsidRPr="008C653F">
              <w:rPr>
                <w:rFonts w:ascii="Arial" w:hAnsi="Arial" w:cs="Arial"/>
              </w:rPr>
              <w:t>16 (61,5%)</w:t>
            </w:r>
          </w:p>
        </w:tc>
      </w:tr>
      <w:tr w:rsidR="0037526D" w:rsidRPr="0037526D" w:rsidTr="00842537">
        <w:trPr>
          <w:jc w:val="center"/>
        </w:trPr>
        <w:tc>
          <w:tcPr>
            <w:tcW w:w="4023" w:type="dxa"/>
          </w:tcPr>
          <w:p w:rsidR="0037526D" w:rsidRPr="008C653F" w:rsidRDefault="0037526D" w:rsidP="0037526D">
            <w:pPr>
              <w:spacing w:line="360" w:lineRule="auto"/>
              <w:jc w:val="both"/>
              <w:rPr>
                <w:rFonts w:ascii="Arial" w:hAnsi="Arial" w:cs="Arial"/>
                <w:b/>
              </w:rPr>
            </w:pPr>
            <w:r w:rsidRPr="00FA7E2F">
              <w:rPr>
                <w:rFonts w:ascii="Arial" w:hAnsi="Arial" w:cs="Arial"/>
                <w:b/>
              </w:rPr>
              <w:t xml:space="preserve">Idade </w:t>
            </w:r>
            <w:r w:rsidR="006909F6" w:rsidRPr="00FA7E2F">
              <w:rPr>
                <w:rFonts w:ascii="Arial" w:hAnsi="Arial" w:cs="Arial"/>
                <w:b/>
              </w:rPr>
              <w:t>(</w:t>
            </w:r>
            <w:r w:rsidR="00BA2837" w:rsidRPr="00FA7E2F">
              <w:rPr>
                <w:rFonts w:ascii="Arial" w:hAnsi="Arial" w:cs="Arial"/>
                <w:b/>
              </w:rPr>
              <w:t xml:space="preserve">em </w:t>
            </w:r>
            <w:r w:rsidR="00BC758B" w:rsidRPr="00FA7E2F">
              <w:rPr>
                <w:rFonts w:ascii="Arial" w:hAnsi="Arial" w:cs="Arial"/>
                <w:b/>
              </w:rPr>
              <w:t>anos)</w:t>
            </w:r>
          </w:p>
        </w:tc>
        <w:tc>
          <w:tcPr>
            <w:tcW w:w="3304" w:type="dxa"/>
          </w:tcPr>
          <w:p w:rsidR="0037526D" w:rsidRPr="008C653F" w:rsidRDefault="000D1C01" w:rsidP="000D1C01">
            <w:pPr>
              <w:spacing w:line="360" w:lineRule="auto"/>
              <w:jc w:val="center"/>
              <w:rPr>
                <w:rFonts w:ascii="Arial" w:hAnsi="Arial" w:cs="Arial"/>
              </w:rPr>
            </w:pPr>
            <w:r w:rsidRPr="008C653F">
              <w:rPr>
                <w:rFonts w:ascii="Arial" w:hAnsi="Arial" w:cs="Arial"/>
              </w:rPr>
              <w:t>10</w:t>
            </w:r>
            <w:r w:rsidR="00D22E78" w:rsidRPr="008C653F">
              <w:rPr>
                <w:rFonts w:ascii="Arial" w:hAnsi="Arial" w:cs="Arial"/>
              </w:rPr>
              <w:t>±4,</w:t>
            </w:r>
            <w:r w:rsidRPr="008C653F">
              <w:rPr>
                <w:rFonts w:ascii="Arial" w:hAnsi="Arial" w:cs="Arial"/>
              </w:rPr>
              <w:t>5</w:t>
            </w:r>
          </w:p>
        </w:tc>
      </w:tr>
      <w:tr w:rsidR="0037526D" w:rsidRPr="0037526D" w:rsidTr="00842537">
        <w:trPr>
          <w:jc w:val="center"/>
        </w:trPr>
        <w:tc>
          <w:tcPr>
            <w:tcW w:w="4023" w:type="dxa"/>
          </w:tcPr>
          <w:p w:rsidR="0037526D" w:rsidRPr="008C653F" w:rsidRDefault="00D22E78" w:rsidP="0060495A">
            <w:pPr>
              <w:spacing w:line="360" w:lineRule="auto"/>
              <w:ind w:left="414"/>
              <w:jc w:val="both"/>
              <w:rPr>
                <w:rFonts w:ascii="Arial" w:hAnsi="Arial" w:cs="Arial"/>
              </w:rPr>
            </w:pPr>
            <w:r w:rsidRPr="008C653F">
              <w:rPr>
                <w:rFonts w:ascii="Arial" w:hAnsi="Arial" w:cs="Arial"/>
              </w:rPr>
              <w:t xml:space="preserve">2 a 4 </w:t>
            </w:r>
          </w:p>
        </w:tc>
        <w:tc>
          <w:tcPr>
            <w:tcW w:w="3304" w:type="dxa"/>
          </w:tcPr>
          <w:p w:rsidR="0037526D" w:rsidRPr="008C653F" w:rsidRDefault="00FE5D93" w:rsidP="0037526D">
            <w:pPr>
              <w:spacing w:line="360" w:lineRule="auto"/>
              <w:jc w:val="center"/>
              <w:rPr>
                <w:rFonts w:ascii="Arial" w:hAnsi="Arial" w:cs="Arial"/>
              </w:rPr>
            </w:pPr>
            <w:r w:rsidRPr="008C653F">
              <w:rPr>
                <w:rFonts w:ascii="Arial" w:hAnsi="Arial" w:cs="Arial"/>
              </w:rPr>
              <w:t xml:space="preserve">  </w:t>
            </w:r>
            <w:r w:rsidR="00D22E78" w:rsidRPr="008C653F">
              <w:rPr>
                <w:rFonts w:ascii="Arial" w:hAnsi="Arial" w:cs="Arial"/>
              </w:rPr>
              <w:t>3 (11,5%)</w:t>
            </w:r>
          </w:p>
        </w:tc>
      </w:tr>
      <w:tr w:rsidR="0037526D" w:rsidRPr="0037526D" w:rsidTr="00842537">
        <w:trPr>
          <w:jc w:val="center"/>
        </w:trPr>
        <w:tc>
          <w:tcPr>
            <w:tcW w:w="4023" w:type="dxa"/>
          </w:tcPr>
          <w:p w:rsidR="0037526D" w:rsidRPr="008C653F" w:rsidRDefault="00D22E78" w:rsidP="0060495A">
            <w:pPr>
              <w:spacing w:line="360" w:lineRule="auto"/>
              <w:ind w:left="414"/>
              <w:jc w:val="both"/>
              <w:rPr>
                <w:rFonts w:ascii="Arial" w:hAnsi="Arial" w:cs="Arial"/>
              </w:rPr>
            </w:pPr>
            <w:r w:rsidRPr="008C653F">
              <w:rPr>
                <w:rFonts w:ascii="Arial" w:hAnsi="Arial" w:cs="Arial"/>
              </w:rPr>
              <w:t xml:space="preserve">5 a 7 </w:t>
            </w:r>
          </w:p>
        </w:tc>
        <w:tc>
          <w:tcPr>
            <w:tcW w:w="3304" w:type="dxa"/>
          </w:tcPr>
          <w:p w:rsidR="0037526D" w:rsidRPr="008C653F" w:rsidRDefault="00FE5D93" w:rsidP="0037526D">
            <w:pPr>
              <w:spacing w:line="360" w:lineRule="auto"/>
              <w:jc w:val="center"/>
              <w:rPr>
                <w:rFonts w:ascii="Arial" w:hAnsi="Arial" w:cs="Arial"/>
              </w:rPr>
            </w:pPr>
            <w:r w:rsidRPr="008C653F">
              <w:rPr>
                <w:rFonts w:ascii="Arial" w:hAnsi="Arial" w:cs="Arial"/>
              </w:rPr>
              <w:t xml:space="preserve">  </w:t>
            </w:r>
            <w:r w:rsidR="00D22E78" w:rsidRPr="008C653F">
              <w:rPr>
                <w:rFonts w:ascii="Arial" w:hAnsi="Arial" w:cs="Arial"/>
              </w:rPr>
              <w:t>5 (19,2%)</w:t>
            </w:r>
          </w:p>
        </w:tc>
      </w:tr>
      <w:tr w:rsidR="0037526D" w:rsidRPr="0037526D" w:rsidTr="00842537">
        <w:trPr>
          <w:jc w:val="center"/>
        </w:trPr>
        <w:tc>
          <w:tcPr>
            <w:tcW w:w="4023" w:type="dxa"/>
          </w:tcPr>
          <w:p w:rsidR="0037526D" w:rsidRPr="008C653F" w:rsidRDefault="0060495A" w:rsidP="0060495A">
            <w:pPr>
              <w:spacing w:line="360" w:lineRule="auto"/>
              <w:ind w:left="414"/>
              <w:jc w:val="both"/>
              <w:rPr>
                <w:rFonts w:ascii="Arial" w:hAnsi="Arial" w:cs="Arial"/>
              </w:rPr>
            </w:pPr>
            <w:r>
              <w:rPr>
                <w:rFonts w:ascii="Arial" w:hAnsi="Arial" w:cs="Arial"/>
              </w:rPr>
              <w:t xml:space="preserve">8 a 12 </w:t>
            </w:r>
          </w:p>
        </w:tc>
        <w:tc>
          <w:tcPr>
            <w:tcW w:w="3304" w:type="dxa"/>
          </w:tcPr>
          <w:p w:rsidR="0037526D" w:rsidRPr="008C653F" w:rsidRDefault="00FE5D93" w:rsidP="0037526D">
            <w:pPr>
              <w:spacing w:line="360" w:lineRule="auto"/>
              <w:jc w:val="center"/>
              <w:rPr>
                <w:rFonts w:ascii="Arial" w:hAnsi="Arial" w:cs="Arial"/>
              </w:rPr>
            </w:pPr>
            <w:r w:rsidRPr="008C653F">
              <w:rPr>
                <w:rFonts w:ascii="Arial" w:hAnsi="Arial" w:cs="Arial"/>
              </w:rPr>
              <w:t xml:space="preserve">  </w:t>
            </w:r>
            <w:r w:rsidR="00D22E78" w:rsidRPr="008C653F">
              <w:rPr>
                <w:rFonts w:ascii="Arial" w:hAnsi="Arial" w:cs="Arial"/>
              </w:rPr>
              <w:t>8 (30,8%)</w:t>
            </w:r>
          </w:p>
        </w:tc>
      </w:tr>
      <w:tr w:rsidR="00D22E78" w:rsidRPr="0037526D" w:rsidTr="00842537">
        <w:trPr>
          <w:jc w:val="center"/>
        </w:trPr>
        <w:tc>
          <w:tcPr>
            <w:tcW w:w="4023" w:type="dxa"/>
          </w:tcPr>
          <w:p w:rsidR="00D22E78" w:rsidRPr="008C653F" w:rsidRDefault="00D22E78" w:rsidP="0060495A">
            <w:pPr>
              <w:spacing w:line="360" w:lineRule="auto"/>
              <w:ind w:left="414"/>
              <w:jc w:val="both"/>
              <w:rPr>
                <w:rFonts w:ascii="Arial" w:hAnsi="Arial" w:cs="Arial"/>
              </w:rPr>
            </w:pPr>
            <w:r w:rsidRPr="008C653F">
              <w:rPr>
                <w:rFonts w:ascii="Arial" w:hAnsi="Arial" w:cs="Arial"/>
              </w:rPr>
              <w:t xml:space="preserve">13 a 18 </w:t>
            </w:r>
          </w:p>
        </w:tc>
        <w:tc>
          <w:tcPr>
            <w:tcW w:w="3304" w:type="dxa"/>
          </w:tcPr>
          <w:p w:rsidR="00D22E78" w:rsidRPr="008C653F" w:rsidRDefault="00FE5D93" w:rsidP="0037526D">
            <w:pPr>
              <w:spacing w:line="360" w:lineRule="auto"/>
              <w:jc w:val="center"/>
              <w:rPr>
                <w:rFonts w:ascii="Arial" w:hAnsi="Arial" w:cs="Arial"/>
              </w:rPr>
            </w:pPr>
            <w:r w:rsidRPr="008C653F">
              <w:rPr>
                <w:rFonts w:ascii="Arial" w:hAnsi="Arial" w:cs="Arial"/>
              </w:rPr>
              <w:t>10 (38,5%)</w:t>
            </w:r>
          </w:p>
        </w:tc>
      </w:tr>
      <w:tr w:rsidR="00D22E78" w:rsidRPr="0037526D" w:rsidTr="00842537">
        <w:trPr>
          <w:jc w:val="center"/>
        </w:trPr>
        <w:tc>
          <w:tcPr>
            <w:tcW w:w="4023" w:type="dxa"/>
          </w:tcPr>
          <w:p w:rsidR="00D22E78" w:rsidRPr="008C653F" w:rsidRDefault="00D22E78" w:rsidP="00D22E78">
            <w:pPr>
              <w:spacing w:line="360" w:lineRule="auto"/>
              <w:jc w:val="both"/>
              <w:rPr>
                <w:rFonts w:ascii="Arial" w:hAnsi="Arial" w:cs="Arial"/>
                <w:b/>
              </w:rPr>
            </w:pPr>
            <w:r w:rsidRPr="008C653F">
              <w:rPr>
                <w:rFonts w:ascii="Arial" w:hAnsi="Arial" w:cs="Arial"/>
                <w:b/>
              </w:rPr>
              <w:t>Tipo de MPS</w:t>
            </w:r>
          </w:p>
        </w:tc>
        <w:tc>
          <w:tcPr>
            <w:tcW w:w="3304" w:type="dxa"/>
          </w:tcPr>
          <w:p w:rsidR="00D22E78" w:rsidRPr="008C653F" w:rsidRDefault="00D22E78" w:rsidP="0037526D">
            <w:pPr>
              <w:spacing w:line="360" w:lineRule="auto"/>
              <w:jc w:val="center"/>
              <w:rPr>
                <w:rFonts w:ascii="Arial" w:hAnsi="Arial" w:cs="Arial"/>
              </w:rPr>
            </w:pPr>
          </w:p>
        </w:tc>
      </w:tr>
      <w:tr w:rsidR="00D22E78" w:rsidRPr="0037526D" w:rsidTr="00842537">
        <w:trPr>
          <w:jc w:val="center"/>
        </w:trPr>
        <w:tc>
          <w:tcPr>
            <w:tcW w:w="4023" w:type="dxa"/>
          </w:tcPr>
          <w:p w:rsidR="00D22E78" w:rsidRPr="008C653F" w:rsidRDefault="00D22E78" w:rsidP="00A65251">
            <w:pPr>
              <w:spacing w:line="360" w:lineRule="auto"/>
              <w:ind w:left="414"/>
              <w:jc w:val="both"/>
              <w:rPr>
                <w:rFonts w:ascii="Arial" w:hAnsi="Arial" w:cs="Arial"/>
              </w:rPr>
            </w:pPr>
            <w:r w:rsidRPr="008C653F">
              <w:rPr>
                <w:rFonts w:ascii="Arial" w:hAnsi="Arial" w:cs="Arial"/>
              </w:rPr>
              <w:t>I</w:t>
            </w:r>
          </w:p>
        </w:tc>
        <w:tc>
          <w:tcPr>
            <w:tcW w:w="3304" w:type="dxa"/>
          </w:tcPr>
          <w:p w:rsidR="00D22E78" w:rsidRPr="008C653F" w:rsidRDefault="00C67E0B" w:rsidP="0037526D">
            <w:pPr>
              <w:spacing w:line="360" w:lineRule="auto"/>
              <w:jc w:val="center"/>
              <w:rPr>
                <w:rFonts w:ascii="Arial" w:hAnsi="Arial" w:cs="Arial"/>
              </w:rPr>
            </w:pPr>
            <w:r w:rsidRPr="008C653F">
              <w:rPr>
                <w:rFonts w:ascii="Arial" w:hAnsi="Arial" w:cs="Arial"/>
              </w:rPr>
              <w:t xml:space="preserve"> </w:t>
            </w:r>
            <w:r w:rsidR="00FE5D93" w:rsidRPr="008C653F">
              <w:rPr>
                <w:rFonts w:ascii="Arial" w:hAnsi="Arial" w:cs="Arial"/>
              </w:rPr>
              <w:t xml:space="preserve"> </w:t>
            </w:r>
            <w:r w:rsidR="00D22E78" w:rsidRPr="008C653F">
              <w:rPr>
                <w:rFonts w:ascii="Arial" w:hAnsi="Arial" w:cs="Arial"/>
              </w:rPr>
              <w:t>1</w:t>
            </w:r>
            <w:r w:rsidR="00FE5D93" w:rsidRPr="008C653F">
              <w:rPr>
                <w:rFonts w:ascii="Arial" w:hAnsi="Arial" w:cs="Arial"/>
              </w:rPr>
              <w:t xml:space="preserve">  </w:t>
            </w:r>
            <w:r w:rsidR="00D22E78" w:rsidRPr="008C653F">
              <w:rPr>
                <w:rFonts w:ascii="Arial" w:hAnsi="Arial" w:cs="Arial"/>
              </w:rPr>
              <w:t xml:space="preserve"> (3,8%)</w:t>
            </w:r>
          </w:p>
        </w:tc>
      </w:tr>
      <w:tr w:rsidR="00D22E78" w:rsidRPr="0037526D" w:rsidTr="00842537">
        <w:trPr>
          <w:jc w:val="center"/>
        </w:trPr>
        <w:tc>
          <w:tcPr>
            <w:tcW w:w="4023" w:type="dxa"/>
          </w:tcPr>
          <w:p w:rsidR="00D22E78" w:rsidRPr="008C653F" w:rsidRDefault="00D22E78" w:rsidP="00A65251">
            <w:pPr>
              <w:spacing w:line="360" w:lineRule="auto"/>
              <w:ind w:left="414"/>
              <w:jc w:val="both"/>
              <w:rPr>
                <w:rFonts w:ascii="Arial" w:hAnsi="Arial" w:cs="Arial"/>
              </w:rPr>
            </w:pPr>
            <w:r w:rsidRPr="008C653F">
              <w:rPr>
                <w:rFonts w:ascii="Arial" w:hAnsi="Arial" w:cs="Arial"/>
              </w:rPr>
              <w:t>II</w:t>
            </w:r>
          </w:p>
        </w:tc>
        <w:tc>
          <w:tcPr>
            <w:tcW w:w="3304" w:type="dxa"/>
          </w:tcPr>
          <w:p w:rsidR="00D22E78" w:rsidRPr="008C653F" w:rsidRDefault="00FE5D93" w:rsidP="00941179">
            <w:pPr>
              <w:spacing w:line="360" w:lineRule="auto"/>
              <w:jc w:val="center"/>
              <w:rPr>
                <w:rFonts w:ascii="Arial" w:hAnsi="Arial" w:cs="Arial"/>
              </w:rPr>
            </w:pPr>
            <w:r w:rsidRPr="008C653F">
              <w:rPr>
                <w:rFonts w:ascii="Arial" w:hAnsi="Arial" w:cs="Arial"/>
              </w:rPr>
              <w:t xml:space="preserve">  </w:t>
            </w:r>
            <w:r w:rsidR="00C67E0B" w:rsidRPr="008C653F">
              <w:rPr>
                <w:rFonts w:ascii="Arial" w:hAnsi="Arial" w:cs="Arial"/>
              </w:rPr>
              <w:t xml:space="preserve">4 </w:t>
            </w:r>
            <w:r w:rsidR="00D22E78" w:rsidRPr="008C653F">
              <w:rPr>
                <w:rFonts w:ascii="Arial" w:hAnsi="Arial" w:cs="Arial"/>
              </w:rPr>
              <w:t>(1</w:t>
            </w:r>
            <w:r w:rsidR="00941179" w:rsidRPr="008C653F">
              <w:rPr>
                <w:rFonts w:ascii="Arial" w:hAnsi="Arial" w:cs="Arial"/>
              </w:rPr>
              <w:t>5</w:t>
            </w:r>
            <w:r w:rsidR="00D22E78" w:rsidRPr="008C653F">
              <w:rPr>
                <w:rFonts w:ascii="Arial" w:hAnsi="Arial" w:cs="Arial"/>
              </w:rPr>
              <w:t>,4%)</w:t>
            </w:r>
          </w:p>
        </w:tc>
      </w:tr>
      <w:tr w:rsidR="00D22E78" w:rsidRPr="0037526D" w:rsidTr="00842537">
        <w:trPr>
          <w:jc w:val="center"/>
        </w:trPr>
        <w:tc>
          <w:tcPr>
            <w:tcW w:w="4023" w:type="dxa"/>
          </w:tcPr>
          <w:p w:rsidR="00D22E78" w:rsidRPr="008C653F" w:rsidRDefault="00D22E78" w:rsidP="00A65251">
            <w:pPr>
              <w:spacing w:line="360" w:lineRule="auto"/>
              <w:ind w:left="414"/>
              <w:jc w:val="both"/>
              <w:rPr>
                <w:rFonts w:ascii="Arial" w:hAnsi="Arial" w:cs="Arial"/>
              </w:rPr>
            </w:pPr>
            <w:r w:rsidRPr="008C653F">
              <w:rPr>
                <w:rFonts w:ascii="Arial" w:hAnsi="Arial" w:cs="Arial"/>
              </w:rPr>
              <w:t>IV</w:t>
            </w:r>
          </w:p>
        </w:tc>
        <w:tc>
          <w:tcPr>
            <w:tcW w:w="3304" w:type="dxa"/>
          </w:tcPr>
          <w:p w:rsidR="00D22E78" w:rsidRPr="008C653F" w:rsidRDefault="00FE5D93" w:rsidP="0037526D">
            <w:pPr>
              <w:spacing w:line="360" w:lineRule="auto"/>
              <w:jc w:val="center"/>
              <w:rPr>
                <w:rFonts w:ascii="Arial" w:hAnsi="Arial" w:cs="Arial"/>
              </w:rPr>
            </w:pPr>
            <w:r w:rsidRPr="008C653F">
              <w:rPr>
                <w:rFonts w:ascii="Arial" w:hAnsi="Arial" w:cs="Arial"/>
              </w:rPr>
              <w:t xml:space="preserve">   </w:t>
            </w:r>
            <w:r w:rsidR="00D22E78" w:rsidRPr="008C653F">
              <w:rPr>
                <w:rFonts w:ascii="Arial" w:hAnsi="Arial" w:cs="Arial"/>
              </w:rPr>
              <w:t>2</w:t>
            </w:r>
            <w:r w:rsidR="00C67E0B" w:rsidRPr="008C653F">
              <w:rPr>
                <w:rFonts w:ascii="Arial" w:hAnsi="Arial" w:cs="Arial"/>
              </w:rPr>
              <w:t xml:space="preserve">  </w:t>
            </w:r>
            <w:r w:rsidR="00D22E78" w:rsidRPr="008C653F">
              <w:rPr>
                <w:rFonts w:ascii="Arial" w:hAnsi="Arial" w:cs="Arial"/>
              </w:rPr>
              <w:t xml:space="preserve"> (7,7%)</w:t>
            </w:r>
          </w:p>
        </w:tc>
      </w:tr>
      <w:tr w:rsidR="00D22E78" w:rsidRPr="0037526D" w:rsidTr="00842537">
        <w:trPr>
          <w:jc w:val="center"/>
        </w:trPr>
        <w:tc>
          <w:tcPr>
            <w:tcW w:w="4023" w:type="dxa"/>
            <w:tcBorders>
              <w:bottom w:val="single" w:sz="4" w:space="0" w:color="auto"/>
            </w:tcBorders>
          </w:tcPr>
          <w:p w:rsidR="00D22E78" w:rsidRPr="008C653F" w:rsidRDefault="00D22E78" w:rsidP="00A65251">
            <w:pPr>
              <w:spacing w:line="360" w:lineRule="auto"/>
              <w:ind w:left="414"/>
              <w:jc w:val="both"/>
              <w:rPr>
                <w:rFonts w:ascii="Arial" w:hAnsi="Arial" w:cs="Arial"/>
              </w:rPr>
            </w:pPr>
            <w:r w:rsidRPr="008C653F">
              <w:rPr>
                <w:rFonts w:ascii="Arial" w:hAnsi="Arial" w:cs="Arial"/>
              </w:rPr>
              <w:t>VI</w:t>
            </w:r>
          </w:p>
        </w:tc>
        <w:tc>
          <w:tcPr>
            <w:tcW w:w="3304" w:type="dxa"/>
            <w:tcBorders>
              <w:bottom w:val="single" w:sz="4" w:space="0" w:color="auto"/>
            </w:tcBorders>
          </w:tcPr>
          <w:p w:rsidR="00D22E78" w:rsidRPr="008C653F" w:rsidRDefault="00C67E0B" w:rsidP="00FE5D93">
            <w:pPr>
              <w:spacing w:line="360" w:lineRule="auto"/>
              <w:jc w:val="center"/>
              <w:rPr>
                <w:rFonts w:ascii="Arial" w:hAnsi="Arial" w:cs="Arial"/>
              </w:rPr>
            </w:pPr>
            <w:r w:rsidRPr="008C653F">
              <w:rPr>
                <w:rFonts w:ascii="Arial" w:hAnsi="Arial" w:cs="Arial"/>
              </w:rPr>
              <w:t xml:space="preserve"> 19 </w:t>
            </w:r>
            <w:r w:rsidR="00FE5D93" w:rsidRPr="008C653F">
              <w:rPr>
                <w:rFonts w:ascii="Arial" w:hAnsi="Arial" w:cs="Arial"/>
              </w:rPr>
              <w:t>(73,1%)</w:t>
            </w:r>
          </w:p>
        </w:tc>
      </w:tr>
    </w:tbl>
    <w:p w:rsidR="0037526D" w:rsidRDefault="00B964C1" w:rsidP="00310C5C">
      <w:pPr>
        <w:spacing w:after="0" w:line="240" w:lineRule="auto"/>
        <w:ind w:left="851" w:right="849"/>
        <w:jc w:val="both"/>
        <w:rPr>
          <w:rFonts w:ascii="Arial" w:hAnsi="Arial" w:cs="Arial"/>
          <w:sz w:val="20"/>
        </w:rPr>
      </w:pPr>
      <w:r>
        <w:rPr>
          <w:rFonts w:ascii="Arial" w:hAnsi="Arial" w:cs="Arial"/>
          <w:sz w:val="20"/>
        </w:rPr>
        <w:t xml:space="preserve">Legenda: </w:t>
      </w:r>
      <w:r w:rsidR="00310C5C">
        <w:rPr>
          <w:rFonts w:ascii="Arial" w:hAnsi="Arial" w:cs="Arial"/>
          <w:sz w:val="20"/>
        </w:rPr>
        <w:t xml:space="preserve">HSI </w:t>
      </w:r>
      <w:r w:rsidR="00050D57">
        <w:rPr>
          <w:rFonts w:ascii="Arial" w:hAnsi="Arial" w:cs="Arial"/>
          <w:sz w:val="20"/>
          <w:szCs w:val="24"/>
        </w:rPr>
        <w:t>–</w:t>
      </w:r>
      <w:r w:rsidR="00310C5C">
        <w:rPr>
          <w:rFonts w:ascii="Arial" w:hAnsi="Arial" w:cs="Arial"/>
          <w:sz w:val="20"/>
        </w:rPr>
        <w:t xml:space="preserve"> Hospital Santa Izabel; </w:t>
      </w:r>
      <w:r>
        <w:rPr>
          <w:rFonts w:ascii="Arial" w:hAnsi="Arial" w:cs="Arial"/>
          <w:sz w:val="20"/>
        </w:rPr>
        <w:t>MPS</w:t>
      </w:r>
      <w:r w:rsidR="00C11E41">
        <w:rPr>
          <w:rFonts w:ascii="Arial" w:hAnsi="Arial" w:cs="Arial"/>
          <w:sz w:val="20"/>
        </w:rPr>
        <w:t xml:space="preserve"> </w:t>
      </w:r>
      <w:r w:rsidR="00050D57">
        <w:rPr>
          <w:rFonts w:ascii="Arial" w:hAnsi="Arial" w:cs="Arial"/>
          <w:sz w:val="20"/>
          <w:szCs w:val="24"/>
        </w:rPr>
        <w:t>–</w:t>
      </w:r>
      <w:r>
        <w:rPr>
          <w:rFonts w:ascii="Arial" w:hAnsi="Arial" w:cs="Arial"/>
          <w:sz w:val="20"/>
        </w:rPr>
        <w:t xml:space="preserve"> </w:t>
      </w:r>
      <w:r w:rsidRPr="00B964C1">
        <w:rPr>
          <w:rFonts w:ascii="Arial" w:hAnsi="Arial" w:cs="Arial"/>
          <w:sz w:val="20"/>
        </w:rPr>
        <w:t>Mucopolissacaridose</w:t>
      </w:r>
      <w:r w:rsidR="00C67E0B">
        <w:rPr>
          <w:rFonts w:ascii="Arial" w:hAnsi="Arial" w:cs="Arial"/>
          <w:sz w:val="20"/>
        </w:rPr>
        <w:t xml:space="preserve">; DP </w:t>
      </w:r>
      <w:r w:rsidR="00050D57">
        <w:rPr>
          <w:rFonts w:ascii="Arial" w:hAnsi="Arial" w:cs="Arial"/>
          <w:sz w:val="20"/>
          <w:szCs w:val="24"/>
        </w:rPr>
        <w:t>–</w:t>
      </w:r>
      <w:r w:rsidR="00C67E0B">
        <w:rPr>
          <w:rFonts w:ascii="Arial" w:hAnsi="Arial" w:cs="Arial"/>
          <w:sz w:val="20"/>
        </w:rPr>
        <w:t xml:space="preserve"> Desvio-</w:t>
      </w:r>
      <w:r w:rsidR="00C11E41">
        <w:rPr>
          <w:rFonts w:ascii="Arial" w:hAnsi="Arial" w:cs="Arial"/>
          <w:sz w:val="20"/>
        </w:rPr>
        <w:t>padrão</w:t>
      </w:r>
      <w:r w:rsidR="00C67E0B">
        <w:rPr>
          <w:rFonts w:ascii="Arial" w:hAnsi="Arial" w:cs="Arial"/>
          <w:sz w:val="20"/>
        </w:rPr>
        <w:t>.</w:t>
      </w:r>
    </w:p>
    <w:p w:rsidR="00D22E78" w:rsidRDefault="00D22E78" w:rsidP="0037526D">
      <w:pPr>
        <w:spacing w:after="0" w:line="360" w:lineRule="auto"/>
        <w:jc w:val="both"/>
        <w:rPr>
          <w:rFonts w:ascii="Arial" w:hAnsi="Arial" w:cs="Arial"/>
          <w:sz w:val="24"/>
        </w:rPr>
      </w:pPr>
    </w:p>
    <w:p w:rsidR="00BB6FDD" w:rsidRDefault="004A2374" w:rsidP="00AB0CE5">
      <w:pPr>
        <w:spacing w:after="0" w:line="360" w:lineRule="auto"/>
        <w:jc w:val="both"/>
        <w:rPr>
          <w:rFonts w:ascii="Arial" w:hAnsi="Arial" w:cs="Arial"/>
          <w:sz w:val="24"/>
        </w:rPr>
      </w:pPr>
      <w:r>
        <w:rPr>
          <w:rFonts w:ascii="Arial" w:hAnsi="Arial" w:cs="Arial"/>
          <w:sz w:val="24"/>
        </w:rPr>
        <w:t>A tabela 2 evidencia que a</w:t>
      </w:r>
      <w:r w:rsidR="00563BAA">
        <w:rPr>
          <w:rFonts w:ascii="Arial" w:hAnsi="Arial" w:cs="Arial"/>
          <w:sz w:val="24"/>
        </w:rPr>
        <w:t xml:space="preserve">s crianças e adolescentes </w:t>
      </w:r>
      <w:r w:rsidR="00F37498">
        <w:rPr>
          <w:rFonts w:ascii="Arial" w:hAnsi="Arial" w:cs="Arial"/>
          <w:sz w:val="24"/>
        </w:rPr>
        <w:t>participantes</w:t>
      </w:r>
      <w:r w:rsidR="00BA7AA5">
        <w:rPr>
          <w:rFonts w:ascii="Arial" w:hAnsi="Arial" w:cs="Arial"/>
          <w:sz w:val="24"/>
        </w:rPr>
        <w:t xml:space="preserve"> </w:t>
      </w:r>
      <w:r w:rsidR="00D06D84">
        <w:rPr>
          <w:rFonts w:ascii="Arial" w:hAnsi="Arial" w:cs="Arial"/>
          <w:sz w:val="24"/>
        </w:rPr>
        <w:t>d</w:t>
      </w:r>
      <w:r w:rsidR="004E4F84">
        <w:rPr>
          <w:rFonts w:ascii="Arial" w:hAnsi="Arial" w:cs="Arial"/>
          <w:sz w:val="24"/>
        </w:rPr>
        <w:t>est</w:t>
      </w:r>
      <w:r w:rsidR="00D06D84">
        <w:rPr>
          <w:rFonts w:ascii="Arial" w:hAnsi="Arial" w:cs="Arial"/>
          <w:sz w:val="24"/>
        </w:rPr>
        <w:t xml:space="preserve">a pesquisa </w:t>
      </w:r>
      <w:r w:rsidR="00983BB9">
        <w:rPr>
          <w:rFonts w:ascii="Arial" w:hAnsi="Arial" w:cs="Arial"/>
          <w:sz w:val="24"/>
        </w:rPr>
        <w:t>necessitara</w:t>
      </w:r>
      <w:r w:rsidR="00C67E0B">
        <w:rPr>
          <w:rFonts w:ascii="Arial" w:hAnsi="Arial" w:cs="Arial"/>
          <w:sz w:val="24"/>
        </w:rPr>
        <w:t>m</w:t>
      </w:r>
      <w:r w:rsidR="00983BB9">
        <w:rPr>
          <w:rFonts w:ascii="Arial" w:hAnsi="Arial" w:cs="Arial"/>
          <w:sz w:val="24"/>
        </w:rPr>
        <w:t xml:space="preserve"> de maior assistência</w:t>
      </w:r>
      <w:r w:rsidR="00F37498">
        <w:rPr>
          <w:rFonts w:ascii="Arial" w:hAnsi="Arial" w:cs="Arial"/>
          <w:sz w:val="24"/>
        </w:rPr>
        <w:t xml:space="preserve"> para realiza</w:t>
      </w:r>
      <w:r w:rsidR="00A03CEE">
        <w:rPr>
          <w:rFonts w:ascii="Arial" w:hAnsi="Arial" w:cs="Arial"/>
          <w:sz w:val="24"/>
        </w:rPr>
        <w:t>r</w:t>
      </w:r>
      <w:r w:rsidR="00F37498">
        <w:rPr>
          <w:rFonts w:ascii="Arial" w:hAnsi="Arial" w:cs="Arial"/>
          <w:sz w:val="24"/>
        </w:rPr>
        <w:t xml:space="preserve"> atividades </w:t>
      </w:r>
      <w:r w:rsidR="005A3453">
        <w:rPr>
          <w:rFonts w:ascii="Arial" w:hAnsi="Arial" w:cs="Arial"/>
          <w:sz w:val="24"/>
        </w:rPr>
        <w:t>de</w:t>
      </w:r>
      <w:r w:rsidR="00F37498">
        <w:rPr>
          <w:rFonts w:ascii="Arial" w:hAnsi="Arial" w:cs="Arial"/>
          <w:sz w:val="24"/>
        </w:rPr>
        <w:t xml:space="preserve"> autocuidado</w:t>
      </w:r>
      <w:r w:rsidR="00803D2E">
        <w:rPr>
          <w:rFonts w:ascii="Arial" w:hAnsi="Arial" w:cs="Arial"/>
          <w:sz w:val="24"/>
        </w:rPr>
        <w:t>. Este domínio alcançou 6</w:t>
      </w:r>
      <w:r w:rsidR="00E53C77">
        <w:rPr>
          <w:rFonts w:ascii="Arial" w:hAnsi="Arial" w:cs="Arial"/>
          <w:sz w:val="24"/>
        </w:rPr>
        <w:t>4</w:t>
      </w:r>
      <w:r w:rsidR="00803D2E">
        <w:rPr>
          <w:rFonts w:ascii="Arial" w:hAnsi="Arial" w:cs="Arial"/>
          <w:sz w:val="24"/>
        </w:rPr>
        <w:t>% do escore máximo</w:t>
      </w:r>
      <w:r w:rsidR="00054F56">
        <w:rPr>
          <w:rFonts w:ascii="Arial" w:hAnsi="Arial" w:cs="Arial"/>
          <w:sz w:val="24"/>
        </w:rPr>
        <w:t xml:space="preserve"> possível</w:t>
      </w:r>
      <w:r w:rsidR="00803D2E">
        <w:rPr>
          <w:rFonts w:ascii="Arial" w:hAnsi="Arial" w:cs="Arial"/>
          <w:sz w:val="24"/>
        </w:rPr>
        <w:t xml:space="preserve">, com média de </w:t>
      </w:r>
      <w:r w:rsidR="00397CD5">
        <w:rPr>
          <w:rFonts w:ascii="Arial" w:hAnsi="Arial" w:cs="Arial"/>
          <w:sz w:val="24"/>
        </w:rPr>
        <w:t>27</w:t>
      </w:r>
      <w:r w:rsidR="00C41317">
        <w:rPr>
          <w:rFonts w:ascii="Arial" w:hAnsi="Arial" w:cs="Arial"/>
          <w:sz w:val="24"/>
        </w:rPr>
        <w:t>±8,</w:t>
      </w:r>
      <w:r w:rsidR="00397CD5">
        <w:rPr>
          <w:rFonts w:ascii="Arial" w:hAnsi="Arial" w:cs="Arial"/>
          <w:sz w:val="24"/>
        </w:rPr>
        <w:t>3 pontos</w:t>
      </w:r>
      <w:r w:rsidR="006523B0">
        <w:rPr>
          <w:rFonts w:ascii="Arial" w:hAnsi="Arial" w:cs="Arial"/>
          <w:sz w:val="24"/>
        </w:rPr>
        <w:t>.</w:t>
      </w:r>
      <w:r w:rsidR="0006514B">
        <w:rPr>
          <w:rFonts w:ascii="Arial" w:hAnsi="Arial" w:cs="Arial"/>
          <w:sz w:val="24"/>
        </w:rPr>
        <w:t xml:space="preserve"> </w:t>
      </w:r>
      <w:r w:rsidR="00F37498">
        <w:rPr>
          <w:rFonts w:ascii="Arial" w:hAnsi="Arial" w:cs="Arial"/>
          <w:sz w:val="24"/>
        </w:rPr>
        <w:t xml:space="preserve">Quanto às dimensões do domínio cognitivo, a cognição social foi a </w:t>
      </w:r>
      <w:r w:rsidR="00655A97">
        <w:rPr>
          <w:rFonts w:ascii="Arial" w:hAnsi="Arial" w:cs="Arial"/>
          <w:sz w:val="24"/>
        </w:rPr>
        <w:t>que apresentou menor percentual</w:t>
      </w:r>
      <w:r w:rsidR="001F143B">
        <w:rPr>
          <w:rFonts w:ascii="Arial" w:hAnsi="Arial" w:cs="Arial"/>
          <w:sz w:val="24"/>
        </w:rPr>
        <w:t>:</w:t>
      </w:r>
      <w:r w:rsidR="006A226C">
        <w:rPr>
          <w:rFonts w:ascii="Arial" w:hAnsi="Arial" w:cs="Arial"/>
          <w:sz w:val="24"/>
        </w:rPr>
        <w:t xml:space="preserve"> </w:t>
      </w:r>
      <w:r w:rsidR="00C620AB">
        <w:rPr>
          <w:rFonts w:ascii="Arial" w:hAnsi="Arial" w:cs="Arial"/>
          <w:sz w:val="24"/>
        </w:rPr>
        <w:t xml:space="preserve">alcançou </w:t>
      </w:r>
      <w:r w:rsidR="00E53C77">
        <w:rPr>
          <w:rFonts w:ascii="Arial" w:hAnsi="Arial" w:cs="Arial"/>
          <w:sz w:val="24"/>
        </w:rPr>
        <w:t>81</w:t>
      </w:r>
      <w:r w:rsidR="00C41317">
        <w:rPr>
          <w:rFonts w:ascii="Arial" w:hAnsi="Arial" w:cs="Arial"/>
          <w:sz w:val="24"/>
        </w:rPr>
        <w:t>%</w:t>
      </w:r>
      <w:r w:rsidR="00FA518F">
        <w:rPr>
          <w:rFonts w:ascii="Arial" w:hAnsi="Arial" w:cs="Arial"/>
          <w:sz w:val="24"/>
        </w:rPr>
        <w:t xml:space="preserve"> do escore máximo</w:t>
      </w:r>
      <w:r w:rsidR="001A1A37">
        <w:rPr>
          <w:rFonts w:ascii="Arial" w:hAnsi="Arial" w:cs="Arial"/>
          <w:sz w:val="24"/>
        </w:rPr>
        <w:t xml:space="preserve"> possível</w:t>
      </w:r>
      <w:r w:rsidR="001F143B">
        <w:rPr>
          <w:rFonts w:ascii="Arial" w:hAnsi="Arial" w:cs="Arial"/>
          <w:sz w:val="24"/>
        </w:rPr>
        <w:t xml:space="preserve"> (</w:t>
      </w:r>
      <w:r w:rsidR="00397CD5">
        <w:rPr>
          <w:rFonts w:ascii="Arial" w:hAnsi="Arial" w:cs="Arial"/>
          <w:sz w:val="24"/>
        </w:rPr>
        <w:t>média de 17</w:t>
      </w:r>
      <w:r w:rsidR="00C41317">
        <w:rPr>
          <w:rFonts w:ascii="Arial" w:hAnsi="Arial" w:cs="Arial"/>
          <w:sz w:val="24"/>
        </w:rPr>
        <w:t>±4,9</w:t>
      </w:r>
      <w:r w:rsidR="00397CD5">
        <w:rPr>
          <w:rFonts w:ascii="Arial" w:hAnsi="Arial" w:cs="Arial"/>
          <w:sz w:val="24"/>
        </w:rPr>
        <w:t xml:space="preserve"> </w:t>
      </w:r>
      <w:r w:rsidR="00397CD5">
        <w:rPr>
          <w:rFonts w:ascii="Arial" w:hAnsi="Arial" w:cs="Arial"/>
          <w:sz w:val="24"/>
        </w:rPr>
        <w:lastRenderedPageBreak/>
        <w:t>pontos</w:t>
      </w:r>
      <w:r w:rsidR="00C41317">
        <w:rPr>
          <w:rFonts w:ascii="Arial" w:hAnsi="Arial" w:cs="Arial"/>
          <w:sz w:val="24"/>
        </w:rPr>
        <w:t>)</w:t>
      </w:r>
      <w:r w:rsidR="00E67E32">
        <w:rPr>
          <w:rFonts w:ascii="Arial" w:hAnsi="Arial" w:cs="Arial"/>
          <w:sz w:val="24"/>
        </w:rPr>
        <w:t xml:space="preserve">. </w:t>
      </w:r>
      <w:r w:rsidR="00C620AB">
        <w:rPr>
          <w:rFonts w:ascii="Arial" w:hAnsi="Arial" w:cs="Arial"/>
          <w:sz w:val="24"/>
        </w:rPr>
        <w:t xml:space="preserve">Considerando o escore total da escala MIF, </w:t>
      </w:r>
      <w:r w:rsidR="00183ED9">
        <w:rPr>
          <w:rFonts w:ascii="Arial" w:hAnsi="Arial" w:cs="Arial"/>
          <w:sz w:val="24"/>
        </w:rPr>
        <w:t xml:space="preserve">de forma geral, </w:t>
      </w:r>
      <w:r w:rsidR="00C620AB">
        <w:rPr>
          <w:rFonts w:ascii="Arial" w:hAnsi="Arial" w:cs="Arial"/>
          <w:sz w:val="24"/>
        </w:rPr>
        <w:t>o</w:t>
      </w:r>
      <w:r w:rsidR="00563BAA" w:rsidRPr="00FA518F">
        <w:rPr>
          <w:rFonts w:ascii="Arial" w:hAnsi="Arial" w:cs="Arial"/>
          <w:sz w:val="24"/>
        </w:rPr>
        <w:t>s sujeitos do estudo</w:t>
      </w:r>
      <w:r w:rsidR="00C620AB">
        <w:rPr>
          <w:rFonts w:ascii="Arial" w:hAnsi="Arial" w:cs="Arial"/>
          <w:sz w:val="24"/>
        </w:rPr>
        <w:t xml:space="preserve"> </w:t>
      </w:r>
      <w:r w:rsidR="00BB6FDD" w:rsidRPr="00FA518F">
        <w:rPr>
          <w:rFonts w:ascii="Arial" w:hAnsi="Arial" w:cs="Arial"/>
          <w:sz w:val="24"/>
        </w:rPr>
        <w:t>apresentaram dependência modificada, com necessidade de até 25% de assistência p</w:t>
      </w:r>
      <w:r w:rsidR="006469A0" w:rsidRPr="00FA518F">
        <w:rPr>
          <w:rFonts w:ascii="Arial" w:hAnsi="Arial" w:cs="Arial"/>
          <w:sz w:val="24"/>
        </w:rPr>
        <w:t>ara realização das tarefas (9</w:t>
      </w:r>
      <w:r w:rsidR="00E24ADC">
        <w:rPr>
          <w:rFonts w:ascii="Arial" w:hAnsi="Arial" w:cs="Arial"/>
          <w:sz w:val="24"/>
        </w:rPr>
        <w:t>4±</w:t>
      </w:r>
      <w:r w:rsidR="00BB6FDD" w:rsidRPr="00FA518F">
        <w:rPr>
          <w:rFonts w:ascii="Arial" w:hAnsi="Arial" w:cs="Arial"/>
          <w:sz w:val="24"/>
        </w:rPr>
        <w:t>26,5</w:t>
      </w:r>
      <w:r w:rsidR="00D20F91">
        <w:rPr>
          <w:rFonts w:ascii="Arial" w:hAnsi="Arial" w:cs="Arial"/>
          <w:sz w:val="24"/>
        </w:rPr>
        <w:t xml:space="preserve"> pontos</w:t>
      </w:r>
      <w:r w:rsidR="009D5785" w:rsidRPr="00FA518F">
        <w:rPr>
          <w:rFonts w:ascii="Arial" w:hAnsi="Arial" w:cs="Arial"/>
          <w:sz w:val="24"/>
        </w:rPr>
        <w:t>)</w:t>
      </w:r>
      <w:r w:rsidR="009D5785">
        <w:rPr>
          <w:rFonts w:ascii="Arial" w:hAnsi="Arial" w:cs="Arial"/>
          <w:sz w:val="24"/>
        </w:rPr>
        <w:t xml:space="preserve"> (tabela 2).</w:t>
      </w:r>
    </w:p>
    <w:p w:rsidR="00D22E78" w:rsidRDefault="00D22E78" w:rsidP="0037526D">
      <w:pPr>
        <w:spacing w:after="0" w:line="360" w:lineRule="auto"/>
        <w:jc w:val="both"/>
        <w:rPr>
          <w:rFonts w:ascii="Arial" w:hAnsi="Arial" w:cs="Arial"/>
          <w:sz w:val="24"/>
        </w:rPr>
      </w:pPr>
    </w:p>
    <w:p w:rsidR="007A1E7F" w:rsidRDefault="007A1E7F" w:rsidP="007A1E7F">
      <w:pPr>
        <w:pStyle w:val="EstiloDissertao"/>
        <w:tabs>
          <w:tab w:val="left" w:pos="8222"/>
          <w:tab w:val="left" w:pos="8364"/>
        </w:tabs>
        <w:ind w:left="851" w:right="849"/>
      </w:pPr>
      <w:bookmarkStart w:id="28" w:name="_Toc496543267"/>
      <w:bookmarkStart w:id="29" w:name="_Toc496553539"/>
      <w:r w:rsidRPr="007A1E7F">
        <w:rPr>
          <w:b/>
        </w:rPr>
        <w:t xml:space="preserve">Tabela </w:t>
      </w:r>
      <w:r w:rsidRPr="007A1E7F">
        <w:rPr>
          <w:b/>
        </w:rPr>
        <w:fldChar w:fldCharType="begin"/>
      </w:r>
      <w:r w:rsidRPr="007A1E7F">
        <w:rPr>
          <w:b/>
        </w:rPr>
        <w:instrText xml:space="preserve"> SEQ Tabela \* ARABIC </w:instrText>
      </w:r>
      <w:r w:rsidRPr="007A1E7F">
        <w:rPr>
          <w:b/>
        </w:rPr>
        <w:fldChar w:fldCharType="separate"/>
      </w:r>
      <w:r w:rsidR="005E2BE9">
        <w:rPr>
          <w:b/>
          <w:noProof/>
        </w:rPr>
        <w:t>2</w:t>
      </w:r>
      <w:r w:rsidRPr="007A1E7F">
        <w:rPr>
          <w:b/>
        </w:rPr>
        <w:fldChar w:fldCharType="end"/>
      </w:r>
      <w:r w:rsidRPr="007A1E7F">
        <w:rPr>
          <w:b/>
        </w:rPr>
        <w:t xml:space="preserve"> –</w:t>
      </w:r>
      <w:r w:rsidRPr="00445DB4">
        <w:t xml:space="preserve"> </w:t>
      </w:r>
      <w:r w:rsidR="00731122" w:rsidRPr="00EE34DF">
        <w:t>Escores das dimensões/domínios</w:t>
      </w:r>
      <w:r w:rsidR="007E156C">
        <w:t xml:space="preserve"> e total</w:t>
      </w:r>
      <w:r w:rsidR="00731122">
        <w:t xml:space="preserve"> </w:t>
      </w:r>
      <w:r w:rsidRPr="00445DB4">
        <w:t>da escala MIF</w:t>
      </w:r>
      <w:r w:rsidR="00731122">
        <w:t xml:space="preserve"> aplicada aos pais das crianças e adolescentes acompanhados no ambulatório de ortopedia do HSI, </w:t>
      </w:r>
      <w:r w:rsidR="005906C7" w:rsidRPr="008160C5">
        <w:t xml:space="preserve">no período de </w:t>
      </w:r>
      <w:r w:rsidR="005906C7">
        <w:t>janeiro de 2012</w:t>
      </w:r>
      <w:r w:rsidR="005906C7" w:rsidRPr="008160C5">
        <w:t xml:space="preserve"> a </w:t>
      </w:r>
      <w:r w:rsidR="005906C7">
        <w:t>outubro d</w:t>
      </w:r>
      <w:r w:rsidR="005906C7" w:rsidRPr="008160C5">
        <w:t>e 201</w:t>
      </w:r>
      <w:r w:rsidR="005906C7">
        <w:t>4</w:t>
      </w:r>
      <w:r w:rsidRPr="00445DB4">
        <w:t>.</w:t>
      </w:r>
      <w:bookmarkEnd w:id="28"/>
      <w:bookmarkEnd w:id="29"/>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3"/>
        <w:gridCol w:w="2617"/>
        <w:gridCol w:w="1494"/>
      </w:tblGrid>
      <w:tr w:rsidR="001F21EC" w:rsidRPr="0037526D" w:rsidTr="008C653F">
        <w:trPr>
          <w:jc w:val="center"/>
        </w:trPr>
        <w:tc>
          <w:tcPr>
            <w:tcW w:w="3343" w:type="dxa"/>
            <w:tcBorders>
              <w:top w:val="single" w:sz="4" w:space="0" w:color="auto"/>
              <w:bottom w:val="single" w:sz="4" w:space="0" w:color="auto"/>
            </w:tcBorders>
          </w:tcPr>
          <w:p w:rsidR="001F21EC" w:rsidRPr="008C653F" w:rsidRDefault="006523B0" w:rsidP="00491EA1">
            <w:pPr>
              <w:tabs>
                <w:tab w:val="left" w:pos="3332"/>
              </w:tabs>
              <w:spacing w:line="360" w:lineRule="auto"/>
              <w:jc w:val="center"/>
              <w:rPr>
                <w:rFonts w:ascii="Arial" w:hAnsi="Arial" w:cs="Arial"/>
                <w:b/>
              </w:rPr>
            </w:pPr>
            <w:r w:rsidRPr="008C653F">
              <w:rPr>
                <w:rFonts w:ascii="Arial" w:hAnsi="Arial" w:cs="Arial"/>
                <w:b/>
              </w:rPr>
              <w:t>Dimensões</w:t>
            </w:r>
            <w:r w:rsidR="00491EA1" w:rsidRPr="008C653F">
              <w:rPr>
                <w:rFonts w:ascii="Arial" w:hAnsi="Arial" w:cs="Arial"/>
                <w:b/>
              </w:rPr>
              <w:t xml:space="preserve"> da Escala MIF</w:t>
            </w:r>
          </w:p>
        </w:tc>
        <w:tc>
          <w:tcPr>
            <w:tcW w:w="2617" w:type="dxa"/>
            <w:tcBorders>
              <w:top w:val="single" w:sz="4" w:space="0" w:color="auto"/>
              <w:bottom w:val="single" w:sz="4" w:space="0" w:color="auto"/>
            </w:tcBorders>
          </w:tcPr>
          <w:p w:rsidR="001F21EC" w:rsidRPr="008C653F" w:rsidRDefault="00E24ADC" w:rsidP="00E24ADC">
            <w:pPr>
              <w:spacing w:line="360" w:lineRule="auto"/>
              <w:jc w:val="both"/>
              <w:rPr>
                <w:rFonts w:ascii="Arial" w:hAnsi="Arial" w:cs="Arial"/>
                <w:b/>
              </w:rPr>
            </w:pPr>
            <w:r w:rsidRPr="008C653F">
              <w:rPr>
                <w:rFonts w:ascii="Arial" w:hAnsi="Arial" w:cs="Arial"/>
                <w:b/>
              </w:rPr>
              <w:t>Média</w:t>
            </w:r>
            <w:r w:rsidR="001F21EC" w:rsidRPr="008C653F">
              <w:rPr>
                <w:rFonts w:ascii="Arial" w:hAnsi="Arial" w:cs="Arial"/>
                <w:b/>
              </w:rPr>
              <w:t>±DP</w:t>
            </w:r>
            <w:r w:rsidRPr="008C653F">
              <w:rPr>
                <w:rFonts w:ascii="Arial" w:hAnsi="Arial" w:cs="Arial"/>
                <w:b/>
              </w:rPr>
              <w:t xml:space="preserve"> ou Md (IIQ)</w:t>
            </w:r>
          </w:p>
        </w:tc>
        <w:tc>
          <w:tcPr>
            <w:tcW w:w="1494" w:type="dxa"/>
            <w:tcBorders>
              <w:top w:val="single" w:sz="4" w:space="0" w:color="auto"/>
              <w:bottom w:val="single" w:sz="4" w:space="0" w:color="auto"/>
            </w:tcBorders>
          </w:tcPr>
          <w:p w:rsidR="001F21EC" w:rsidRPr="008C653F" w:rsidRDefault="001F21EC" w:rsidP="00C86171">
            <w:pPr>
              <w:spacing w:line="360" w:lineRule="auto"/>
              <w:jc w:val="center"/>
              <w:rPr>
                <w:rFonts w:ascii="Arial" w:hAnsi="Arial" w:cs="Arial"/>
                <w:b/>
              </w:rPr>
            </w:pPr>
            <w:r w:rsidRPr="008C653F">
              <w:rPr>
                <w:rFonts w:ascii="Arial" w:hAnsi="Arial" w:cs="Arial"/>
                <w:b/>
              </w:rPr>
              <w:t>(%)</w:t>
            </w:r>
            <w:r w:rsidR="00D36347" w:rsidRPr="008C653F">
              <w:rPr>
                <w:rFonts w:ascii="Arial" w:hAnsi="Arial" w:cs="Arial"/>
                <w:b/>
              </w:rPr>
              <w:t>*</w:t>
            </w:r>
          </w:p>
        </w:tc>
      </w:tr>
      <w:tr w:rsidR="00DB2455" w:rsidRPr="0037526D" w:rsidTr="008C653F">
        <w:trPr>
          <w:jc w:val="center"/>
        </w:trPr>
        <w:tc>
          <w:tcPr>
            <w:tcW w:w="3343" w:type="dxa"/>
            <w:tcBorders>
              <w:top w:val="single" w:sz="4" w:space="0" w:color="auto"/>
            </w:tcBorders>
          </w:tcPr>
          <w:p w:rsidR="00DB2455" w:rsidRPr="008C653F" w:rsidRDefault="00DB2455" w:rsidP="00712D2A">
            <w:pPr>
              <w:spacing w:line="360" w:lineRule="auto"/>
              <w:jc w:val="both"/>
              <w:rPr>
                <w:rFonts w:ascii="Arial" w:hAnsi="Arial" w:cs="Arial"/>
              </w:rPr>
            </w:pPr>
            <w:r w:rsidRPr="008C653F">
              <w:rPr>
                <w:rFonts w:ascii="Arial" w:hAnsi="Arial" w:cs="Arial"/>
                <w:b/>
              </w:rPr>
              <w:t>Domínio Motor</w:t>
            </w:r>
          </w:p>
        </w:tc>
        <w:tc>
          <w:tcPr>
            <w:tcW w:w="2617" w:type="dxa"/>
            <w:tcBorders>
              <w:top w:val="single" w:sz="4" w:space="0" w:color="auto"/>
            </w:tcBorders>
          </w:tcPr>
          <w:p w:rsidR="00DB2455" w:rsidRPr="008C653F" w:rsidRDefault="00E24ADC" w:rsidP="00432A52">
            <w:pPr>
              <w:spacing w:line="360" w:lineRule="auto"/>
              <w:jc w:val="center"/>
              <w:rPr>
                <w:rFonts w:ascii="Arial" w:hAnsi="Arial" w:cs="Arial"/>
              </w:rPr>
            </w:pPr>
            <w:r w:rsidRPr="008C653F">
              <w:rPr>
                <w:rFonts w:ascii="Arial" w:hAnsi="Arial" w:cs="Arial"/>
              </w:rPr>
              <w:t>65</w:t>
            </w:r>
            <w:r w:rsidR="00DB2455" w:rsidRPr="008C653F">
              <w:rPr>
                <w:rFonts w:ascii="Arial" w:hAnsi="Arial" w:cs="Arial"/>
              </w:rPr>
              <w:t>±19,9</w:t>
            </w:r>
          </w:p>
        </w:tc>
        <w:tc>
          <w:tcPr>
            <w:tcW w:w="1494" w:type="dxa"/>
            <w:tcBorders>
              <w:top w:val="single" w:sz="4" w:space="0" w:color="auto"/>
            </w:tcBorders>
          </w:tcPr>
          <w:p w:rsidR="00DB2455" w:rsidRPr="008C653F" w:rsidRDefault="00DB2455" w:rsidP="00712D2A">
            <w:pPr>
              <w:spacing w:line="360" w:lineRule="auto"/>
              <w:jc w:val="center"/>
              <w:rPr>
                <w:rFonts w:ascii="Arial" w:hAnsi="Arial" w:cs="Arial"/>
              </w:rPr>
            </w:pPr>
            <w:r w:rsidRPr="008C653F">
              <w:rPr>
                <w:rFonts w:ascii="Arial" w:hAnsi="Arial" w:cs="Arial"/>
              </w:rPr>
              <w:t>72%</w:t>
            </w:r>
          </w:p>
        </w:tc>
      </w:tr>
      <w:tr w:rsidR="00DB2455" w:rsidRPr="0037526D" w:rsidTr="008C653F">
        <w:trPr>
          <w:jc w:val="center"/>
        </w:trPr>
        <w:tc>
          <w:tcPr>
            <w:tcW w:w="3343" w:type="dxa"/>
          </w:tcPr>
          <w:p w:rsidR="00DB2455" w:rsidRPr="008C653F" w:rsidRDefault="00C44DAA" w:rsidP="00A65251">
            <w:pPr>
              <w:spacing w:line="360" w:lineRule="auto"/>
              <w:ind w:left="433"/>
              <w:jc w:val="both"/>
              <w:rPr>
                <w:rFonts w:ascii="Arial" w:hAnsi="Arial" w:cs="Arial"/>
              </w:rPr>
            </w:pPr>
            <w:r w:rsidRPr="008C653F">
              <w:rPr>
                <w:rFonts w:ascii="Arial" w:hAnsi="Arial" w:cs="Arial"/>
              </w:rPr>
              <w:t>Autocuidado</w:t>
            </w:r>
          </w:p>
        </w:tc>
        <w:tc>
          <w:tcPr>
            <w:tcW w:w="2617" w:type="dxa"/>
          </w:tcPr>
          <w:p w:rsidR="00DB2455" w:rsidRPr="008C653F" w:rsidRDefault="00E24ADC" w:rsidP="0081713D">
            <w:pPr>
              <w:spacing w:line="360" w:lineRule="auto"/>
              <w:jc w:val="center"/>
              <w:rPr>
                <w:rFonts w:ascii="Arial" w:hAnsi="Arial" w:cs="Arial"/>
              </w:rPr>
            </w:pPr>
            <w:r w:rsidRPr="008C653F">
              <w:rPr>
                <w:rFonts w:ascii="Arial" w:hAnsi="Arial" w:cs="Arial"/>
              </w:rPr>
              <w:t>27</w:t>
            </w:r>
            <w:r w:rsidR="00DB2455" w:rsidRPr="008C653F">
              <w:rPr>
                <w:rFonts w:ascii="Arial" w:hAnsi="Arial" w:cs="Arial"/>
              </w:rPr>
              <w:t>±8,</w:t>
            </w:r>
            <w:r w:rsidRPr="008C653F">
              <w:rPr>
                <w:rFonts w:ascii="Arial" w:hAnsi="Arial" w:cs="Arial"/>
              </w:rPr>
              <w:t>3</w:t>
            </w:r>
          </w:p>
        </w:tc>
        <w:tc>
          <w:tcPr>
            <w:tcW w:w="1494" w:type="dxa"/>
          </w:tcPr>
          <w:p w:rsidR="00DB2455" w:rsidRPr="008C653F" w:rsidRDefault="00DB2455" w:rsidP="001A1A37">
            <w:pPr>
              <w:spacing w:line="360" w:lineRule="auto"/>
              <w:jc w:val="center"/>
              <w:rPr>
                <w:rFonts w:ascii="Arial" w:hAnsi="Arial" w:cs="Arial"/>
              </w:rPr>
            </w:pPr>
            <w:r w:rsidRPr="008C653F">
              <w:rPr>
                <w:rFonts w:ascii="Arial" w:hAnsi="Arial" w:cs="Arial"/>
              </w:rPr>
              <w:t>6</w:t>
            </w:r>
            <w:r w:rsidR="001A1A37" w:rsidRPr="008C653F">
              <w:rPr>
                <w:rFonts w:ascii="Arial" w:hAnsi="Arial" w:cs="Arial"/>
              </w:rPr>
              <w:t>4</w:t>
            </w:r>
            <w:r w:rsidRPr="008C653F">
              <w:rPr>
                <w:rFonts w:ascii="Arial" w:hAnsi="Arial" w:cs="Arial"/>
              </w:rPr>
              <w:t>%</w:t>
            </w:r>
          </w:p>
        </w:tc>
      </w:tr>
      <w:tr w:rsidR="00DB2455" w:rsidRPr="0037526D" w:rsidTr="008C653F">
        <w:trPr>
          <w:jc w:val="center"/>
        </w:trPr>
        <w:tc>
          <w:tcPr>
            <w:tcW w:w="3343" w:type="dxa"/>
          </w:tcPr>
          <w:p w:rsidR="00DB2455" w:rsidRPr="008C653F" w:rsidRDefault="00DB2455" w:rsidP="00A65251">
            <w:pPr>
              <w:spacing w:line="360" w:lineRule="auto"/>
              <w:ind w:left="433"/>
              <w:jc w:val="both"/>
              <w:rPr>
                <w:rFonts w:ascii="Arial" w:hAnsi="Arial" w:cs="Arial"/>
              </w:rPr>
            </w:pPr>
            <w:r w:rsidRPr="008C653F">
              <w:rPr>
                <w:rFonts w:ascii="Arial" w:hAnsi="Arial" w:cs="Arial"/>
              </w:rPr>
              <w:t>Controle esfincteriano</w:t>
            </w:r>
          </w:p>
        </w:tc>
        <w:tc>
          <w:tcPr>
            <w:tcW w:w="2617" w:type="dxa"/>
          </w:tcPr>
          <w:p w:rsidR="00DB2455" w:rsidRPr="008C653F" w:rsidRDefault="00CA5A6E" w:rsidP="00432A52">
            <w:pPr>
              <w:spacing w:line="360" w:lineRule="auto"/>
              <w:jc w:val="center"/>
              <w:rPr>
                <w:rFonts w:ascii="Arial" w:hAnsi="Arial" w:cs="Arial"/>
              </w:rPr>
            </w:pPr>
            <w:r w:rsidRPr="008C653F">
              <w:rPr>
                <w:rFonts w:ascii="Arial" w:hAnsi="Arial" w:cs="Arial"/>
              </w:rPr>
              <w:t xml:space="preserve">14 </w:t>
            </w:r>
            <w:r w:rsidR="00B14A87" w:rsidRPr="008C653F">
              <w:rPr>
                <w:rFonts w:ascii="Arial" w:hAnsi="Arial" w:cs="Arial"/>
              </w:rPr>
              <w:t>(12,0 – 14,0)</w:t>
            </w:r>
          </w:p>
        </w:tc>
        <w:tc>
          <w:tcPr>
            <w:tcW w:w="1494" w:type="dxa"/>
          </w:tcPr>
          <w:p w:rsidR="00DB2455" w:rsidRPr="008C653F" w:rsidRDefault="00DB2455" w:rsidP="00712D2A">
            <w:pPr>
              <w:spacing w:line="360" w:lineRule="auto"/>
              <w:jc w:val="center"/>
              <w:rPr>
                <w:rFonts w:ascii="Arial" w:hAnsi="Arial" w:cs="Arial"/>
              </w:rPr>
            </w:pPr>
            <w:r w:rsidRPr="008C653F">
              <w:rPr>
                <w:rFonts w:ascii="Arial" w:hAnsi="Arial" w:cs="Arial"/>
              </w:rPr>
              <w:t>100%</w:t>
            </w:r>
          </w:p>
        </w:tc>
      </w:tr>
      <w:tr w:rsidR="001F21EC" w:rsidRPr="0037526D" w:rsidTr="008C653F">
        <w:trPr>
          <w:jc w:val="center"/>
        </w:trPr>
        <w:tc>
          <w:tcPr>
            <w:tcW w:w="3343" w:type="dxa"/>
          </w:tcPr>
          <w:p w:rsidR="001F21EC" w:rsidRPr="008C653F" w:rsidRDefault="001210CF" w:rsidP="00A65251">
            <w:pPr>
              <w:spacing w:line="360" w:lineRule="auto"/>
              <w:ind w:left="433"/>
              <w:jc w:val="both"/>
              <w:rPr>
                <w:rFonts w:ascii="Arial" w:hAnsi="Arial" w:cs="Arial"/>
              </w:rPr>
            </w:pPr>
            <w:r>
              <w:rPr>
                <w:rFonts w:ascii="Arial" w:hAnsi="Arial" w:cs="Arial"/>
              </w:rPr>
              <w:t>T</w:t>
            </w:r>
            <w:r w:rsidR="001F21EC" w:rsidRPr="008C653F">
              <w:rPr>
                <w:rFonts w:ascii="Arial" w:hAnsi="Arial" w:cs="Arial"/>
              </w:rPr>
              <w:t>ransferência</w:t>
            </w:r>
            <w:r>
              <w:rPr>
                <w:rFonts w:ascii="Arial" w:hAnsi="Arial" w:cs="Arial"/>
              </w:rPr>
              <w:t>s</w:t>
            </w:r>
          </w:p>
        </w:tc>
        <w:tc>
          <w:tcPr>
            <w:tcW w:w="2617" w:type="dxa"/>
          </w:tcPr>
          <w:p w:rsidR="001F21EC" w:rsidRPr="008C653F" w:rsidRDefault="00E24ADC" w:rsidP="00432A52">
            <w:pPr>
              <w:spacing w:line="360" w:lineRule="auto"/>
              <w:jc w:val="center"/>
              <w:rPr>
                <w:rFonts w:ascii="Arial" w:hAnsi="Arial" w:cs="Arial"/>
              </w:rPr>
            </w:pPr>
            <w:r w:rsidRPr="008C653F">
              <w:rPr>
                <w:rFonts w:ascii="Arial" w:hAnsi="Arial" w:cs="Arial"/>
              </w:rPr>
              <w:t>17</w:t>
            </w:r>
            <w:r w:rsidR="001F21EC" w:rsidRPr="008C653F">
              <w:rPr>
                <w:rFonts w:ascii="Arial" w:hAnsi="Arial" w:cs="Arial"/>
              </w:rPr>
              <w:t>±6,6</w:t>
            </w:r>
          </w:p>
        </w:tc>
        <w:tc>
          <w:tcPr>
            <w:tcW w:w="1494" w:type="dxa"/>
          </w:tcPr>
          <w:p w:rsidR="001F21EC" w:rsidRPr="008C653F" w:rsidRDefault="00BB3328" w:rsidP="001A1A37">
            <w:pPr>
              <w:spacing w:line="360" w:lineRule="auto"/>
              <w:jc w:val="center"/>
              <w:rPr>
                <w:rFonts w:ascii="Arial" w:hAnsi="Arial" w:cs="Arial"/>
              </w:rPr>
            </w:pPr>
            <w:r w:rsidRPr="008C653F">
              <w:rPr>
                <w:rFonts w:ascii="Arial" w:hAnsi="Arial" w:cs="Arial"/>
              </w:rPr>
              <w:t>8</w:t>
            </w:r>
            <w:r w:rsidR="001A1A37" w:rsidRPr="008C653F">
              <w:rPr>
                <w:rFonts w:ascii="Arial" w:hAnsi="Arial" w:cs="Arial"/>
              </w:rPr>
              <w:t>1</w:t>
            </w:r>
            <w:r w:rsidRPr="008C653F">
              <w:rPr>
                <w:rFonts w:ascii="Arial" w:hAnsi="Arial" w:cs="Arial"/>
              </w:rPr>
              <w:t>%</w:t>
            </w:r>
          </w:p>
        </w:tc>
      </w:tr>
      <w:tr w:rsidR="001F21EC" w:rsidRPr="0037526D" w:rsidTr="008C653F">
        <w:trPr>
          <w:jc w:val="center"/>
        </w:trPr>
        <w:tc>
          <w:tcPr>
            <w:tcW w:w="3343" w:type="dxa"/>
          </w:tcPr>
          <w:p w:rsidR="001F21EC" w:rsidRPr="008C653F" w:rsidRDefault="001F21EC" w:rsidP="00A65251">
            <w:pPr>
              <w:spacing w:line="360" w:lineRule="auto"/>
              <w:ind w:left="433"/>
              <w:jc w:val="both"/>
              <w:rPr>
                <w:rFonts w:ascii="Arial" w:hAnsi="Arial" w:cs="Arial"/>
              </w:rPr>
            </w:pPr>
            <w:r w:rsidRPr="008C653F">
              <w:rPr>
                <w:rFonts w:ascii="Arial" w:hAnsi="Arial" w:cs="Arial"/>
              </w:rPr>
              <w:t>Locomoção</w:t>
            </w:r>
          </w:p>
        </w:tc>
        <w:tc>
          <w:tcPr>
            <w:tcW w:w="2617" w:type="dxa"/>
          </w:tcPr>
          <w:p w:rsidR="001F21EC" w:rsidRPr="008C653F" w:rsidRDefault="00E24ADC" w:rsidP="00432A52">
            <w:pPr>
              <w:spacing w:line="360" w:lineRule="auto"/>
              <w:jc w:val="center"/>
              <w:rPr>
                <w:rFonts w:ascii="Arial" w:hAnsi="Arial" w:cs="Arial"/>
              </w:rPr>
            </w:pPr>
            <w:r w:rsidRPr="008C653F">
              <w:rPr>
                <w:rFonts w:ascii="Arial" w:hAnsi="Arial" w:cs="Arial"/>
              </w:rPr>
              <w:t>10</w:t>
            </w:r>
            <w:r w:rsidR="001F21EC" w:rsidRPr="008C653F">
              <w:rPr>
                <w:rFonts w:ascii="Arial" w:hAnsi="Arial" w:cs="Arial"/>
              </w:rPr>
              <w:t>±4,</w:t>
            </w:r>
            <w:r w:rsidRPr="008C653F">
              <w:rPr>
                <w:rFonts w:ascii="Arial" w:hAnsi="Arial" w:cs="Arial"/>
              </w:rPr>
              <w:t>8</w:t>
            </w:r>
          </w:p>
        </w:tc>
        <w:tc>
          <w:tcPr>
            <w:tcW w:w="1494" w:type="dxa"/>
          </w:tcPr>
          <w:p w:rsidR="001F21EC" w:rsidRPr="008C653F" w:rsidRDefault="00BB3328" w:rsidP="001A1A37">
            <w:pPr>
              <w:spacing w:line="360" w:lineRule="auto"/>
              <w:jc w:val="center"/>
              <w:rPr>
                <w:rFonts w:ascii="Arial" w:hAnsi="Arial" w:cs="Arial"/>
              </w:rPr>
            </w:pPr>
            <w:r w:rsidRPr="008C653F">
              <w:rPr>
                <w:rFonts w:ascii="Arial" w:hAnsi="Arial" w:cs="Arial"/>
              </w:rPr>
              <w:t>7</w:t>
            </w:r>
            <w:r w:rsidR="001A1A37" w:rsidRPr="008C653F">
              <w:rPr>
                <w:rFonts w:ascii="Arial" w:hAnsi="Arial" w:cs="Arial"/>
              </w:rPr>
              <w:t>1</w:t>
            </w:r>
            <w:r w:rsidRPr="008C653F">
              <w:rPr>
                <w:rFonts w:ascii="Arial" w:hAnsi="Arial" w:cs="Arial"/>
              </w:rPr>
              <w:t>%</w:t>
            </w:r>
          </w:p>
        </w:tc>
      </w:tr>
      <w:tr w:rsidR="00DB2455" w:rsidRPr="0037526D" w:rsidTr="008C653F">
        <w:trPr>
          <w:jc w:val="center"/>
        </w:trPr>
        <w:tc>
          <w:tcPr>
            <w:tcW w:w="3343" w:type="dxa"/>
          </w:tcPr>
          <w:p w:rsidR="00DB2455" w:rsidRPr="008C653F" w:rsidRDefault="00DB2455" w:rsidP="00712D2A">
            <w:pPr>
              <w:spacing w:line="360" w:lineRule="auto"/>
              <w:jc w:val="both"/>
              <w:rPr>
                <w:rFonts w:ascii="Arial" w:hAnsi="Arial" w:cs="Arial"/>
                <w:b/>
              </w:rPr>
            </w:pPr>
            <w:r w:rsidRPr="008C653F">
              <w:rPr>
                <w:rFonts w:ascii="Arial" w:hAnsi="Arial" w:cs="Arial"/>
                <w:b/>
              </w:rPr>
              <w:t>Domínio Cognitivo</w:t>
            </w:r>
          </w:p>
        </w:tc>
        <w:tc>
          <w:tcPr>
            <w:tcW w:w="2617" w:type="dxa"/>
          </w:tcPr>
          <w:p w:rsidR="00DB2455" w:rsidRPr="008C653F" w:rsidRDefault="00B14A87" w:rsidP="00432A52">
            <w:pPr>
              <w:spacing w:line="360" w:lineRule="auto"/>
              <w:jc w:val="center"/>
              <w:rPr>
                <w:rFonts w:ascii="Arial" w:hAnsi="Arial" w:cs="Arial"/>
              </w:rPr>
            </w:pPr>
            <w:r w:rsidRPr="008C653F">
              <w:rPr>
                <w:rFonts w:ascii="Arial" w:hAnsi="Arial" w:cs="Arial"/>
              </w:rPr>
              <w:t>29</w:t>
            </w:r>
            <w:r w:rsidR="00DB2455" w:rsidRPr="008C653F">
              <w:rPr>
                <w:rFonts w:ascii="Arial" w:hAnsi="Arial" w:cs="Arial"/>
              </w:rPr>
              <w:t>±8,</w:t>
            </w:r>
            <w:r w:rsidR="00E24ADC" w:rsidRPr="008C653F">
              <w:rPr>
                <w:rFonts w:ascii="Arial" w:hAnsi="Arial" w:cs="Arial"/>
              </w:rPr>
              <w:t>2</w:t>
            </w:r>
          </w:p>
        </w:tc>
        <w:tc>
          <w:tcPr>
            <w:tcW w:w="1494" w:type="dxa"/>
          </w:tcPr>
          <w:p w:rsidR="00DB2455" w:rsidRPr="008C653F" w:rsidRDefault="00DB2455" w:rsidP="00B14A87">
            <w:pPr>
              <w:spacing w:line="360" w:lineRule="auto"/>
              <w:jc w:val="center"/>
              <w:rPr>
                <w:rFonts w:ascii="Arial" w:hAnsi="Arial" w:cs="Arial"/>
              </w:rPr>
            </w:pPr>
            <w:r w:rsidRPr="008C653F">
              <w:rPr>
                <w:rFonts w:ascii="Arial" w:hAnsi="Arial" w:cs="Arial"/>
              </w:rPr>
              <w:t>8</w:t>
            </w:r>
            <w:r w:rsidR="00B14A87" w:rsidRPr="008C653F">
              <w:rPr>
                <w:rFonts w:ascii="Arial" w:hAnsi="Arial" w:cs="Arial"/>
              </w:rPr>
              <w:t>3</w:t>
            </w:r>
            <w:r w:rsidRPr="008C653F">
              <w:rPr>
                <w:rFonts w:ascii="Arial" w:hAnsi="Arial" w:cs="Arial"/>
              </w:rPr>
              <w:t>%</w:t>
            </w:r>
          </w:p>
        </w:tc>
      </w:tr>
      <w:tr w:rsidR="001F21EC" w:rsidRPr="0037526D" w:rsidTr="008C653F">
        <w:trPr>
          <w:jc w:val="center"/>
        </w:trPr>
        <w:tc>
          <w:tcPr>
            <w:tcW w:w="3343" w:type="dxa"/>
          </w:tcPr>
          <w:p w:rsidR="001F21EC" w:rsidRPr="008C653F" w:rsidRDefault="001F21EC" w:rsidP="00A65251">
            <w:pPr>
              <w:spacing w:line="360" w:lineRule="auto"/>
              <w:ind w:left="433"/>
              <w:jc w:val="both"/>
              <w:rPr>
                <w:rFonts w:ascii="Arial" w:hAnsi="Arial" w:cs="Arial"/>
              </w:rPr>
            </w:pPr>
            <w:r w:rsidRPr="008C653F">
              <w:rPr>
                <w:rFonts w:ascii="Arial" w:hAnsi="Arial" w:cs="Arial"/>
              </w:rPr>
              <w:t>Comunicação</w:t>
            </w:r>
          </w:p>
        </w:tc>
        <w:tc>
          <w:tcPr>
            <w:tcW w:w="2617" w:type="dxa"/>
          </w:tcPr>
          <w:p w:rsidR="001F21EC" w:rsidRPr="008C653F" w:rsidRDefault="00FE5D93" w:rsidP="00432A52">
            <w:pPr>
              <w:spacing w:line="360" w:lineRule="auto"/>
              <w:jc w:val="center"/>
              <w:rPr>
                <w:rFonts w:ascii="Arial" w:hAnsi="Arial" w:cs="Arial"/>
              </w:rPr>
            </w:pPr>
            <w:r w:rsidRPr="008C653F">
              <w:rPr>
                <w:rFonts w:ascii="Arial" w:hAnsi="Arial" w:cs="Arial"/>
              </w:rPr>
              <w:t>1</w:t>
            </w:r>
            <w:r w:rsidR="00CA5A6E" w:rsidRPr="008C653F">
              <w:rPr>
                <w:rFonts w:ascii="Arial" w:hAnsi="Arial" w:cs="Arial"/>
              </w:rPr>
              <w:t xml:space="preserve">4 </w:t>
            </w:r>
            <w:r w:rsidRPr="008C653F">
              <w:rPr>
                <w:rFonts w:ascii="Arial" w:hAnsi="Arial" w:cs="Arial"/>
              </w:rPr>
              <w:t>(</w:t>
            </w:r>
            <w:r w:rsidR="00813754" w:rsidRPr="008C653F">
              <w:rPr>
                <w:rFonts w:ascii="Arial" w:hAnsi="Arial" w:cs="Arial"/>
              </w:rPr>
              <w:t>11,75 – 14,0)</w:t>
            </w:r>
          </w:p>
        </w:tc>
        <w:tc>
          <w:tcPr>
            <w:tcW w:w="1494" w:type="dxa"/>
          </w:tcPr>
          <w:p w:rsidR="001F21EC" w:rsidRPr="008C653F" w:rsidRDefault="00813754" w:rsidP="001F21EC">
            <w:pPr>
              <w:spacing w:line="360" w:lineRule="auto"/>
              <w:jc w:val="center"/>
              <w:rPr>
                <w:rFonts w:ascii="Arial" w:hAnsi="Arial" w:cs="Arial"/>
              </w:rPr>
            </w:pPr>
            <w:r w:rsidRPr="008C653F">
              <w:rPr>
                <w:rFonts w:ascii="Arial" w:hAnsi="Arial" w:cs="Arial"/>
              </w:rPr>
              <w:t>100</w:t>
            </w:r>
            <w:r w:rsidR="00BB3328" w:rsidRPr="008C653F">
              <w:rPr>
                <w:rFonts w:ascii="Arial" w:hAnsi="Arial" w:cs="Arial"/>
              </w:rPr>
              <w:t>%</w:t>
            </w:r>
          </w:p>
        </w:tc>
      </w:tr>
      <w:tr w:rsidR="001F21EC" w:rsidRPr="0037526D" w:rsidTr="008C653F">
        <w:trPr>
          <w:jc w:val="center"/>
        </w:trPr>
        <w:tc>
          <w:tcPr>
            <w:tcW w:w="3343" w:type="dxa"/>
          </w:tcPr>
          <w:p w:rsidR="001F21EC" w:rsidRPr="008C653F" w:rsidRDefault="001F21EC" w:rsidP="00A65251">
            <w:pPr>
              <w:spacing w:line="360" w:lineRule="auto"/>
              <w:ind w:left="433"/>
              <w:jc w:val="both"/>
              <w:rPr>
                <w:rFonts w:ascii="Arial" w:hAnsi="Arial" w:cs="Arial"/>
              </w:rPr>
            </w:pPr>
            <w:r w:rsidRPr="008C653F">
              <w:rPr>
                <w:rFonts w:ascii="Arial" w:hAnsi="Arial" w:cs="Arial"/>
              </w:rPr>
              <w:t>Cognição social</w:t>
            </w:r>
          </w:p>
        </w:tc>
        <w:tc>
          <w:tcPr>
            <w:tcW w:w="2617" w:type="dxa"/>
          </w:tcPr>
          <w:p w:rsidR="001F21EC" w:rsidRPr="008C653F" w:rsidRDefault="00FE5D93" w:rsidP="00432A52">
            <w:pPr>
              <w:spacing w:line="360" w:lineRule="auto"/>
              <w:jc w:val="center"/>
              <w:rPr>
                <w:rFonts w:ascii="Arial" w:hAnsi="Arial" w:cs="Arial"/>
              </w:rPr>
            </w:pPr>
            <w:r w:rsidRPr="008C653F">
              <w:rPr>
                <w:rFonts w:ascii="Arial" w:hAnsi="Arial" w:cs="Arial"/>
              </w:rPr>
              <w:t>1</w:t>
            </w:r>
            <w:r w:rsidR="00E24ADC" w:rsidRPr="008C653F">
              <w:rPr>
                <w:rFonts w:ascii="Arial" w:hAnsi="Arial" w:cs="Arial"/>
              </w:rPr>
              <w:t>7</w:t>
            </w:r>
            <w:r w:rsidRPr="008C653F">
              <w:rPr>
                <w:rFonts w:ascii="Arial" w:hAnsi="Arial" w:cs="Arial"/>
              </w:rPr>
              <w:t>±4,9</w:t>
            </w:r>
          </w:p>
        </w:tc>
        <w:tc>
          <w:tcPr>
            <w:tcW w:w="1494" w:type="dxa"/>
          </w:tcPr>
          <w:p w:rsidR="001F21EC" w:rsidRPr="008C653F" w:rsidRDefault="001A1A37" w:rsidP="001F21EC">
            <w:pPr>
              <w:spacing w:line="360" w:lineRule="auto"/>
              <w:jc w:val="center"/>
              <w:rPr>
                <w:rFonts w:ascii="Arial" w:hAnsi="Arial" w:cs="Arial"/>
              </w:rPr>
            </w:pPr>
            <w:r w:rsidRPr="008C653F">
              <w:rPr>
                <w:rFonts w:ascii="Arial" w:hAnsi="Arial" w:cs="Arial"/>
              </w:rPr>
              <w:t>81</w:t>
            </w:r>
            <w:r w:rsidR="00BB3328" w:rsidRPr="008C653F">
              <w:rPr>
                <w:rFonts w:ascii="Arial" w:hAnsi="Arial" w:cs="Arial"/>
              </w:rPr>
              <w:t>%</w:t>
            </w:r>
          </w:p>
        </w:tc>
      </w:tr>
      <w:tr w:rsidR="001F21EC" w:rsidRPr="0037526D" w:rsidTr="008C653F">
        <w:trPr>
          <w:jc w:val="center"/>
        </w:trPr>
        <w:tc>
          <w:tcPr>
            <w:tcW w:w="3343" w:type="dxa"/>
            <w:tcBorders>
              <w:bottom w:val="single" w:sz="4" w:space="0" w:color="auto"/>
            </w:tcBorders>
          </w:tcPr>
          <w:p w:rsidR="001F21EC" w:rsidRPr="008C653F" w:rsidRDefault="001F21EC" w:rsidP="00807F40">
            <w:pPr>
              <w:spacing w:line="360" w:lineRule="auto"/>
              <w:jc w:val="both"/>
              <w:rPr>
                <w:rFonts w:ascii="Arial" w:hAnsi="Arial" w:cs="Arial"/>
                <w:b/>
              </w:rPr>
            </w:pPr>
            <w:r w:rsidRPr="008C653F">
              <w:rPr>
                <w:rFonts w:ascii="Arial" w:hAnsi="Arial" w:cs="Arial"/>
                <w:b/>
              </w:rPr>
              <w:t>Escore Total da MIF</w:t>
            </w:r>
          </w:p>
        </w:tc>
        <w:tc>
          <w:tcPr>
            <w:tcW w:w="2617" w:type="dxa"/>
            <w:tcBorders>
              <w:bottom w:val="single" w:sz="4" w:space="0" w:color="auto"/>
            </w:tcBorders>
          </w:tcPr>
          <w:p w:rsidR="001F21EC" w:rsidRPr="008C653F" w:rsidRDefault="00FE5D93" w:rsidP="00432A52">
            <w:pPr>
              <w:spacing w:line="360" w:lineRule="auto"/>
              <w:jc w:val="center"/>
              <w:rPr>
                <w:rFonts w:ascii="Arial" w:hAnsi="Arial" w:cs="Arial"/>
              </w:rPr>
            </w:pPr>
            <w:r w:rsidRPr="008C653F">
              <w:rPr>
                <w:rFonts w:ascii="Arial" w:hAnsi="Arial" w:cs="Arial"/>
              </w:rPr>
              <w:t>9</w:t>
            </w:r>
            <w:r w:rsidR="00E24ADC" w:rsidRPr="008C653F">
              <w:rPr>
                <w:rFonts w:ascii="Arial" w:hAnsi="Arial" w:cs="Arial"/>
              </w:rPr>
              <w:t>4</w:t>
            </w:r>
            <w:r w:rsidRPr="008C653F">
              <w:rPr>
                <w:rFonts w:ascii="Arial" w:hAnsi="Arial" w:cs="Arial"/>
              </w:rPr>
              <w:t>±26,5</w:t>
            </w:r>
          </w:p>
        </w:tc>
        <w:tc>
          <w:tcPr>
            <w:tcW w:w="1494" w:type="dxa"/>
            <w:tcBorders>
              <w:bottom w:val="single" w:sz="4" w:space="0" w:color="auto"/>
            </w:tcBorders>
          </w:tcPr>
          <w:p w:rsidR="001F21EC" w:rsidRPr="008C653F" w:rsidRDefault="00CE462E" w:rsidP="00CE462E">
            <w:pPr>
              <w:spacing w:line="360" w:lineRule="auto"/>
              <w:jc w:val="center"/>
              <w:rPr>
                <w:rFonts w:ascii="Arial" w:hAnsi="Arial" w:cs="Arial"/>
              </w:rPr>
            </w:pPr>
            <w:r w:rsidRPr="008C653F">
              <w:rPr>
                <w:rFonts w:ascii="Arial" w:hAnsi="Arial" w:cs="Arial"/>
              </w:rPr>
              <w:t>75%</w:t>
            </w:r>
          </w:p>
        </w:tc>
      </w:tr>
    </w:tbl>
    <w:p w:rsidR="00941179" w:rsidRDefault="00C11E41" w:rsidP="00E75BE1">
      <w:pPr>
        <w:tabs>
          <w:tab w:val="left" w:pos="7513"/>
        </w:tabs>
        <w:spacing w:after="0" w:line="240" w:lineRule="auto"/>
        <w:ind w:left="851" w:right="849"/>
        <w:jc w:val="both"/>
        <w:rPr>
          <w:rFonts w:ascii="Arial" w:hAnsi="Arial" w:cs="Arial"/>
          <w:sz w:val="20"/>
        </w:rPr>
      </w:pPr>
      <w:r>
        <w:rPr>
          <w:rFonts w:ascii="Arial" w:hAnsi="Arial" w:cs="Arial"/>
          <w:sz w:val="20"/>
        </w:rPr>
        <w:t xml:space="preserve">Legenda: </w:t>
      </w:r>
      <w:r w:rsidR="00447577">
        <w:rPr>
          <w:rFonts w:ascii="Arial" w:hAnsi="Arial" w:cs="Arial"/>
          <w:sz w:val="20"/>
        </w:rPr>
        <w:t xml:space="preserve">DP </w:t>
      </w:r>
      <w:r w:rsidR="00050D57">
        <w:rPr>
          <w:rFonts w:ascii="Arial" w:hAnsi="Arial" w:cs="Arial"/>
          <w:sz w:val="20"/>
          <w:szCs w:val="24"/>
        </w:rPr>
        <w:t>–</w:t>
      </w:r>
      <w:r w:rsidR="00447577">
        <w:rPr>
          <w:rFonts w:ascii="Arial" w:hAnsi="Arial" w:cs="Arial"/>
          <w:sz w:val="20"/>
        </w:rPr>
        <w:t xml:space="preserve"> Desvio-padrão; </w:t>
      </w:r>
      <w:r w:rsidR="00E75BE1">
        <w:rPr>
          <w:rFonts w:ascii="Arial" w:hAnsi="Arial" w:cs="Arial"/>
          <w:sz w:val="20"/>
        </w:rPr>
        <w:t xml:space="preserve">HSI </w:t>
      </w:r>
      <w:r w:rsidR="00050D57">
        <w:rPr>
          <w:rFonts w:ascii="Arial" w:hAnsi="Arial" w:cs="Arial"/>
          <w:sz w:val="20"/>
          <w:szCs w:val="24"/>
        </w:rPr>
        <w:t>–</w:t>
      </w:r>
      <w:r w:rsidR="00E75BE1">
        <w:rPr>
          <w:rFonts w:ascii="Arial" w:hAnsi="Arial" w:cs="Arial"/>
          <w:sz w:val="20"/>
        </w:rPr>
        <w:t xml:space="preserve"> Hospital Santa Izabel; IIQ </w:t>
      </w:r>
      <w:r w:rsidR="00050D57">
        <w:rPr>
          <w:rFonts w:ascii="Arial" w:hAnsi="Arial" w:cs="Arial"/>
          <w:sz w:val="20"/>
          <w:szCs w:val="24"/>
        </w:rPr>
        <w:t>–</w:t>
      </w:r>
      <w:r w:rsidR="00E75BE1">
        <w:rPr>
          <w:rFonts w:ascii="Arial" w:hAnsi="Arial" w:cs="Arial"/>
          <w:sz w:val="20"/>
        </w:rPr>
        <w:t xml:space="preserve"> Intervalo Interquartil; </w:t>
      </w:r>
      <w:r w:rsidR="00054F56">
        <w:rPr>
          <w:rFonts w:ascii="Arial" w:hAnsi="Arial" w:cs="Arial"/>
          <w:sz w:val="20"/>
        </w:rPr>
        <w:t xml:space="preserve">Md </w:t>
      </w:r>
      <w:r w:rsidR="00050D57">
        <w:rPr>
          <w:rFonts w:ascii="Arial" w:hAnsi="Arial" w:cs="Arial"/>
          <w:sz w:val="20"/>
          <w:szCs w:val="24"/>
        </w:rPr>
        <w:t>–</w:t>
      </w:r>
      <w:r w:rsidR="00054F56">
        <w:rPr>
          <w:rFonts w:ascii="Arial" w:hAnsi="Arial" w:cs="Arial"/>
          <w:sz w:val="20"/>
        </w:rPr>
        <w:t xml:space="preserve"> Mediana; </w:t>
      </w:r>
      <w:r w:rsidR="00E75BE1">
        <w:rPr>
          <w:rFonts w:ascii="Arial" w:hAnsi="Arial" w:cs="Arial"/>
          <w:sz w:val="20"/>
        </w:rPr>
        <w:t xml:space="preserve">MIF </w:t>
      </w:r>
      <w:r w:rsidR="00050D57">
        <w:rPr>
          <w:rFonts w:ascii="Arial" w:hAnsi="Arial" w:cs="Arial"/>
          <w:sz w:val="20"/>
          <w:szCs w:val="24"/>
        </w:rPr>
        <w:t>–</w:t>
      </w:r>
      <w:r w:rsidR="00E75BE1">
        <w:rPr>
          <w:rFonts w:ascii="Arial" w:hAnsi="Arial" w:cs="Arial"/>
          <w:sz w:val="20"/>
        </w:rPr>
        <w:t xml:space="preserve"> </w:t>
      </w:r>
      <w:r w:rsidR="00E75BE1" w:rsidRPr="007D1116">
        <w:rPr>
          <w:rFonts w:ascii="Arial" w:hAnsi="Arial" w:cs="Arial"/>
          <w:sz w:val="20"/>
        </w:rPr>
        <w:t>Medida de Independência Funcional</w:t>
      </w:r>
      <w:r w:rsidR="00E75BE1">
        <w:rPr>
          <w:rFonts w:ascii="Arial" w:hAnsi="Arial" w:cs="Arial"/>
          <w:sz w:val="20"/>
        </w:rPr>
        <w:t>;</w:t>
      </w:r>
      <w:r w:rsidR="00681A98">
        <w:rPr>
          <w:rFonts w:ascii="Arial" w:hAnsi="Arial" w:cs="Arial"/>
          <w:sz w:val="20"/>
        </w:rPr>
        <w:t xml:space="preserve"> </w:t>
      </w:r>
      <w:r w:rsidR="00D36347">
        <w:rPr>
          <w:rFonts w:ascii="Arial" w:hAnsi="Arial" w:cs="Arial"/>
          <w:b/>
          <w:sz w:val="20"/>
        </w:rPr>
        <w:t>*</w:t>
      </w:r>
      <w:r>
        <w:rPr>
          <w:rFonts w:ascii="Arial" w:hAnsi="Arial" w:cs="Arial"/>
          <w:b/>
          <w:sz w:val="20"/>
        </w:rPr>
        <w:t xml:space="preserve"> </w:t>
      </w:r>
      <w:r w:rsidR="00050D57">
        <w:rPr>
          <w:rFonts w:ascii="Arial" w:hAnsi="Arial" w:cs="Arial"/>
          <w:sz w:val="20"/>
          <w:szCs w:val="24"/>
        </w:rPr>
        <w:t>–</w:t>
      </w:r>
      <w:r w:rsidR="00652C52">
        <w:rPr>
          <w:rFonts w:ascii="Arial" w:hAnsi="Arial" w:cs="Arial"/>
          <w:b/>
          <w:sz w:val="20"/>
        </w:rPr>
        <w:t xml:space="preserve"> </w:t>
      </w:r>
      <w:r w:rsidR="00941179" w:rsidRPr="00941179">
        <w:rPr>
          <w:rFonts w:ascii="Arial" w:hAnsi="Arial" w:cs="Arial"/>
          <w:sz w:val="20"/>
        </w:rPr>
        <w:t>P</w:t>
      </w:r>
      <w:r w:rsidR="00941179">
        <w:rPr>
          <w:rFonts w:ascii="Arial" w:hAnsi="Arial" w:cs="Arial"/>
          <w:sz w:val="20"/>
        </w:rPr>
        <w:t>ercentual da pontua</w:t>
      </w:r>
      <w:r w:rsidR="000A0BDE">
        <w:rPr>
          <w:rFonts w:ascii="Arial" w:hAnsi="Arial" w:cs="Arial"/>
          <w:sz w:val="20"/>
        </w:rPr>
        <w:t>ção</w:t>
      </w:r>
      <w:r w:rsidR="00941179">
        <w:rPr>
          <w:rFonts w:ascii="Arial" w:hAnsi="Arial" w:cs="Arial"/>
          <w:sz w:val="20"/>
        </w:rPr>
        <w:t xml:space="preserve"> média </w:t>
      </w:r>
      <w:r w:rsidR="006F0D7D">
        <w:rPr>
          <w:rFonts w:ascii="Arial" w:hAnsi="Arial" w:cs="Arial"/>
          <w:sz w:val="20"/>
        </w:rPr>
        <w:t>obtida</w:t>
      </w:r>
      <w:r w:rsidR="007063AF">
        <w:rPr>
          <w:rFonts w:ascii="Arial" w:hAnsi="Arial" w:cs="Arial"/>
          <w:sz w:val="20"/>
        </w:rPr>
        <w:t>,</w:t>
      </w:r>
      <w:r w:rsidR="006F0D7D">
        <w:rPr>
          <w:rFonts w:ascii="Arial" w:hAnsi="Arial" w:cs="Arial"/>
          <w:sz w:val="20"/>
        </w:rPr>
        <w:t xml:space="preserve"> </w:t>
      </w:r>
      <w:r w:rsidR="00941179">
        <w:rPr>
          <w:rFonts w:ascii="Arial" w:hAnsi="Arial" w:cs="Arial"/>
          <w:sz w:val="20"/>
        </w:rPr>
        <w:t>em relaçã</w:t>
      </w:r>
      <w:r w:rsidR="00FF5BC5">
        <w:rPr>
          <w:rFonts w:ascii="Arial" w:hAnsi="Arial" w:cs="Arial"/>
          <w:sz w:val="20"/>
        </w:rPr>
        <w:t xml:space="preserve">o ao </w:t>
      </w:r>
      <w:r w:rsidR="007010BB">
        <w:rPr>
          <w:rFonts w:ascii="Arial" w:hAnsi="Arial" w:cs="Arial"/>
          <w:sz w:val="20"/>
        </w:rPr>
        <w:t>escore máximo possível</w:t>
      </w:r>
      <w:r w:rsidR="00FF5BC5">
        <w:rPr>
          <w:rFonts w:ascii="Arial" w:hAnsi="Arial" w:cs="Arial"/>
          <w:sz w:val="20"/>
        </w:rPr>
        <w:t xml:space="preserve"> </w:t>
      </w:r>
      <w:r w:rsidR="00EF2B81">
        <w:rPr>
          <w:rFonts w:ascii="Arial" w:hAnsi="Arial" w:cs="Arial"/>
          <w:sz w:val="20"/>
        </w:rPr>
        <w:t>d</w:t>
      </w:r>
      <w:r w:rsidR="00FF5BC5">
        <w:rPr>
          <w:rFonts w:ascii="Arial" w:hAnsi="Arial" w:cs="Arial"/>
          <w:sz w:val="20"/>
        </w:rPr>
        <w:t>a</w:t>
      </w:r>
      <w:r w:rsidR="00941179">
        <w:rPr>
          <w:rFonts w:ascii="Arial" w:hAnsi="Arial" w:cs="Arial"/>
          <w:sz w:val="20"/>
        </w:rPr>
        <w:t xml:space="preserve"> dimensão/domínio.</w:t>
      </w:r>
    </w:p>
    <w:p w:rsidR="007D1116" w:rsidRDefault="007D1116" w:rsidP="0037526D">
      <w:pPr>
        <w:spacing w:after="0" w:line="360" w:lineRule="auto"/>
        <w:jc w:val="both"/>
        <w:rPr>
          <w:rFonts w:ascii="Arial" w:hAnsi="Arial" w:cs="Arial"/>
          <w:sz w:val="24"/>
        </w:rPr>
      </w:pPr>
    </w:p>
    <w:p w:rsidR="007E156C" w:rsidRDefault="00257414" w:rsidP="0037526D">
      <w:pPr>
        <w:spacing w:after="0" w:line="360" w:lineRule="auto"/>
        <w:jc w:val="both"/>
        <w:rPr>
          <w:rFonts w:ascii="Arial" w:hAnsi="Arial" w:cs="Arial"/>
          <w:sz w:val="24"/>
        </w:rPr>
      </w:pPr>
      <w:r>
        <w:rPr>
          <w:rFonts w:ascii="Arial" w:hAnsi="Arial" w:cs="Arial"/>
          <w:sz w:val="24"/>
        </w:rPr>
        <w:t>Os resultados referentes à</w:t>
      </w:r>
      <w:r w:rsidR="00296A5D">
        <w:rPr>
          <w:rFonts w:ascii="Arial" w:hAnsi="Arial" w:cs="Arial"/>
          <w:sz w:val="24"/>
        </w:rPr>
        <w:t xml:space="preserve"> </w:t>
      </w:r>
      <w:r w:rsidR="00383F14">
        <w:rPr>
          <w:rFonts w:ascii="Arial" w:hAnsi="Arial" w:cs="Arial"/>
          <w:sz w:val="24"/>
        </w:rPr>
        <w:t>avaliação da</w:t>
      </w:r>
      <w:r>
        <w:rPr>
          <w:rFonts w:ascii="Arial" w:hAnsi="Arial" w:cs="Arial"/>
          <w:sz w:val="24"/>
        </w:rPr>
        <w:t xml:space="preserve"> QVRS das crianças e adolescentes </w:t>
      </w:r>
      <w:r w:rsidR="00383F14">
        <w:rPr>
          <w:rFonts w:ascii="Arial" w:hAnsi="Arial" w:cs="Arial"/>
          <w:sz w:val="24"/>
        </w:rPr>
        <w:t>participantes d</w:t>
      </w:r>
      <w:r w:rsidR="005C2CD0">
        <w:rPr>
          <w:rFonts w:ascii="Arial" w:hAnsi="Arial" w:cs="Arial"/>
          <w:sz w:val="24"/>
        </w:rPr>
        <w:t>este estudo</w:t>
      </w:r>
      <w:r>
        <w:rPr>
          <w:rFonts w:ascii="Arial" w:hAnsi="Arial" w:cs="Arial"/>
          <w:sz w:val="24"/>
        </w:rPr>
        <w:t xml:space="preserve"> estão </w:t>
      </w:r>
      <w:r w:rsidR="005C2CD0">
        <w:rPr>
          <w:rFonts w:ascii="Arial" w:hAnsi="Arial" w:cs="Arial"/>
          <w:sz w:val="24"/>
        </w:rPr>
        <w:t>evidenciad</w:t>
      </w:r>
      <w:r>
        <w:rPr>
          <w:rFonts w:ascii="Arial" w:hAnsi="Arial" w:cs="Arial"/>
          <w:sz w:val="24"/>
        </w:rPr>
        <w:t xml:space="preserve">os na </w:t>
      </w:r>
      <w:r w:rsidR="000F52E2">
        <w:rPr>
          <w:rFonts w:ascii="Arial" w:hAnsi="Arial" w:cs="Arial"/>
          <w:sz w:val="24"/>
        </w:rPr>
        <w:t>tabela 3</w:t>
      </w:r>
      <w:r>
        <w:rPr>
          <w:rFonts w:ascii="Arial" w:hAnsi="Arial" w:cs="Arial"/>
          <w:sz w:val="24"/>
        </w:rPr>
        <w:t xml:space="preserve">. </w:t>
      </w:r>
      <w:r w:rsidR="005A2113">
        <w:rPr>
          <w:rFonts w:ascii="Arial" w:hAnsi="Arial" w:cs="Arial"/>
          <w:sz w:val="24"/>
        </w:rPr>
        <w:t>A média da qualidade de vida geral (escore total) foi 65±15,2 pontos. O domínio capacidade física apresentou maior pontuação comparado ao domínio saúde psicossocial (67±25,7 e 64±15,2 pontos, respectivamente</w:t>
      </w:r>
      <w:r w:rsidR="005C2CD0">
        <w:rPr>
          <w:rFonts w:ascii="Arial" w:hAnsi="Arial" w:cs="Arial"/>
          <w:sz w:val="24"/>
        </w:rPr>
        <w:t>).</w:t>
      </w:r>
    </w:p>
    <w:p w:rsidR="005C2CD0" w:rsidRDefault="005C2CD0" w:rsidP="0037526D">
      <w:pPr>
        <w:spacing w:after="0" w:line="360" w:lineRule="auto"/>
        <w:jc w:val="both"/>
        <w:rPr>
          <w:rFonts w:ascii="Arial" w:hAnsi="Arial" w:cs="Arial"/>
          <w:sz w:val="24"/>
        </w:rPr>
      </w:pPr>
    </w:p>
    <w:p w:rsidR="009F2013" w:rsidRDefault="009F2013" w:rsidP="0037526D">
      <w:pPr>
        <w:spacing w:after="0" w:line="360" w:lineRule="auto"/>
        <w:jc w:val="both"/>
        <w:rPr>
          <w:rFonts w:ascii="Arial" w:hAnsi="Arial" w:cs="Arial"/>
          <w:sz w:val="24"/>
        </w:rPr>
      </w:pPr>
    </w:p>
    <w:p w:rsidR="007E156C" w:rsidRDefault="007E156C" w:rsidP="0037526D">
      <w:pPr>
        <w:spacing w:after="0" w:line="360" w:lineRule="auto"/>
        <w:jc w:val="both"/>
        <w:rPr>
          <w:rFonts w:ascii="Arial" w:hAnsi="Arial" w:cs="Arial"/>
          <w:sz w:val="24"/>
        </w:rPr>
      </w:pPr>
    </w:p>
    <w:p w:rsidR="005A2113" w:rsidRDefault="005A2113" w:rsidP="0037526D">
      <w:pPr>
        <w:spacing w:after="0" w:line="360" w:lineRule="auto"/>
        <w:jc w:val="both"/>
        <w:rPr>
          <w:rFonts w:ascii="Arial" w:hAnsi="Arial" w:cs="Arial"/>
          <w:sz w:val="24"/>
        </w:rPr>
      </w:pPr>
    </w:p>
    <w:p w:rsidR="005A2113" w:rsidRDefault="005A2113" w:rsidP="0037526D">
      <w:pPr>
        <w:spacing w:after="0" w:line="360" w:lineRule="auto"/>
        <w:jc w:val="both"/>
        <w:rPr>
          <w:rFonts w:ascii="Arial" w:hAnsi="Arial" w:cs="Arial"/>
          <w:sz w:val="24"/>
        </w:rPr>
      </w:pPr>
    </w:p>
    <w:p w:rsidR="005A2113" w:rsidRDefault="005A2113" w:rsidP="0037526D">
      <w:pPr>
        <w:spacing w:after="0" w:line="360" w:lineRule="auto"/>
        <w:jc w:val="both"/>
        <w:rPr>
          <w:rFonts w:ascii="Arial" w:hAnsi="Arial" w:cs="Arial"/>
          <w:sz w:val="24"/>
        </w:rPr>
      </w:pPr>
    </w:p>
    <w:p w:rsidR="005A2113" w:rsidRDefault="005A2113" w:rsidP="0037526D">
      <w:pPr>
        <w:spacing w:after="0" w:line="360" w:lineRule="auto"/>
        <w:jc w:val="both"/>
        <w:rPr>
          <w:rFonts w:ascii="Arial" w:hAnsi="Arial" w:cs="Arial"/>
          <w:sz w:val="24"/>
        </w:rPr>
      </w:pPr>
    </w:p>
    <w:p w:rsidR="007E156C" w:rsidRDefault="007E156C" w:rsidP="0037526D">
      <w:pPr>
        <w:spacing w:after="0" w:line="360" w:lineRule="auto"/>
        <w:jc w:val="both"/>
        <w:rPr>
          <w:rFonts w:ascii="Arial" w:hAnsi="Arial" w:cs="Arial"/>
          <w:sz w:val="24"/>
        </w:rPr>
      </w:pPr>
    </w:p>
    <w:p w:rsidR="007E156C" w:rsidRDefault="007E156C" w:rsidP="0037526D">
      <w:pPr>
        <w:spacing w:after="0" w:line="360" w:lineRule="auto"/>
        <w:jc w:val="both"/>
        <w:rPr>
          <w:rFonts w:ascii="Arial" w:hAnsi="Arial" w:cs="Arial"/>
          <w:sz w:val="24"/>
        </w:rPr>
      </w:pPr>
    </w:p>
    <w:p w:rsidR="007A1E7F" w:rsidRDefault="007A1E7F" w:rsidP="007E156C">
      <w:pPr>
        <w:pStyle w:val="EstiloDissertao"/>
        <w:ind w:left="567" w:right="566"/>
      </w:pPr>
      <w:bookmarkStart w:id="30" w:name="_Toc496543268"/>
      <w:bookmarkStart w:id="31" w:name="_Toc496553540"/>
      <w:r w:rsidRPr="007A1E7F">
        <w:rPr>
          <w:b/>
        </w:rPr>
        <w:lastRenderedPageBreak/>
        <w:t xml:space="preserve">Tabela </w:t>
      </w:r>
      <w:r w:rsidRPr="007A1E7F">
        <w:rPr>
          <w:b/>
        </w:rPr>
        <w:fldChar w:fldCharType="begin"/>
      </w:r>
      <w:r w:rsidRPr="007A1E7F">
        <w:rPr>
          <w:b/>
        </w:rPr>
        <w:instrText xml:space="preserve"> SEQ Tabela \* ARABIC </w:instrText>
      </w:r>
      <w:r w:rsidRPr="007A1E7F">
        <w:rPr>
          <w:b/>
        </w:rPr>
        <w:fldChar w:fldCharType="separate"/>
      </w:r>
      <w:r w:rsidR="005E2BE9">
        <w:rPr>
          <w:b/>
          <w:noProof/>
        </w:rPr>
        <w:t>3</w:t>
      </w:r>
      <w:r w:rsidRPr="007A1E7F">
        <w:rPr>
          <w:b/>
        </w:rPr>
        <w:fldChar w:fldCharType="end"/>
      </w:r>
      <w:r w:rsidRPr="007A1E7F">
        <w:rPr>
          <w:b/>
        </w:rPr>
        <w:t xml:space="preserve"> – </w:t>
      </w:r>
      <w:r w:rsidR="007E156C">
        <w:t>Escores dos domínios e total do instrumento PedsQL</w:t>
      </w:r>
      <w:r w:rsidR="007E156C" w:rsidRPr="007E156C">
        <w:rPr>
          <w:vertAlign w:val="superscript"/>
        </w:rPr>
        <w:t>TM</w:t>
      </w:r>
      <w:r w:rsidR="007E156C">
        <w:t xml:space="preserve"> 4.0 aplicado aos pais das crianças e adolescentes acompanhados no ambulatório de ortopedia do HSI, </w:t>
      </w:r>
      <w:r w:rsidR="005906C7" w:rsidRPr="008160C5">
        <w:t xml:space="preserve">no período de </w:t>
      </w:r>
      <w:r w:rsidR="005906C7">
        <w:t>janeiro de 2012</w:t>
      </w:r>
      <w:r w:rsidR="005906C7" w:rsidRPr="008160C5">
        <w:t xml:space="preserve"> a </w:t>
      </w:r>
      <w:r w:rsidR="005906C7">
        <w:t>outubro d</w:t>
      </w:r>
      <w:r w:rsidR="005906C7" w:rsidRPr="008160C5">
        <w:t>e 201</w:t>
      </w:r>
      <w:r w:rsidR="005906C7">
        <w:t>4</w:t>
      </w:r>
      <w:r w:rsidRPr="00BA5B71">
        <w:t>.</w:t>
      </w:r>
      <w:bookmarkEnd w:id="30"/>
      <w:bookmarkEnd w:id="31"/>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6"/>
        <w:gridCol w:w="2271"/>
      </w:tblGrid>
      <w:tr w:rsidR="003C1128" w:rsidRPr="0037526D" w:rsidTr="003C1128">
        <w:trPr>
          <w:jc w:val="center"/>
        </w:trPr>
        <w:tc>
          <w:tcPr>
            <w:tcW w:w="5626" w:type="dxa"/>
            <w:tcBorders>
              <w:top w:val="single" w:sz="4" w:space="0" w:color="auto"/>
              <w:bottom w:val="single" w:sz="4" w:space="0" w:color="auto"/>
            </w:tcBorders>
          </w:tcPr>
          <w:p w:rsidR="003C1128" w:rsidRPr="008B6B6A" w:rsidRDefault="003C1128" w:rsidP="000A5774">
            <w:pPr>
              <w:tabs>
                <w:tab w:val="left" w:pos="3332"/>
              </w:tabs>
              <w:spacing w:line="360" w:lineRule="auto"/>
              <w:jc w:val="center"/>
              <w:rPr>
                <w:rFonts w:ascii="Arial" w:hAnsi="Arial" w:cs="Arial"/>
                <w:b/>
              </w:rPr>
            </w:pPr>
            <w:r w:rsidRPr="008C653F">
              <w:rPr>
                <w:rFonts w:ascii="Arial" w:hAnsi="Arial" w:cs="Arial"/>
                <w:b/>
              </w:rPr>
              <w:t>Domínios do PedsQL</w:t>
            </w:r>
            <w:r w:rsidRPr="008C653F">
              <w:rPr>
                <w:rFonts w:ascii="Arial" w:hAnsi="Arial" w:cs="Arial"/>
                <w:b/>
                <w:vertAlign w:val="superscript"/>
              </w:rPr>
              <w:t>TM</w:t>
            </w:r>
            <w:r>
              <w:rPr>
                <w:rFonts w:ascii="Arial" w:hAnsi="Arial" w:cs="Arial"/>
                <w:b/>
              </w:rPr>
              <w:t xml:space="preserve"> 4.0</w:t>
            </w:r>
          </w:p>
        </w:tc>
        <w:tc>
          <w:tcPr>
            <w:tcW w:w="2271" w:type="dxa"/>
            <w:tcBorders>
              <w:top w:val="single" w:sz="4" w:space="0" w:color="auto"/>
              <w:bottom w:val="single" w:sz="4" w:space="0" w:color="auto"/>
            </w:tcBorders>
          </w:tcPr>
          <w:p w:rsidR="003C1128" w:rsidRPr="008C653F" w:rsidRDefault="003C1128" w:rsidP="006E35D0">
            <w:pPr>
              <w:spacing w:line="360" w:lineRule="auto"/>
              <w:jc w:val="center"/>
              <w:rPr>
                <w:rFonts w:ascii="Arial" w:hAnsi="Arial" w:cs="Arial"/>
                <w:b/>
              </w:rPr>
            </w:pPr>
            <w:r w:rsidRPr="008C653F">
              <w:rPr>
                <w:rFonts w:ascii="Arial" w:hAnsi="Arial" w:cs="Arial"/>
                <w:b/>
              </w:rPr>
              <w:t xml:space="preserve">Média±DP </w:t>
            </w:r>
          </w:p>
        </w:tc>
      </w:tr>
      <w:tr w:rsidR="003C1128" w:rsidRPr="0037526D" w:rsidTr="003C1128">
        <w:trPr>
          <w:jc w:val="center"/>
        </w:trPr>
        <w:tc>
          <w:tcPr>
            <w:tcW w:w="5626" w:type="dxa"/>
            <w:tcBorders>
              <w:top w:val="single" w:sz="4" w:space="0" w:color="auto"/>
            </w:tcBorders>
          </w:tcPr>
          <w:p w:rsidR="003C1128" w:rsidRPr="008C653F" w:rsidRDefault="003C1128" w:rsidP="000A5774">
            <w:pPr>
              <w:spacing w:line="360" w:lineRule="auto"/>
              <w:jc w:val="both"/>
              <w:rPr>
                <w:rFonts w:ascii="Arial" w:hAnsi="Arial" w:cs="Arial"/>
                <w:b/>
              </w:rPr>
            </w:pPr>
            <w:r w:rsidRPr="008C653F">
              <w:rPr>
                <w:rFonts w:ascii="Arial" w:hAnsi="Arial" w:cs="Arial"/>
                <w:b/>
              </w:rPr>
              <w:t>Capacidade física</w:t>
            </w:r>
          </w:p>
        </w:tc>
        <w:tc>
          <w:tcPr>
            <w:tcW w:w="2271" w:type="dxa"/>
            <w:tcBorders>
              <w:top w:val="single" w:sz="4" w:space="0" w:color="auto"/>
            </w:tcBorders>
          </w:tcPr>
          <w:p w:rsidR="003C1128" w:rsidRPr="008C653F" w:rsidRDefault="003C1128" w:rsidP="006E35D0">
            <w:pPr>
              <w:spacing w:line="360" w:lineRule="auto"/>
              <w:jc w:val="center"/>
              <w:rPr>
                <w:rFonts w:ascii="Arial" w:hAnsi="Arial" w:cs="Arial"/>
              </w:rPr>
            </w:pPr>
            <w:r w:rsidRPr="008C653F">
              <w:rPr>
                <w:rFonts w:ascii="Arial" w:hAnsi="Arial" w:cs="Arial"/>
              </w:rPr>
              <w:t>67±25,7</w:t>
            </w:r>
          </w:p>
        </w:tc>
      </w:tr>
      <w:tr w:rsidR="003C1128" w:rsidRPr="0037526D" w:rsidTr="003C1128">
        <w:trPr>
          <w:jc w:val="center"/>
        </w:trPr>
        <w:tc>
          <w:tcPr>
            <w:tcW w:w="5626" w:type="dxa"/>
          </w:tcPr>
          <w:p w:rsidR="003C1128" w:rsidRPr="008C653F" w:rsidRDefault="003C1128" w:rsidP="00712D2A">
            <w:pPr>
              <w:spacing w:line="360" w:lineRule="auto"/>
              <w:jc w:val="both"/>
              <w:rPr>
                <w:rFonts w:ascii="Arial" w:hAnsi="Arial" w:cs="Arial"/>
                <w:b/>
              </w:rPr>
            </w:pPr>
            <w:r w:rsidRPr="008C653F">
              <w:rPr>
                <w:rFonts w:ascii="Arial" w:hAnsi="Arial" w:cs="Arial"/>
                <w:b/>
              </w:rPr>
              <w:t>Saúde Psicossocial</w:t>
            </w:r>
          </w:p>
        </w:tc>
        <w:tc>
          <w:tcPr>
            <w:tcW w:w="2271" w:type="dxa"/>
          </w:tcPr>
          <w:p w:rsidR="003C1128" w:rsidRPr="008C653F" w:rsidRDefault="003C1128" w:rsidP="006E35D0">
            <w:pPr>
              <w:spacing w:line="360" w:lineRule="auto"/>
              <w:jc w:val="center"/>
              <w:rPr>
                <w:rFonts w:ascii="Arial" w:hAnsi="Arial" w:cs="Arial"/>
              </w:rPr>
            </w:pPr>
            <w:r w:rsidRPr="008C653F">
              <w:rPr>
                <w:rFonts w:ascii="Arial" w:hAnsi="Arial" w:cs="Arial"/>
              </w:rPr>
              <w:t>64±15,2</w:t>
            </w:r>
          </w:p>
        </w:tc>
      </w:tr>
      <w:tr w:rsidR="003C1128" w:rsidRPr="0037526D" w:rsidTr="003C1128">
        <w:trPr>
          <w:jc w:val="center"/>
        </w:trPr>
        <w:tc>
          <w:tcPr>
            <w:tcW w:w="5626" w:type="dxa"/>
          </w:tcPr>
          <w:p w:rsidR="003C1128" w:rsidRPr="008C653F" w:rsidRDefault="00901B74" w:rsidP="00901B74">
            <w:pPr>
              <w:spacing w:line="360" w:lineRule="auto"/>
              <w:ind w:left="456"/>
              <w:jc w:val="both"/>
              <w:rPr>
                <w:rFonts w:ascii="Arial" w:hAnsi="Arial" w:cs="Arial"/>
              </w:rPr>
            </w:pPr>
            <w:r>
              <w:rPr>
                <w:rFonts w:ascii="Arial" w:hAnsi="Arial" w:cs="Arial"/>
              </w:rPr>
              <w:t>Aspecto emocional</w:t>
            </w:r>
          </w:p>
        </w:tc>
        <w:tc>
          <w:tcPr>
            <w:tcW w:w="2271" w:type="dxa"/>
          </w:tcPr>
          <w:p w:rsidR="003C1128" w:rsidRPr="008C653F" w:rsidRDefault="003C1128" w:rsidP="006E35D0">
            <w:pPr>
              <w:spacing w:line="360" w:lineRule="auto"/>
              <w:jc w:val="center"/>
              <w:rPr>
                <w:rFonts w:ascii="Arial" w:hAnsi="Arial" w:cs="Arial"/>
              </w:rPr>
            </w:pPr>
            <w:r w:rsidRPr="008C653F">
              <w:rPr>
                <w:rFonts w:ascii="Arial" w:hAnsi="Arial" w:cs="Arial"/>
              </w:rPr>
              <w:t>69±21,0</w:t>
            </w:r>
          </w:p>
        </w:tc>
      </w:tr>
      <w:tr w:rsidR="003C1128" w:rsidRPr="0037526D" w:rsidTr="003C1128">
        <w:trPr>
          <w:jc w:val="center"/>
        </w:trPr>
        <w:tc>
          <w:tcPr>
            <w:tcW w:w="5626" w:type="dxa"/>
          </w:tcPr>
          <w:p w:rsidR="003C1128" w:rsidRPr="008C653F" w:rsidRDefault="003C1128" w:rsidP="00901B74">
            <w:pPr>
              <w:spacing w:line="360" w:lineRule="auto"/>
              <w:ind w:left="456"/>
              <w:jc w:val="both"/>
              <w:rPr>
                <w:rFonts w:ascii="Arial" w:hAnsi="Arial" w:cs="Arial"/>
              </w:rPr>
            </w:pPr>
            <w:r w:rsidRPr="008C653F">
              <w:rPr>
                <w:rFonts w:ascii="Arial" w:hAnsi="Arial" w:cs="Arial"/>
              </w:rPr>
              <w:t>Aspecto socia</w:t>
            </w:r>
            <w:r w:rsidR="00901B74">
              <w:rPr>
                <w:rFonts w:ascii="Arial" w:hAnsi="Arial" w:cs="Arial"/>
              </w:rPr>
              <w:t>l</w:t>
            </w:r>
          </w:p>
        </w:tc>
        <w:tc>
          <w:tcPr>
            <w:tcW w:w="2271" w:type="dxa"/>
          </w:tcPr>
          <w:p w:rsidR="003C1128" w:rsidRPr="008C653F" w:rsidRDefault="003C1128" w:rsidP="006E35D0">
            <w:pPr>
              <w:spacing w:line="360" w:lineRule="auto"/>
              <w:jc w:val="center"/>
              <w:rPr>
                <w:rFonts w:ascii="Arial" w:hAnsi="Arial" w:cs="Arial"/>
              </w:rPr>
            </w:pPr>
            <w:r w:rsidRPr="008C653F">
              <w:rPr>
                <w:rFonts w:ascii="Arial" w:hAnsi="Arial" w:cs="Arial"/>
              </w:rPr>
              <w:t>64±22,1</w:t>
            </w:r>
          </w:p>
        </w:tc>
      </w:tr>
      <w:tr w:rsidR="003C1128" w:rsidRPr="0037526D" w:rsidTr="003C1128">
        <w:trPr>
          <w:jc w:val="center"/>
        </w:trPr>
        <w:tc>
          <w:tcPr>
            <w:tcW w:w="5626" w:type="dxa"/>
          </w:tcPr>
          <w:p w:rsidR="003C1128" w:rsidRPr="008C653F" w:rsidRDefault="00901B74" w:rsidP="00901B74">
            <w:pPr>
              <w:spacing w:line="360" w:lineRule="auto"/>
              <w:ind w:left="456"/>
              <w:jc w:val="both"/>
              <w:rPr>
                <w:rFonts w:ascii="Arial" w:hAnsi="Arial" w:cs="Arial"/>
              </w:rPr>
            </w:pPr>
            <w:r>
              <w:rPr>
                <w:rFonts w:ascii="Arial" w:hAnsi="Arial" w:cs="Arial"/>
              </w:rPr>
              <w:t>Atividade escolar</w:t>
            </w:r>
          </w:p>
        </w:tc>
        <w:tc>
          <w:tcPr>
            <w:tcW w:w="2271" w:type="dxa"/>
          </w:tcPr>
          <w:p w:rsidR="003C1128" w:rsidRPr="008C653F" w:rsidRDefault="003C1128" w:rsidP="006E35D0">
            <w:pPr>
              <w:spacing w:line="360" w:lineRule="auto"/>
              <w:jc w:val="center"/>
              <w:rPr>
                <w:rFonts w:ascii="Arial" w:hAnsi="Arial" w:cs="Arial"/>
              </w:rPr>
            </w:pPr>
            <w:r w:rsidRPr="008C653F">
              <w:rPr>
                <w:rFonts w:ascii="Arial" w:hAnsi="Arial" w:cs="Arial"/>
              </w:rPr>
              <w:t>60±22,6</w:t>
            </w:r>
          </w:p>
        </w:tc>
      </w:tr>
      <w:tr w:rsidR="003C1128" w:rsidRPr="0037526D" w:rsidTr="003C1128">
        <w:trPr>
          <w:jc w:val="center"/>
        </w:trPr>
        <w:tc>
          <w:tcPr>
            <w:tcW w:w="5626" w:type="dxa"/>
            <w:tcBorders>
              <w:bottom w:val="single" w:sz="4" w:space="0" w:color="auto"/>
            </w:tcBorders>
          </w:tcPr>
          <w:p w:rsidR="003C1128" w:rsidRPr="008C653F" w:rsidRDefault="003C1128" w:rsidP="000A5774">
            <w:pPr>
              <w:spacing w:line="360" w:lineRule="auto"/>
              <w:jc w:val="both"/>
              <w:rPr>
                <w:rFonts w:ascii="Arial" w:hAnsi="Arial" w:cs="Arial"/>
                <w:b/>
              </w:rPr>
            </w:pPr>
            <w:r w:rsidRPr="008C653F">
              <w:rPr>
                <w:rFonts w:ascii="Arial" w:hAnsi="Arial" w:cs="Arial"/>
                <w:b/>
              </w:rPr>
              <w:t>Escore Total do PedsQL</w:t>
            </w:r>
            <w:r w:rsidRPr="008C653F">
              <w:rPr>
                <w:rFonts w:ascii="Arial" w:hAnsi="Arial" w:cs="Arial"/>
                <w:b/>
                <w:vertAlign w:val="superscript"/>
              </w:rPr>
              <w:t>TM</w:t>
            </w:r>
          </w:p>
        </w:tc>
        <w:tc>
          <w:tcPr>
            <w:tcW w:w="2271" w:type="dxa"/>
            <w:tcBorders>
              <w:bottom w:val="single" w:sz="4" w:space="0" w:color="auto"/>
            </w:tcBorders>
          </w:tcPr>
          <w:p w:rsidR="003C1128" w:rsidRPr="008C653F" w:rsidRDefault="003C1128" w:rsidP="006E35D0">
            <w:pPr>
              <w:spacing w:line="360" w:lineRule="auto"/>
              <w:jc w:val="center"/>
              <w:rPr>
                <w:rFonts w:ascii="Arial" w:hAnsi="Arial" w:cs="Arial"/>
              </w:rPr>
            </w:pPr>
            <w:r w:rsidRPr="008C653F">
              <w:rPr>
                <w:rFonts w:ascii="Arial" w:hAnsi="Arial" w:cs="Arial"/>
              </w:rPr>
              <w:t>65±15,2</w:t>
            </w:r>
          </w:p>
        </w:tc>
      </w:tr>
    </w:tbl>
    <w:p w:rsidR="00622230" w:rsidRDefault="00622230" w:rsidP="00F44284">
      <w:pPr>
        <w:tabs>
          <w:tab w:val="left" w:pos="7513"/>
        </w:tabs>
        <w:spacing w:after="0" w:line="240" w:lineRule="auto"/>
        <w:ind w:left="567" w:right="566"/>
        <w:jc w:val="both"/>
        <w:rPr>
          <w:rFonts w:ascii="Arial" w:hAnsi="Arial" w:cs="Arial"/>
          <w:sz w:val="20"/>
        </w:rPr>
      </w:pPr>
      <w:r w:rsidRPr="007D1116">
        <w:rPr>
          <w:rFonts w:ascii="Arial" w:hAnsi="Arial" w:cs="Arial"/>
          <w:sz w:val="20"/>
        </w:rPr>
        <w:t xml:space="preserve">Legenda: </w:t>
      </w:r>
      <w:r w:rsidR="007E156C">
        <w:rPr>
          <w:rFonts w:ascii="Arial" w:hAnsi="Arial" w:cs="Arial"/>
          <w:sz w:val="20"/>
        </w:rPr>
        <w:t xml:space="preserve">HSI </w:t>
      </w:r>
      <w:r w:rsidR="00050D57">
        <w:rPr>
          <w:rFonts w:ascii="Arial" w:hAnsi="Arial" w:cs="Arial"/>
          <w:sz w:val="20"/>
          <w:szCs w:val="24"/>
        </w:rPr>
        <w:t>–</w:t>
      </w:r>
      <w:r w:rsidR="007E156C">
        <w:rPr>
          <w:rFonts w:ascii="Arial" w:hAnsi="Arial" w:cs="Arial"/>
          <w:sz w:val="20"/>
        </w:rPr>
        <w:t xml:space="preserve"> Hospital Santa Izabel</w:t>
      </w:r>
      <w:r w:rsidR="00383F14">
        <w:rPr>
          <w:rFonts w:ascii="Arial" w:hAnsi="Arial" w:cs="Arial"/>
          <w:sz w:val="20"/>
        </w:rPr>
        <w:t xml:space="preserve">; DP </w:t>
      </w:r>
      <w:r w:rsidR="00383F14">
        <w:rPr>
          <w:rFonts w:ascii="Arial" w:hAnsi="Arial" w:cs="Arial"/>
          <w:sz w:val="20"/>
          <w:szCs w:val="24"/>
        </w:rPr>
        <w:t>–</w:t>
      </w:r>
      <w:r w:rsidR="00383F14">
        <w:rPr>
          <w:rFonts w:ascii="Arial" w:hAnsi="Arial" w:cs="Arial"/>
          <w:sz w:val="20"/>
        </w:rPr>
        <w:t xml:space="preserve"> Desvio-padrão.</w:t>
      </w:r>
      <w:r w:rsidR="00C526BA">
        <w:rPr>
          <w:rFonts w:ascii="Arial" w:hAnsi="Arial" w:cs="Arial"/>
          <w:sz w:val="20"/>
        </w:rPr>
        <w:t xml:space="preserve"> </w:t>
      </w:r>
    </w:p>
    <w:p w:rsidR="00622230" w:rsidRDefault="00B06BBA" w:rsidP="00B06BBA">
      <w:pPr>
        <w:tabs>
          <w:tab w:val="left" w:pos="1574"/>
        </w:tabs>
        <w:spacing w:after="0" w:line="360" w:lineRule="auto"/>
        <w:jc w:val="both"/>
        <w:rPr>
          <w:rFonts w:ascii="Arial" w:hAnsi="Arial" w:cs="Arial"/>
          <w:sz w:val="24"/>
        </w:rPr>
      </w:pPr>
      <w:r>
        <w:rPr>
          <w:rFonts w:ascii="Arial" w:hAnsi="Arial" w:cs="Arial"/>
          <w:sz w:val="24"/>
        </w:rPr>
        <w:tab/>
      </w:r>
    </w:p>
    <w:p w:rsidR="00834748" w:rsidRDefault="005938F0" w:rsidP="00AB0CE5">
      <w:pPr>
        <w:spacing w:after="0" w:line="360" w:lineRule="auto"/>
        <w:jc w:val="both"/>
        <w:rPr>
          <w:rFonts w:ascii="Arial" w:hAnsi="Arial" w:cs="Arial"/>
          <w:sz w:val="24"/>
        </w:rPr>
      </w:pPr>
      <w:r>
        <w:rPr>
          <w:rFonts w:ascii="Arial" w:hAnsi="Arial" w:cs="Arial"/>
          <w:sz w:val="24"/>
        </w:rPr>
        <w:t>Quanto à independência funcional, não foi verificado diferença estatisticamente significativa entre os sexos</w:t>
      </w:r>
      <w:r w:rsidR="00834748">
        <w:rPr>
          <w:rFonts w:ascii="Arial" w:hAnsi="Arial" w:cs="Arial"/>
          <w:sz w:val="24"/>
        </w:rPr>
        <w:t xml:space="preserve"> </w:t>
      </w:r>
      <w:r w:rsidR="006C5E98">
        <w:rPr>
          <w:rFonts w:ascii="Arial" w:hAnsi="Arial" w:cs="Arial"/>
          <w:sz w:val="24"/>
        </w:rPr>
        <w:t>(p=0,69) (gráfico 1).</w:t>
      </w:r>
    </w:p>
    <w:p w:rsidR="005347B3" w:rsidRDefault="005347B3" w:rsidP="00AB0CE5">
      <w:pPr>
        <w:spacing w:after="0" w:line="360" w:lineRule="auto"/>
        <w:jc w:val="both"/>
        <w:rPr>
          <w:rFonts w:ascii="Arial" w:hAnsi="Arial" w:cs="Arial"/>
          <w:sz w:val="24"/>
        </w:rPr>
      </w:pPr>
    </w:p>
    <w:p w:rsidR="00CA7FEA" w:rsidRDefault="00CA7FEA" w:rsidP="00AB0CE5">
      <w:pPr>
        <w:spacing w:after="0" w:line="360" w:lineRule="auto"/>
        <w:jc w:val="both"/>
        <w:rPr>
          <w:rFonts w:ascii="Arial" w:hAnsi="Arial" w:cs="Arial"/>
          <w:sz w:val="24"/>
        </w:rPr>
      </w:pPr>
    </w:p>
    <w:p w:rsidR="00FA2937" w:rsidRPr="00FA2937" w:rsidRDefault="00AB0CE5" w:rsidP="00AB0CE5">
      <w:pPr>
        <w:tabs>
          <w:tab w:val="left" w:pos="6379"/>
          <w:tab w:val="left" w:pos="6946"/>
        </w:tabs>
        <w:spacing w:after="0" w:line="240" w:lineRule="auto"/>
        <w:ind w:right="3117"/>
        <w:jc w:val="both"/>
        <w:rPr>
          <w:b/>
        </w:rPr>
      </w:pPr>
      <w:r>
        <w:rPr>
          <w:noProof/>
          <w:lang w:eastAsia="pt-BR"/>
        </w:rPr>
        <mc:AlternateContent>
          <mc:Choice Requires="wps">
            <w:drawing>
              <wp:anchor distT="0" distB="0" distL="114300" distR="114300" simplePos="0" relativeHeight="251720704" behindDoc="0" locked="0" layoutInCell="1" allowOverlap="1" wp14:anchorId="30B46DF4" wp14:editId="14EAEF67">
                <wp:simplePos x="0" y="0"/>
                <wp:positionH relativeFrom="column">
                  <wp:posOffset>1067435</wp:posOffset>
                </wp:positionH>
                <wp:positionV relativeFrom="paragraph">
                  <wp:posOffset>38735</wp:posOffset>
                </wp:positionV>
                <wp:extent cx="2697480" cy="584200"/>
                <wp:effectExtent l="0" t="0" r="7620" b="6350"/>
                <wp:wrapThrough wrapText="bothSides">
                  <wp:wrapPolygon edited="0">
                    <wp:start x="0" y="0"/>
                    <wp:lineTo x="0" y="21130"/>
                    <wp:lineTo x="21508" y="21130"/>
                    <wp:lineTo x="21508" y="0"/>
                    <wp:lineTo x="0" y="0"/>
                  </wp:wrapPolygon>
                </wp:wrapThrough>
                <wp:docPr id="2" name="Caixa de texto 2"/>
                <wp:cNvGraphicFramePr/>
                <a:graphic xmlns:a="http://schemas.openxmlformats.org/drawingml/2006/main">
                  <a:graphicData uri="http://schemas.microsoft.com/office/word/2010/wordprocessingShape">
                    <wps:wsp>
                      <wps:cNvSpPr txBox="1"/>
                      <wps:spPr>
                        <a:xfrm>
                          <a:off x="0" y="0"/>
                          <a:ext cx="2697480" cy="584200"/>
                        </a:xfrm>
                        <a:prstGeom prst="rect">
                          <a:avLst/>
                        </a:prstGeom>
                        <a:solidFill>
                          <a:prstClr val="white"/>
                        </a:solidFill>
                        <a:ln>
                          <a:noFill/>
                        </a:ln>
                        <a:effectLst/>
                      </wps:spPr>
                      <wps:txbx>
                        <w:txbxContent>
                          <w:p w:rsidR="00B421DD" w:rsidRPr="006B6070" w:rsidRDefault="00B421DD" w:rsidP="00821F53">
                            <w:pPr>
                              <w:pStyle w:val="EstiloDissertao"/>
                              <w:rPr>
                                <w:rFonts w:ascii="Times New Roman" w:hAnsi="Times New Roman" w:cs="Times New Roman"/>
                                <w:b/>
                                <w:noProof/>
                                <w:color w:val="4F81BD" w:themeColor="accent1"/>
                                <w:szCs w:val="24"/>
                              </w:rPr>
                            </w:pPr>
                            <w:bookmarkStart w:id="32" w:name="_Toc494629366"/>
                            <w:bookmarkStart w:id="33" w:name="_Toc496553613"/>
                            <w:bookmarkStart w:id="34" w:name="_Toc496910097"/>
                            <w:r w:rsidRPr="00821F53">
                              <w:rPr>
                                <w:b/>
                              </w:rPr>
                              <w:t xml:space="preserve">Gráfico </w:t>
                            </w:r>
                            <w:r w:rsidRPr="00821F53">
                              <w:rPr>
                                <w:b/>
                              </w:rPr>
                              <w:fldChar w:fldCharType="begin"/>
                            </w:r>
                            <w:r w:rsidRPr="00821F53">
                              <w:rPr>
                                <w:b/>
                              </w:rPr>
                              <w:instrText xml:space="preserve"> SEQ Gráfico \* ARABIC </w:instrText>
                            </w:r>
                            <w:r w:rsidRPr="00821F53">
                              <w:rPr>
                                <w:b/>
                              </w:rPr>
                              <w:fldChar w:fldCharType="separate"/>
                            </w:r>
                            <w:r w:rsidR="005E2BE9">
                              <w:rPr>
                                <w:b/>
                                <w:noProof/>
                              </w:rPr>
                              <w:t>1</w:t>
                            </w:r>
                            <w:r w:rsidRPr="00821F53">
                              <w:rPr>
                                <w:b/>
                              </w:rPr>
                              <w:fldChar w:fldCharType="end"/>
                            </w:r>
                            <w:r w:rsidRPr="00821F53">
                              <w:rPr>
                                <w:b/>
                              </w:rPr>
                              <w:t xml:space="preserve"> –</w:t>
                            </w:r>
                            <w:r w:rsidRPr="00216F7B">
                              <w:t xml:space="preserve"> </w:t>
                            </w:r>
                            <w:r w:rsidRPr="00B318DB">
                              <w:rPr>
                                <w:i/>
                              </w:rPr>
                              <w:t>Box plot</w:t>
                            </w:r>
                            <w:r>
                              <w:t xml:space="preserve"> da associação entre </w:t>
                            </w:r>
                            <w:r w:rsidRPr="00216F7B">
                              <w:t>sexo e escore total da escala MIF.</w:t>
                            </w:r>
                            <w:bookmarkEnd w:id="32"/>
                            <w:bookmarkEnd w:id="33"/>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84.05pt;margin-top:3.05pt;width:212.4pt;height: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" stroked="f">
                <v:textbox inset="0,0,0,0">
                  <w:txbxContent>
                    <w:p w:rsidR="00B421DD" w:rsidRPr="006B6070" w:rsidRDefault="00B421DD" w:rsidP="00821F53">
                      <w:pPr>
                        <w:pStyle w:val="EstiloDissertao"/>
                        <w:rPr>
                          <w:rFonts w:ascii="Times New Roman" w:hAnsi="Times New Roman" w:cs="Times New Roman"/>
                          <w:b/>
                          <w:noProof/>
                          <w:color w:val="4F81BD" w:themeColor="accent1"/>
                          <w:szCs w:val="24"/>
                        </w:rPr>
                      </w:pPr>
                      <w:bookmarkStart w:id="35" w:name="_Toc494629366"/>
                      <w:bookmarkStart w:id="36" w:name="_Toc496553613"/>
                      <w:bookmarkStart w:id="37" w:name="_Toc496910097"/>
                      <w:r w:rsidRPr="00821F53">
                        <w:rPr>
                          <w:b/>
                        </w:rPr>
                        <w:t xml:space="preserve">Gráfico </w:t>
                      </w:r>
                      <w:r w:rsidRPr="00821F53">
                        <w:rPr>
                          <w:b/>
                        </w:rPr>
                        <w:fldChar w:fldCharType="begin"/>
                      </w:r>
                      <w:r w:rsidRPr="00821F53">
                        <w:rPr>
                          <w:b/>
                        </w:rPr>
                        <w:instrText xml:space="preserve"> SEQ Gráfico \* ARABIC </w:instrText>
                      </w:r>
                      <w:r w:rsidRPr="00821F53">
                        <w:rPr>
                          <w:b/>
                        </w:rPr>
                        <w:fldChar w:fldCharType="separate"/>
                      </w:r>
                      <w:r w:rsidR="005E2BE9">
                        <w:rPr>
                          <w:b/>
                          <w:noProof/>
                        </w:rPr>
                        <w:t>1</w:t>
                      </w:r>
                      <w:r w:rsidRPr="00821F53">
                        <w:rPr>
                          <w:b/>
                        </w:rPr>
                        <w:fldChar w:fldCharType="end"/>
                      </w:r>
                      <w:r w:rsidRPr="00821F53">
                        <w:rPr>
                          <w:b/>
                        </w:rPr>
                        <w:t xml:space="preserve"> –</w:t>
                      </w:r>
                      <w:r w:rsidRPr="00216F7B">
                        <w:t xml:space="preserve"> </w:t>
                      </w:r>
                      <w:r w:rsidRPr="00B318DB">
                        <w:rPr>
                          <w:i/>
                        </w:rPr>
                        <w:t>Box plot</w:t>
                      </w:r>
                      <w:r>
                        <w:t xml:space="preserve"> da associação entre </w:t>
                      </w:r>
                      <w:r w:rsidRPr="00216F7B">
                        <w:t>sexo e escore total da escala MIF.</w:t>
                      </w:r>
                      <w:bookmarkEnd w:id="35"/>
                      <w:bookmarkEnd w:id="36"/>
                      <w:bookmarkEnd w:id="37"/>
                    </w:p>
                  </w:txbxContent>
                </v:textbox>
                <w10:wrap type="through"/>
              </v:shape>
            </w:pict>
          </mc:Fallback>
        </mc:AlternateContent>
      </w:r>
    </w:p>
    <w:p w:rsidR="00BC6965" w:rsidRDefault="00BC6965" w:rsidP="00F77396">
      <w:pPr>
        <w:tabs>
          <w:tab w:val="left" w:pos="5954"/>
          <w:tab w:val="left" w:pos="6379"/>
        </w:tabs>
        <w:spacing w:after="0" w:line="360" w:lineRule="auto"/>
        <w:jc w:val="both"/>
        <w:rPr>
          <w:rFonts w:ascii="Arial" w:hAnsi="Arial" w:cs="Arial"/>
          <w:sz w:val="24"/>
        </w:rPr>
      </w:pPr>
    </w:p>
    <w:p w:rsidR="00BC6965" w:rsidRDefault="00AB0CE5" w:rsidP="00BC6965">
      <w:pPr>
        <w:spacing w:after="0" w:line="360" w:lineRule="auto"/>
        <w:jc w:val="both"/>
        <w:rPr>
          <w:rFonts w:ascii="Arial" w:hAnsi="Arial" w:cs="Arial"/>
          <w:sz w:val="24"/>
        </w:rPr>
      </w:pPr>
      <w:r>
        <w:rPr>
          <w:rFonts w:ascii="Times New Roman" w:hAnsi="Times New Roman" w:cs="Times New Roman"/>
          <w:noProof/>
          <w:sz w:val="24"/>
          <w:szCs w:val="24"/>
          <w:lang w:eastAsia="pt-BR"/>
        </w:rPr>
        <w:drawing>
          <wp:anchor distT="0" distB="0" distL="114300" distR="114300" simplePos="0" relativeHeight="251692032" behindDoc="1" locked="0" layoutInCell="1" allowOverlap="1" wp14:anchorId="13EEFA05" wp14:editId="51FA3CC0">
            <wp:simplePos x="0" y="0"/>
            <wp:positionH relativeFrom="column">
              <wp:posOffset>758190</wp:posOffset>
            </wp:positionH>
            <wp:positionV relativeFrom="paragraph">
              <wp:posOffset>177165</wp:posOffset>
            </wp:positionV>
            <wp:extent cx="3006090" cy="2402840"/>
            <wp:effectExtent l="0" t="0" r="3810" b="0"/>
            <wp:wrapThrough wrapText="bothSides">
              <wp:wrapPolygon edited="0">
                <wp:start x="0" y="0"/>
                <wp:lineTo x="0" y="21406"/>
                <wp:lineTo x="21490" y="21406"/>
                <wp:lineTo x="21490" y="0"/>
                <wp:lineTo x="0" y="0"/>
              </wp:wrapPolygon>
            </wp:wrapThrough>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6090" cy="2402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6965" w:rsidRDefault="00BC6965" w:rsidP="00BC6965">
      <w:pPr>
        <w:spacing w:after="0" w:line="360" w:lineRule="auto"/>
        <w:jc w:val="both"/>
        <w:rPr>
          <w:rFonts w:ascii="Arial" w:hAnsi="Arial" w:cs="Arial"/>
          <w:sz w:val="24"/>
        </w:rPr>
      </w:pPr>
    </w:p>
    <w:p w:rsidR="00BC6965" w:rsidRDefault="00BC6965" w:rsidP="00BC6965">
      <w:pPr>
        <w:spacing w:after="0" w:line="360" w:lineRule="auto"/>
        <w:jc w:val="both"/>
        <w:rPr>
          <w:rFonts w:ascii="Arial" w:hAnsi="Arial" w:cs="Arial"/>
          <w:sz w:val="24"/>
        </w:rPr>
      </w:pPr>
    </w:p>
    <w:p w:rsidR="00BC6965" w:rsidRDefault="00BC6965" w:rsidP="00BC6965">
      <w:pPr>
        <w:spacing w:after="0" w:line="360" w:lineRule="auto"/>
        <w:jc w:val="both"/>
        <w:rPr>
          <w:rFonts w:ascii="Arial" w:hAnsi="Arial" w:cs="Arial"/>
          <w:sz w:val="24"/>
        </w:rPr>
      </w:pPr>
    </w:p>
    <w:p w:rsidR="00BC6965" w:rsidRDefault="00BC6965" w:rsidP="00BC6965">
      <w:pPr>
        <w:spacing w:after="0" w:line="360" w:lineRule="auto"/>
        <w:jc w:val="both"/>
        <w:rPr>
          <w:rFonts w:ascii="Arial" w:hAnsi="Arial" w:cs="Arial"/>
          <w:sz w:val="24"/>
        </w:rPr>
      </w:pPr>
    </w:p>
    <w:p w:rsidR="00BC6965" w:rsidRPr="003F0D73" w:rsidRDefault="00BC6965" w:rsidP="00A610B5">
      <w:pPr>
        <w:tabs>
          <w:tab w:val="left" w:pos="1701"/>
        </w:tabs>
        <w:spacing w:after="0" w:line="360" w:lineRule="auto"/>
        <w:jc w:val="both"/>
        <w:rPr>
          <w:rFonts w:ascii="Arial" w:hAnsi="Arial" w:cs="Arial"/>
          <w:sz w:val="18"/>
        </w:rPr>
      </w:pPr>
    </w:p>
    <w:p w:rsidR="00BC6965" w:rsidRDefault="00BC6965" w:rsidP="00BC6965">
      <w:pPr>
        <w:spacing w:after="0" w:line="360" w:lineRule="auto"/>
        <w:jc w:val="both"/>
        <w:rPr>
          <w:rFonts w:ascii="Arial" w:hAnsi="Arial" w:cs="Arial"/>
          <w:sz w:val="24"/>
        </w:rPr>
      </w:pPr>
    </w:p>
    <w:p w:rsidR="00BC6965" w:rsidRDefault="00BC6965" w:rsidP="00BC6965">
      <w:pPr>
        <w:spacing w:after="0" w:line="360" w:lineRule="auto"/>
        <w:jc w:val="both"/>
        <w:rPr>
          <w:rFonts w:ascii="Arial" w:hAnsi="Arial" w:cs="Arial"/>
          <w:sz w:val="16"/>
        </w:rPr>
      </w:pPr>
    </w:p>
    <w:p w:rsidR="00FA2937" w:rsidRPr="00FA2937" w:rsidRDefault="00FA2937" w:rsidP="00BC6965">
      <w:pPr>
        <w:spacing w:after="0" w:line="360" w:lineRule="auto"/>
        <w:jc w:val="both"/>
        <w:rPr>
          <w:rFonts w:ascii="Arial" w:hAnsi="Arial" w:cs="Arial"/>
          <w:sz w:val="16"/>
        </w:rPr>
      </w:pPr>
    </w:p>
    <w:p w:rsidR="00287E69" w:rsidRDefault="00287E69" w:rsidP="00BC6965">
      <w:pPr>
        <w:spacing w:after="0" w:line="360" w:lineRule="auto"/>
        <w:jc w:val="both"/>
        <w:rPr>
          <w:rFonts w:ascii="Arial" w:hAnsi="Arial" w:cs="Arial"/>
          <w:sz w:val="16"/>
        </w:rPr>
      </w:pPr>
    </w:p>
    <w:p w:rsidR="00821F53" w:rsidRPr="00FA2937" w:rsidRDefault="00821F53" w:rsidP="00BC6965">
      <w:pPr>
        <w:spacing w:after="0" w:line="360" w:lineRule="auto"/>
        <w:jc w:val="both"/>
        <w:rPr>
          <w:rFonts w:ascii="Arial" w:hAnsi="Arial" w:cs="Arial"/>
          <w:sz w:val="16"/>
        </w:rPr>
      </w:pPr>
    </w:p>
    <w:p w:rsidR="00135A78" w:rsidRDefault="00135A78" w:rsidP="00333A5F">
      <w:pPr>
        <w:tabs>
          <w:tab w:val="left" w:pos="1418"/>
        </w:tabs>
        <w:spacing w:after="0" w:line="240" w:lineRule="auto"/>
        <w:ind w:left="1701"/>
        <w:jc w:val="both"/>
        <w:rPr>
          <w:rFonts w:ascii="Arial" w:hAnsi="Arial" w:cs="Arial"/>
          <w:sz w:val="20"/>
        </w:rPr>
      </w:pPr>
      <w:r w:rsidRPr="00135A78">
        <w:rPr>
          <w:rFonts w:ascii="Arial" w:hAnsi="Arial" w:cs="Arial"/>
          <w:sz w:val="20"/>
          <w:vertAlign w:val="superscript"/>
        </w:rPr>
        <w:t>a</w:t>
      </w:r>
      <w:r w:rsidRPr="00135A78">
        <w:rPr>
          <w:rFonts w:ascii="Arial" w:hAnsi="Arial" w:cs="Arial"/>
          <w:sz w:val="20"/>
        </w:rPr>
        <w:t>: Teste t para amostras independentes</w:t>
      </w:r>
    </w:p>
    <w:p w:rsidR="00135A78" w:rsidRDefault="00135A78" w:rsidP="00135A78">
      <w:pPr>
        <w:tabs>
          <w:tab w:val="left" w:pos="1418"/>
        </w:tabs>
        <w:spacing w:after="0" w:line="360" w:lineRule="auto"/>
        <w:jc w:val="both"/>
        <w:rPr>
          <w:rFonts w:ascii="Arial" w:hAnsi="Arial" w:cs="Arial"/>
          <w:sz w:val="24"/>
        </w:rPr>
      </w:pPr>
      <w:r>
        <w:rPr>
          <w:rFonts w:ascii="Arial" w:hAnsi="Arial" w:cs="Arial"/>
          <w:sz w:val="24"/>
        </w:rPr>
        <w:t xml:space="preserve"> </w:t>
      </w:r>
    </w:p>
    <w:p w:rsidR="00234F00" w:rsidRDefault="006C5E98" w:rsidP="00AB0CE5">
      <w:pPr>
        <w:tabs>
          <w:tab w:val="left" w:pos="1418"/>
        </w:tabs>
        <w:spacing w:after="0" w:line="360" w:lineRule="auto"/>
        <w:jc w:val="both"/>
        <w:rPr>
          <w:rFonts w:ascii="Arial" w:hAnsi="Arial" w:cs="Arial"/>
          <w:sz w:val="24"/>
        </w:rPr>
      </w:pPr>
      <w:r>
        <w:rPr>
          <w:rFonts w:ascii="Arial" w:hAnsi="Arial" w:cs="Arial"/>
          <w:sz w:val="24"/>
        </w:rPr>
        <w:t xml:space="preserve">A variável idade não apresentou correlação significativa com a </w:t>
      </w:r>
      <w:r w:rsidR="00694227">
        <w:rPr>
          <w:rFonts w:ascii="Arial" w:hAnsi="Arial" w:cs="Arial"/>
          <w:sz w:val="24"/>
        </w:rPr>
        <w:t>independência funcional</w:t>
      </w:r>
      <w:r w:rsidR="00517031">
        <w:rPr>
          <w:rFonts w:ascii="Arial" w:hAnsi="Arial" w:cs="Arial"/>
          <w:sz w:val="24"/>
        </w:rPr>
        <w:t>, r= -0,17</w:t>
      </w:r>
      <w:r w:rsidR="00E2238E">
        <w:rPr>
          <w:rFonts w:ascii="Arial" w:hAnsi="Arial" w:cs="Arial"/>
          <w:sz w:val="24"/>
        </w:rPr>
        <w:t xml:space="preserve"> </w:t>
      </w:r>
      <w:r w:rsidR="00234F00">
        <w:rPr>
          <w:rFonts w:ascii="Arial" w:hAnsi="Arial" w:cs="Arial"/>
          <w:sz w:val="24"/>
        </w:rPr>
        <w:t>(p=0,</w:t>
      </w:r>
      <w:r w:rsidR="00E2238E">
        <w:rPr>
          <w:rFonts w:ascii="Arial" w:hAnsi="Arial" w:cs="Arial"/>
          <w:sz w:val="24"/>
        </w:rPr>
        <w:t>39</w:t>
      </w:r>
      <w:r w:rsidR="00234F00">
        <w:rPr>
          <w:rFonts w:ascii="Arial" w:hAnsi="Arial" w:cs="Arial"/>
          <w:sz w:val="24"/>
        </w:rPr>
        <w:t>)</w:t>
      </w:r>
      <w:r w:rsidR="00405AE4">
        <w:rPr>
          <w:rFonts w:ascii="Arial" w:hAnsi="Arial" w:cs="Arial"/>
          <w:sz w:val="24"/>
        </w:rPr>
        <w:t xml:space="preserve"> (gráfico 2).</w:t>
      </w:r>
      <w:r w:rsidR="00C2191C">
        <w:rPr>
          <w:rFonts w:ascii="Arial" w:hAnsi="Arial" w:cs="Arial"/>
          <w:sz w:val="24"/>
        </w:rPr>
        <w:t xml:space="preserve"> </w:t>
      </w:r>
    </w:p>
    <w:p w:rsidR="004734AE" w:rsidRDefault="004734AE" w:rsidP="00DA5450">
      <w:pPr>
        <w:tabs>
          <w:tab w:val="left" w:pos="1418"/>
          <w:tab w:val="left" w:pos="1560"/>
        </w:tabs>
        <w:spacing w:after="0" w:line="240" w:lineRule="auto"/>
        <w:jc w:val="both"/>
        <w:rPr>
          <w:rFonts w:ascii="Arial" w:hAnsi="Arial" w:cs="Arial"/>
          <w:sz w:val="24"/>
        </w:rPr>
      </w:pPr>
    </w:p>
    <w:p w:rsidR="007641EC" w:rsidRDefault="007641EC" w:rsidP="00DA5450">
      <w:pPr>
        <w:tabs>
          <w:tab w:val="left" w:pos="1418"/>
          <w:tab w:val="left" w:pos="1560"/>
        </w:tabs>
        <w:spacing w:after="0" w:line="240" w:lineRule="auto"/>
        <w:jc w:val="both"/>
        <w:rPr>
          <w:rFonts w:ascii="Arial" w:hAnsi="Arial" w:cs="Arial"/>
          <w:sz w:val="24"/>
        </w:rPr>
      </w:pPr>
    </w:p>
    <w:p w:rsidR="0075127A" w:rsidRDefault="0075127A" w:rsidP="00DA5450">
      <w:pPr>
        <w:tabs>
          <w:tab w:val="left" w:pos="1418"/>
          <w:tab w:val="left" w:pos="1560"/>
        </w:tabs>
        <w:spacing w:after="0" w:line="240" w:lineRule="auto"/>
        <w:jc w:val="both"/>
        <w:rPr>
          <w:rFonts w:ascii="Arial" w:hAnsi="Arial" w:cs="Arial"/>
          <w:sz w:val="24"/>
        </w:rPr>
      </w:pPr>
    </w:p>
    <w:p w:rsidR="007641EC" w:rsidRDefault="007641EC" w:rsidP="00DA5450">
      <w:pPr>
        <w:tabs>
          <w:tab w:val="left" w:pos="1418"/>
          <w:tab w:val="left" w:pos="1560"/>
        </w:tabs>
        <w:spacing w:after="0" w:line="240" w:lineRule="auto"/>
        <w:jc w:val="both"/>
        <w:rPr>
          <w:rFonts w:ascii="Arial" w:hAnsi="Arial" w:cs="Arial"/>
          <w:sz w:val="24"/>
        </w:rPr>
      </w:pPr>
    </w:p>
    <w:p w:rsidR="00825C84" w:rsidRDefault="00C526BA" w:rsidP="00C526BA">
      <w:pPr>
        <w:tabs>
          <w:tab w:val="left" w:pos="4050"/>
        </w:tabs>
        <w:spacing w:after="0" w:line="240" w:lineRule="auto"/>
        <w:jc w:val="both"/>
        <w:rPr>
          <w:rFonts w:ascii="Arial" w:hAnsi="Arial" w:cs="Arial"/>
          <w:sz w:val="24"/>
        </w:rPr>
      </w:pPr>
      <w:r>
        <w:rPr>
          <w:rFonts w:ascii="Arial" w:hAnsi="Arial" w:cs="Arial"/>
          <w:sz w:val="24"/>
        </w:rPr>
        <w:tab/>
      </w:r>
    </w:p>
    <w:p w:rsidR="008C653F" w:rsidRDefault="00821F53" w:rsidP="00DA5450">
      <w:pPr>
        <w:tabs>
          <w:tab w:val="left" w:pos="1418"/>
          <w:tab w:val="left" w:pos="1560"/>
        </w:tabs>
        <w:spacing w:after="0" w:line="240" w:lineRule="auto"/>
        <w:jc w:val="both"/>
        <w:rPr>
          <w:rFonts w:ascii="Arial" w:hAnsi="Arial" w:cs="Arial"/>
          <w:sz w:val="24"/>
        </w:rPr>
      </w:pPr>
      <w:r>
        <w:rPr>
          <w:noProof/>
          <w:lang w:eastAsia="pt-BR"/>
        </w:rPr>
        <w:lastRenderedPageBreak/>
        <mc:AlternateContent>
          <mc:Choice Requires="wps">
            <w:drawing>
              <wp:anchor distT="0" distB="0" distL="114300" distR="114300" simplePos="0" relativeHeight="251722752" behindDoc="0" locked="0" layoutInCell="1" allowOverlap="1" wp14:anchorId="07F96EAA" wp14:editId="07172C3B">
                <wp:simplePos x="0" y="0"/>
                <wp:positionH relativeFrom="column">
                  <wp:posOffset>1035685</wp:posOffset>
                </wp:positionH>
                <wp:positionV relativeFrom="paragraph">
                  <wp:posOffset>-27940</wp:posOffset>
                </wp:positionV>
                <wp:extent cx="2700655" cy="414655"/>
                <wp:effectExtent l="0" t="0" r="4445" b="4445"/>
                <wp:wrapThrough wrapText="bothSides">
                  <wp:wrapPolygon edited="0">
                    <wp:start x="0" y="0"/>
                    <wp:lineTo x="0" y="20839"/>
                    <wp:lineTo x="21483" y="20839"/>
                    <wp:lineTo x="21483" y="0"/>
                    <wp:lineTo x="0" y="0"/>
                  </wp:wrapPolygon>
                </wp:wrapThrough>
                <wp:docPr id="5" name="Caixa de texto 5"/>
                <wp:cNvGraphicFramePr/>
                <a:graphic xmlns:a="http://schemas.openxmlformats.org/drawingml/2006/main">
                  <a:graphicData uri="http://schemas.microsoft.com/office/word/2010/wordprocessingShape">
                    <wps:wsp>
                      <wps:cNvSpPr txBox="1"/>
                      <wps:spPr>
                        <a:xfrm>
                          <a:off x="0" y="0"/>
                          <a:ext cx="2700655" cy="414655"/>
                        </a:xfrm>
                        <a:prstGeom prst="rect">
                          <a:avLst/>
                        </a:prstGeom>
                        <a:solidFill>
                          <a:prstClr val="white"/>
                        </a:solidFill>
                        <a:ln>
                          <a:noFill/>
                        </a:ln>
                        <a:effectLst/>
                      </wps:spPr>
                      <wps:txbx>
                        <w:txbxContent>
                          <w:p w:rsidR="00B421DD" w:rsidRPr="00D73FF4" w:rsidRDefault="00B421DD" w:rsidP="000835C3">
                            <w:pPr>
                              <w:pStyle w:val="EstiloDissertao"/>
                              <w:rPr>
                                <w:rFonts w:ascii="Times New Roman" w:hAnsi="Times New Roman" w:cs="Times New Roman"/>
                                <w:noProof/>
                                <w:szCs w:val="24"/>
                              </w:rPr>
                            </w:pPr>
                            <w:bookmarkStart w:id="38" w:name="_Toc494629367"/>
                            <w:bookmarkStart w:id="39" w:name="_Toc496553614"/>
                            <w:bookmarkStart w:id="40" w:name="_Toc496910098"/>
                            <w:r w:rsidRPr="00821F53">
                              <w:rPr>
                                <w:b/>
                              </w:rPr>
                              <w:t xml:space="preserve">Gráfico </w:t>
                            </w:r>
                            <w:r w:rsidRPr="00821F53">
                              <w:rPr>
                                <w:b/>
                              </w:rPr>
                              <w:fldChar w:fldCharType="begin"/>
                            </w:r>
                            <w:r w:rsidRPr="00821F53">
                              <w:rPr>
                                <w:b/>
                              </w:rPr>
                              <w:instrText xml:space="preserve"> SEQ Gráfico \* ARABIC </w:instrText>
                            </w:r>
                            <w:r w:rsidRPr="00821F53">
                              <w:rPr>
                                <w:b/>
                              </w:rPr>
                              <w:fldChar w:fldCharType="separate"/>
                            </w:r>
                            <w:r w:rsidR="005E2BE9">
                              <w:rPr>
                                <w:b/>
                                <w:noProof/>
                              </w:rPr>
                              <w:t>2</w:t>
                            </w:r>
                            <w:r w:rsidRPr="00821F53">
                              <w:rPr>
                                <w:b/>
                              </w:rPr>
                              <w:fldChar w:fldCharType="end"/>
                            </w:r>
                            <w:r w:rsidRPr="00821F53">
                              <w:rPr>
                                <w:b/>
                              </w:rPr>
                              <w:t xml:space="preserve"> –</w:t>
                            </w:r>
                            <w:r>
                              <w:t xml:space="preserve"> Correlação entre </w:t>
                            </w:r>
                            <w:r w:rsidRPr="00A67D33">
                              <w:t>idade e escore total da escala MIF</w:t>
                            </w:r>
                            <w:r>
                              <w:t>.</w:t>
                            </w:r>
                            <w:bookmarkEnd w:id="38"/>
                            <w:bookmarkEnd w:id="39"/>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5" o:spid="_x0000_s1027" type="#_x0000_t202" style="position:absolute;left:0;text-align:left;margin-left:81.55pt;margin-top:-2.2pt;width:212.65pt;height:3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" stroked="f">
                <v:textbox inset="0,0,0,0">
                  <w:txbxContent>
                    <w:p w:rsidR="00B421DD" w:rsidRPr="00D73FF4" w:rsidRDefault="00B421DD" w:rsidP="000835C3">
                      <w:pPr>
                        <w:pStyle w:val="EstiloDissertao"/>
                        <w:rPr>
                          <w:rFonts w:ascii="Times New Roman" w:hAnsi="Times New Roman" w:cs="Times New Roman"/>
                          <w:noProof/>
                          <w:szCs w:val="24"/>
                        </w:rPr>
                      </w:pPr>
                      <w:bookmarkStart w:id="41" w:name="_Toc494629367"/>
                      <w:bookmarkStart w:id="42" w:name="_Toc496553614"/>
                      <w:bookmarkStart w:id="43" w:name="_Toc496910098"/>
                      <w:r w:rsidRPr="00821F53">
                        <w:rPr>
                          <w:b/>
                        </w:rPr>
                        <w:t xml:space="preserve">Gráfico </w:t>
                      </w:r>
                      <w:r w:rsidRPr="00821F53">
                        <w:rPr>
                          <w:b/>
                        </w:rPr>
                        <w:fldChar w:fldCharType="begin"/>
                      </w:r>
                      <w:r w:rsidRPr="00821F53">
                        <w:rPr>
                          <w:b/>
                        </w:rPr>
                        <w:instrText xml:space="preserve"> SEQ Gráfico \* ARABIC </w:instrText>
                      </w:r>
                      <w:r w:rsidRPr="00821F53">
                        <w:rPr>
                          <w:b/>
                        </w:rPr>
                        <w:fldChar w:fldCharType="separate"/>
                      </w:r>
                      <w:r w:rsidR="005E2BE9">
                        <w:rPr>
                          <w:b/>
                          <w:noProof/>
                        </w:rPr>
                        <w:t>2</w:t>
                      </w:r>
                      <w:r w:rsidRPr="00821F53">
                        <w:rPr>
                          <w:b/>
                        </w:rPr>
                        <w:fldChar w:fldCharType="end"/>
                      </w:r>
                      <w:r w:rsidRPr="00821F53">
                        <w:rPr>
                          <w:b/>
                        </w:rPr>
                        <w:t xml:space="preserve"> –</w:t>
                      </w:r>
                      <w:r>
                        <w:t xml:space="preserve"> Correlação entre </w:t>
                      </w:r>
                      <w:r w:rsidRPr="00A67D33">
                        <w:t>idade e escore total da escala MIF</w:t>
                      </w:r>
                      <w:r>
                        <w:t>.</w:t>
                      </w:r>
                      <w:bookmarkEnd w:id="41"/>
                      <w:bookmarkEnd w:id="42"/>
                      <w:bookmarkEnd w:id="43"/>
                    </w:p>
                  </w:txbxContent>
                </v:textbox>
                <w10:wrap type="through"/>
              </v:shape>
            </w:pict>
          </mc:Fallback>
        </mc:AlternateContent>
      </w:r>
    </w:p>
    <w:p w:rsidR="00A610B5" w:rsidRDefault="00A610B5" w:rsidP="00F77396">
      <w:pPr>
        <w:tabs>
          <w:tab w:val="left" w:pos="1418"/>
          <w:tab w:val="left" w:pos="5954"/>
        </w:tabs>
        <w:spacing w:after="0" w:line="240" w:lineRule="auto"/>
        <w:ind w:left="1701" w:right="3117"/>
        <w:jc w:val="both"/>
        <w:rPr>
          <w:rFonts w:ascii="Arial" w:hAnsi="Arial" w:cs="Arial"/>
          <w:sz w:val="20"/>
        </w:rPr>
      </w:pPr>
    </w:p>
    <w:p w:rsidR="00E2238E" w:rsidRPr="00E95C86" w:rsidRDefault="00932C1B" w:rsidP="00BB20F6">
      <w:pPr>
        <w:tabs>
          <w:tab w:val="left" w:pos="1418"/>
          <w:tab w:val="left" w:pos="1560"/>
          <w:tab w:val="left" w:pos="6096"/>
        </w:tabs>
        <w:spacing w:after="0" w:line="240" w:lineRule="auto"/>
        <w:jc w:val="both"/>
        <w:rPr>
          <w:rFonts w:ascii="Arial" w:hAnsi="Arial" w:cs="Arial"/>
          <w:sz w:val="20"/>
        </w:rPr>
      </w:pPr>
      <w:r>
        <w:rPr>
          <w:rFonts w:ascii="Times New Roman" w:hAnsi="Times New Roman" w:cs="Times New Roman"/>
          <w:noProof/>
          <w:sz w:val="24"/>
          <w:szCs w:val="24"/>
          <w:lang w:eastAsia="pt-BR"/>
        </w:rPr>
        <w:drawing>
          <wp:anchor distT="0" distB="0" distL="114300" distR="114300" simplePos="0" relativeHeight="251708416" behindDoc="1" locked="0" layoutInCell="1" allowOverlap="1" wp14:anchorId="1F0876F4" wp14:editId="22C825DD">
            <wp:simplePos x="0" y="0"/>
            <wp:positionH relativeFrom="column">
              <wp:posOffset>716280</wp:posOffset>
            </wp:positionH>
            <wp:positionV relativeFrom="paragraph">
              <wp:posOffset>66040</wp:posOffset>
            </wp:positionV>
            <wp:extent cx="3519170" cy="2813685"/>
            <wp:effectExtent l="0" t="0" r="5080" b="5715"/>
            <wp:wrapThrough wrapText="bothSides">
              <wp:wrapPolygon edited="0">
                <wp:start x="0" y="0"/>
                <wp:lineTo x="0" y="21498"/>
                <wp:lineTo x="21514" y="21498"/>
                <wp:lineTo x="21514" y="0"/>
                <wp:lineTo x="0" y="0"/>
              </wp:wrapPolygon>
            </wp:wrapThrough>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9170" cy="2813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10B5" w:rsidRPr="0082338A" w:rsidRDefault="00A610B5" w:rsidP="000514DA">
      <w:pPr>
        <w:tabs>
          <w:tab w:val="left" w:pos="1418"/>
          <w:tab w:val="left" w:pos="1560"/>
        </w:tabs>
        <w:spacing w:after="0" w:line="360" w:lineRule="auto"/>
        <w:jc w:val="both"/>
        <w:rPr>
          <w:rFonts w:ascii="Arial" w:hAnsi="Arial" w:cs="Arial"/>
          <w:sz w:val="20"/>
        </w:rPr>
      </w:pPr>
    </w:p>
    <w:p w:rsidR="00A610B5" w:rsidRPr="0082338A" w:rsidRDefault="00A610B5" w:rsidP="000514DA">
      <w:pPr>
        <w:tabs>
          <w:tab w:val="left" w:pos="1418"/>
          <w:tab w:val="left" w:pos="1560"/>
        </w:tabs>
        <w:spacing w:after="0" w:line="360" w:lineRule="auto"/>
        <w:jc w:val="both"/>
        <w:rPr>
          <w:rFonts w:ascii="Arial" w:hAnsi="Arial" w:cs="Arial"/>
          <w:sz w:val="16"/>
        </w:rPr>
      </w:pPr>
    </w:p>
    <w:p w:rsidR="00A610B5" w:rsidRPr="0082338A" w:rsidRDefault="00A610B5" w:rsidP="000514DA">
      <w:pPr>
        <w:tabs>
          <w:tab w:val="left" w:pos="1418"/>
          <w:tab w:val="left" w:pos="1560"/>
        </w:tabs>
        <w:spacing w:after="0" w:line="360" w:lineRule="auto"/>
        <w:jc w:val="both"/>
        <w:rPr>
          <w:rFonts w:ascii="Arial" w:hAnsi="Arial" w:cs="Arial"/>
          <w:sz w:val="20"/>
        </w:rPr>
      </w:pPr>
    </w:p>
    <w:p w:rsidR="00A610B5" w:rsidRPr="00821F53" w:rsidRDefault="00A610B5" w:rsidP="000514DA">
      <w:pPr>
        <w:tabs>
          <w:tab w:val="left" w:pos="1418"/>
          <w:tab w:val="left" w:pos="1560"/>
        </w:tabs>
        <w:spacing w:after="0" w:line="360" w:lineRule="auto"/>
        <w:jc w:val="both"/>
        <w:rPr>
          <w:rFonts w:ascii="Arial" w:hAnsi="Arial" w:cs="Arial"/>
          <w:sz w:val="24"/>
        </w:rPr>
      </w:pPr>
    </w:p>
    <w:p w:rsidR="00A610B5" w:rsidRPr="0082338A" w:rsidRDefault="00A610B5" w:rsidP="000514DA">
      <w:pPr>
        <w:tabs>
          <w:tab w:val="left" w:pos="1418"/>
          <w:tab w:val="left" w:pos="1560"/>
        </w:tabs>
        <w:spacing w:after="0" w:line="360" w:lineRule="auto"/>
        <w:jc w:val="both"/>
        <w:rPr>
          <w:rFonts w:ascii="Arial" w:hAnsi="Arial" w:cs="Arial"/>
          <w:sz w:val="20"/>
        </w:rPr>
      </w:pPr>
    </w:p>
    <w:p w:rsidR="00A610B5" w:rsidRPr="0082338A" w:rsidRDefault="00A610B5" w:rsidP="00A610B5">
      <w:pPr>
        <w:tabs>
          <w:tab w:val="left" w:pos="1418"/>
          <w:tab w:val="left" w:pos="1560"/>
        </w:tabs>
        <w:spacing w:after="0" w:line="360" w:lineRule="auto"/>
        <w:jc w:val="both"/>
        <w:rPr>
          <w:rFonts w:ascii="Arial" w:hAnsi="Arial" w:cs="Arial"/>
          <w:sz w:val="20"/>
        </w:rPr>
      </w:pPr>
    </w:p>
    <w:p w:rsidR="00A610B5" w:rsidRPr="0082338A" w:rsidRDefault="00A610B5" w:rsidP="000514DA">
      <w:pPr>
        <w:tabs>
          <w:tab w:val="left" w:pos="1418"/>
          <w:tab w:val="left" w:pos="1560"/>
        </w:tabs>
        <w:spacing w:after="0" w:line="360" w:lineRule="auto"/>
        <w:jc w:val="both"/>
        <w:rPr>
          <w:rFonts w:ascii="Arial" w:hAnsi="Arial" w:cs="Arial"/>
          <w:sz w:val="20"/>
        </w:rPr>
      </w:pPr>
    </w:p>
    <w:p w:rsidR="00A610B5" w:rsidRPr="0082338A" w:rsidRDefault="00A610B5" w:rsidP="000514DA">
      <w:pPr>
        <w:tabs>
          <w:tab w:val="left" w:pos="1418"/>
          <w:tab w:val="left" w:pos="1560"/>
        </w:tabs>
        <w:spacing w:after="0" w:line="360" w:lineRule="auto"/>
        <w:jc w:val="both"/>
        <w:rPr>
          <w:rFonts w:ascii="Arial" w:hAnsi="Arial" w:cs="Arial"/>
          <w:sz w:val="20"/>
        </w:rPr>
      </w:pPr>
    </w:p>
    <w:p w:rsidR="007553DD" w:rsidRDefault="007553DD" w:rsidP="000514DA">
      <w:pPr>
        <w:tabs>
          <w:tab w:val="left" w:pos="1418"/>
          <w:tab w:val="left" w:pos="1560"/>
        </w:tabs>
        <w:spacing w:after="0" w:line="360" w:lineRule="auto"/>
        <w:jc w:val="both"/>
        <w:rPr>
          <w:rFonts w:ascii="Arial" w:hAnsi="Arial" w:cs="Arial"/>
          <w:sz w:val="16"/>
        </w:rPr>
      </w:pPr>
    </w:p>
    <w:p w:rsidR="000835C3" w:rsidRPr="00F77396" w:rsidRDefault="000835C3" w:rsidP="000514DA">
      <w:pPr>
        <w:tabs>
          <w:tab w:val="left" w:pos="1418"/>
          <w:tab w:val="left" w:pos="1560"/>
        </w:tabs>
        <w:spacing w:after="0" w:line="360" w:lineRule="auto"/>
        <w:jc w:val="both"/>
        <w:rPr>
          <w:rFonts w:ascii="Arial" w:hAnsi="Arial" w:cs="Arial"/>
          <w:sz w:val="16"/>
        </w:rPr>
      </w:pPr>
    </w:p>
    <w:p w:rsidR="00DA5450" w:rsidRPr="00053588" w:rsidRDefault="00DA5450" w:rsidP="000514DA">
      <w:pPr>
        <w:tabs>
          <w:tab w:val="left" w:pos="1418"/>
          <w:tab w:val="left" w:pos="1560"/>
        </w:tabs>
        <w:spacing w:after="0" w:line="360" w:lineRule="auto"/>
        <w:jc w:val="both"/>
        <w:rPr>
          <w:rFonts w:ascii="Arial" w:hAnsi="Arial" w:cs="Arial"/>
          <w:sz w:val="18"/>
        </w:rPr>
      </w:pPr>
    </w:p>
    <w:p w:rsidR="00FC4215" w:rsidRPr="003C3BF2" w:rsidRDefault="00FC4215" w:rsidP="00F066BD">
      <w:pPr>
        <w:tabs>
          <w:tab w:val="left" w:pos="1418"/>
        </w:tabs>
        <w:spacing w:after="0" w:line="360" w:lineRule="auto"/>
        <w:ind w:firstLine="567"/>
        <w:jc w:val="both"/>
        <w:rPr>
          <w:rFonts w:ascii="Arial" w:hAnsi="Arial" w:cs="Arial"/>
          <w:sz w:val="18"/>
        </w:rPr>
      </w:pPr>
    </w:p>
    <w:p w:rsidR="00912598" w:rsidRPr="00912598" w:rsidRDefault="00912598" w:rsidP="00F066BD">
      <w:pPr>
        <w:tabs>
          <w:tab w:val="left" w:pos="1418"/>
        </w:tabs>
        <w:spacing w:after="0" w:line="360" w:lineRule="auto"/>
        <w:ind w:firstLine="567"/>
        <w:jc w:val="both"/>
        <w:rPr>
          <w:rFonts w:ascii="Arial" w:hAnsi="Arial" w:cs="Arial"/>
          <w:sz w:val="16"/>
        </w:rPr>
      </w:pPr>
    </w:p>
    <w:p w:rsidR="00BB20F6" w:rsidRDefault="00BB20F6" w:rsidP="00452964">
      <w:pPr>
        <w:tabs>
          <w:tab w:val="left" w:pos="1418"/>
        </w:tabs>
        <w:spacing w:after="0" w:line="360" w:lineRule="auto"/>
        <w:ind w:firstLine="1701"/>
        <w:jc w:val="both"/>
        <w:rPr>
          <w:rFonts w:ascii="Arial" w:hAnsi="Arial" w:cs="Arial"/>
          <w:sz w:val="20"/>
          <w:vertAlign w:val="superscript"/>
        </w:rPr>
      </w:pPr>
    </w:p>
    <w:p w:rsidR="00452964" w:rsidRDefault="00452964" w:rsidP="00D11CF9">
      <w:pPr>
        <w:tabs>
          <w:tab w:val="left" w:pos="1418"/>
        </w:tabs>
        <w:spacing w:after="0" w:line="240" w:lineRule="auto"/>
        <w:ind w:firstLine="1701"/>
        <w:jc w:val="both"/>
        <w:rPr>
          <w:rFonts w:ascii="Arial" w:hAnsi="Arial" w:cs="Arial"/>
          <w:sz w:val="20"/>
        </w:rPr>
      </w:pPr>
      <w:r w:rsidRPr="00E2238E">
        <w:rPr>
          <w:rFonts w:ascii="Arial" w:hAnsi="Arial" w:cs="Arial"/>
          <w:sz w:val="20"/>
          <w:vertAlign w:val="superscript"/>
        </w:rPr>
        <w:t>a</w:t>
      </w:r>
      <w:r w:rsidRPr="00E2238E">
        <w:rPr>
          <w:rFonts w:ascii="Arial" w:hAnsi="Arial" w:cs="Arial"/>
          <w:sz w:val="20"/>
        </w:rPr>
        <w:t>: Teste de correlação de Pearson</w:t>
      </w:r>
      <w:r w:rsidR="00D11CF9">
        <w:rPr>
          <w:rFonts w:ascii="Arial" w:hAnsi="Arial" w:cs="Arial"/>
          <w:sz w:val="20"/>
        </w:rPr>
        <w:t>.</w:t>
      </w:r>
    </w:p>
    <w:p w:rsidR="00BB20F6" w:rsidRDefault="00BB20F6" w:rsidP="00BB20F6">
      <w:pPr>
        <w:tabs>
          <w:tab w:val="left" w:pos="1418"/>
        </w:tabs>
        <w:spacing w:after="0" w:line="360" w:lineRule="auto"/>
        <w:jc w:val="both"/>
        <w:rPr>
          <w:rFonts w:ascii="Arial" w:hAnsi="Arial" w:cs="Arial"/>
          <w:sz w:val="24"/>
        </w:rPr>
      </w:pPr>
    </w:p>
    <w:p w:rsidR="00F77396" w:rsidRDefault="00E9489E" w:rsidP="00BC4242">
      <w:pPr>
        <w:tabs>
          <w:tab w:val="left" w:pos="1418"/>
        </w:tabs>
        <w:spacing w:after="0" w:line="360" w:lineRule="auto"/>
        <w:jc w:val="both"/>
        <w:rPr>
          <w:rFonts w:ascii="Arial" w:hAnsi="Arial" w:cs="Arial"/>
          <w:sz w:val="24"/>
        </w:rPr>
      </w:pPr>
      <w:r>
        <w:rPr>
          <w:rFonts w:ascii="Arial" w:hAnsi="Arial" w:cs="Arial"/>
          <w:sz w:val="24"/>
        </w:rPr>
        <w:t>À semelhança da análise anterior, o</w:t>
      </w:r>
      <w:r w:rsidR="00C2191C">
        <w:rPr>
          <w:rFonts w:ascii="Arial" w:hAnsi="Arial" w:cs="Arial"/>
          <w:sz w:val="24"/>
        </w:rPr>
        <w:t>s</w:t>
      </w:r>
      <w:r w:rsidR="00F066BD">
        <w:rPr>
          <w:rFonts w:ascii="Arial" w:hAnsi="Arial" w:cs="Arial"/>
          <w:sz w:val="24"/>
        </w:rPr>
        <w:t xml:space="preserve"> gráfico</w:t>
      </w:r>
      <w:r w:rsidR="00C2191C">
        <w:rPr>
          <w:rFonts w:ascii="Arial" w:hAnsi="Arial" w:cs="Arial"/>
          <w:sz w:val="24"/>
        </w:rPr>
        <w:t>s</w:t>
      </w:r>
      <w:r w:rsidR="00F066BD">
        <w:rPr>
          <w:rFonts w:ascii="Arial" w:hAnsi="Arial" w:cs="Arial"/>
          <w:sz w:val="24"/>
        </w:rPr>
        <w:t xml:space="preserve"> </w:t>
      </w:r>
      <w:r w:rsidR="00341EB6">
        <w:rPr>
          <w:rFonts w:ascii="Arial" w:hAnsi="Arial" w:cs="Arial"/>
          <w:sz w:val="24"/>
        </w:rPr>
        <w:t xml:space="preserve">3 </w:t>
      </w:r>
      <w:r w:rsidR="00C2191C">
        <w:rPr>
          <w:rFonts w:ascii="Arial" w:hAnsi="Arial" w:cs="Arial"/>
          <w:sz w:val="24"/>
        </w:rPr>
        <w:t xml:space="preserve">e 4 </w:t>
      </w:r>
      <w:r w:rsidR="00341EB6">
        <w:rPr>
          <w:rFonts w:ascii="Arial" w:hAnsi="Arial" w:cs="Arial"/>
          <w:sz w:val="24"/>
        </w:rPr>
        <w:t>evidencia</w:t>
      </w:r>
      <w:r w:rsidR="00C2191C">
        <w:rPr>
          <w:rFonts w:ascii="Arial" w:hAnsi="Arial" w:cs="Arial"/>
          <w:sz w:val="24"/>
        </w:rPr>
        <w:t>m</w:t>
      </w:r>
      <w:r w:rsidR="00341EB6">
        <w:rPr>
          <w:rFonts w:ascii="Arial" w:hAnsi="Arial" w:cs="Arial"/>
          <w:sz w:val="24"/>
        </w:rPr>
        <w:t xml:space="preserve"> </w:t>
      </w:r>
      <w:r w:rsidR="007D6058">
        <w:rPr>
          <w:rFonts w:ascii="Arial" w:hAnsi="Arial" w:cs="Arial"/>
          <w:sz w:val="24"/>
        </w:rPr>
        <w:t>a</w:t>
      </w:r>
      <w:r w:rsidR="00341EB6">
        <w:rPr>
          <w:rFonts w:ascii="Arial" w:hAnsi="Arial" w:cs="Arial"/>
          <w:sz w:val="24"/>
        </w:rPr>
        <w:t xml:space="preserve">usência de </w:t>
      </w:r>
      <w:r w:rsidR="003B62FE" w:rsidRPr="003B62FE">
        <w:rPr>
          <w:rFonts w:ascii="Arial" w:hAnsi="Arial" w:cs="Arial"/>
          <w:sz w:val="24"/>
        </w:rPr>
        <w:t>correla</w:t>
      </w:r>
      <w:r w:rsidR="00341EB6" w:rsidRPr="003B62FE">
        <w:rPr>
          <w:rFonts w:ascii="Arial" w:hAnsi="Arial" w:cs="Arial"/>
          <w:sz w:val="24"/>
        </w:rPr>
        <w:t>ção</w:t>
      </w:r>
      <w:r w:rsidR="00341EB6">
        <w:rPr>
          <w:rFonts w:ascii="Arial" w:hAnsi="Arial" w:cs="Arial"/>
          <w:sz w:val="24"/>
        </w:rPr>
        <w:t xml:space="preserve"> </w:t>
      </w:r>
      <w:r w:rsidR="008247F0">
        <w:rPr>
          <w:rFonts w:ascii="Arial" w:hAnsi="Arial" w:cs="Arial"/>
          <w:sz w:val="24"/>
        </w:rPr>
        <w:t xml:space="preserve">significativa </w:t>
      </w:r>
      <w:r w:rsidR="00341EB6">
        <w:rPr>
          <w:rFonts w:ascii="Arial" w:hAnsi="Arial" w:cs="Arial"/>
          <w:sz w:val="24"/>
        </w:rPr>
        <w:t xml:space="preserve">entre </w:t>
      </w:r>
      <w:r w:rsidR="00C2191C">
        <w:rPr>
          <w:rFonts w:ascii="Arial" w:hAnsi="Arial" w:cs="Arial"/>
          <w:sz w:val="24"/>
        </w:rPr>
        <w:t xml:space="preserve">a idade e os </w:t>
      </w:r>
      <w:r w:rsidR="00341EB6">
        <w:rPr>
          <w:rFonts w:ascii="Arial" w:hAnsi="Arial" w:cs="Arial"/>
          <w:sz w:val="24"/>
        </w:rPr>
        <w:t>domínio</w:t>
      </w:r>
      <w:r w:rsidR="00C2191C">
        <w:rPr>
          <w:rFonts w:ascii="Arial" w:hAnsi="Arial" w:cs="Arial"/>
          <w:sz w:val="24"/>
        </w:rPr>
        <w:t>s</w:t>
      </w:r>
      <w:r w:rsidR="00341EB6">
        <w:rPr>
          <w:rFonts w:ascii="Arial" w:hAnsi="Arial" w:cs="Arial"/>
          <w:sz w:val="24"/>
        </w:rPr>
        <w:t xml:space="preserve"> motor </w:t>
      </w:r>
      <w:r w:rsidR="00C2191C">
        <w:rPr>
          <w:rFonts w:ascii="Arial" w:hAnsi="Arial" w:cs="Arial"/>
          <w:sz w:val="24"/>
        </w:rPr>
        <w:t xml:space="preserve">e cognitivo </w:t>
      </w:r>
      <w:r w:rsidR="00341EB6">
        <w:rPr>
          <w:rFonts w:ascii="Arial" w:hAnsi="Arial" w:cs="Arial"/>
          <w:sz w:val="24"/>
        </w:rPr>
        <w:t>da escala MIF</w:t>
      </w:r>
      <w:r w:rsidR="008247F0">
        <w:rPr>
          <w:rFonts w:ascii="Arial" w:hAnsi="Arial" w:cs="Arial"/>
          <w:sz w:val="24"/>
        </w:rPr>
        <w:t>;</w:t>
      </w:r>
      <w:r w:rsidR="0022789E">
        <w:rPr>
          <w:rFonts w:ascii="Arial" w:hAnsi="Arial" w:cs="Arial"/>
          <w:sz w:val="24"/>
        </w:rPr>
        <w:t xml:space="preserve"> r= -0,16 (p=0,43) e r= -0,17</w:t>
      </w:r>
      <w:r w:rsidR="00341EB6">
        <w:rPr>
          <w:rFonts w:ascii="Arial" w:hAnsi="Arial" w:cs="Arial"/>
          <w:sz w:val="24"/>
        </w:rPr>
        <w:t xml:space="preserve"> (p</w:t>
      </w:r>
      <w:r w:rsidR="00346653">
        <w:rPr>
          <w:rFonts w:ascii="Arial" w:hAnsi="Arial" w:cs="Arial"/>
          <w:sz w:val="24"/>
        </w:rPr>
        <w:t>=0,</w:t>
      </w:r>
      <w:r w:rsidR="00C2191C">
        <w:rPr>
          <w:rFonts w:ascii="Arial" w:hAnsi="Arial" w:cs="Arial"/>
          <w:sz w:val="24"/>
        </w:rPr>
        <w:t>40</w:t>
      </w:r>
      <w:r w:rsidR="0022789E">
        <w:rPr>
          <w:rFonts w:ascii="Arial" w:hAnsi="Arial" w:cs="Arial"/>
          <w:sz w:val="24"/>
        </w:rPr>
        <w:t>)</w:t>
      </w:r>
      <w:r w:rsidR="00C2191C">
        <w:rPr>
          <w:rFonts w:ascii="Arial" w:hAnsi="Arial" w:cs="Arial"/>
          <w:sz w:val="24"/>
        </w:rPr>
        <w:t>, respectivamente</w:t>
      </w:r>
      <w:r w:rsidR="00346653">
        <w:rPr>
          <w:rFonts w:ascii="Arial" w:hAnsi="Arial" w:cs="Arial"/>
          <w:sz w:val="24"/>
        </w:rPr>
        <w:t>.</w:t>
      </w:r>
    </w:p>
    <w:p w:rsidR="00333A5F" w:rsidRDefault="00333A5F" w:rsidP="00BC4242">
      <w:pPr>
        <w:tabs>
          <w:tab w:val="left" w:pos="1418"/>
        </w:tabs>
        <w:spacing w:after="0" w:line="360" w:lineRule="auto"/>
        <w:jc w:val="both"/>
        <w:rPr>
          <w:rFonts w:ascii="Arial" w:hAnsi="Arial" w:cs="Arial"/>
          <w:sz w:val="24"/>
        </w:rPr>
      </w:pPr>
    </w:p>
    <w:p w:rsidR="00346653" w:rsidRDefault="00BC4242" w:rsidP="00346653">
      <w:pPr>
        <w:tabs>
          <w:tab w:val="left" w:pos="1418"/>
        </w:tabs>
        <w:spacing w:after="0" w:line="360" w:lineRule="auto"/>
        <w:jc w:val="both"/>
        <w:rPr>
          <w:rFonts w:ascii="Arial" w:hAnsi="Arial" w:cs="Arial"/>
          <w:sz w:val="24"/>
        </w:rPr>
      </w:pPr>
      <w:r>
        <w:rPr>
          <w:noProof/>
          <w:lang w:eastAsia="pt-BR"/>
        </w:rPr>
        <mc:AlternateContent>
          <mc:Choice Requires="wps">
            <w:drawing>
              <wp:anchor distT="0" distB="0" distL="114300" distR="114300" simplePos="0" relativeHeight="251724800" behindDoc="0" locked="0" layoutInCell="1" allowOverlap="1" wp14:anchorId="7361641A" wp14:editId="7A4A2AF5">
                <wp:simplePos x="0" y="0"/>
                <wp:positionH relativeFrom="column">
                  <wp:posOffset>1035685</wp:posOffset>
                </wp:positionH>
                <wp:positionV relativeFrom="paragraph">
                  <wp:posOffset>15875</wp:posOffset>
                </wp:positionV>
                <wp:extent cx="2827655" cy="457200"/>
                <wp:effectExtent l="0" t="0" r="0" b="0"/>
                <wp:wrapThrough wrapText="bothSides">
                  <wp:wrapPolygon edited="0">
                    <wp:start x="0" y="0"/>
                    <wp:lineTo x="0" y="20700"/>
                    <wp:lineTo x="21391" y="20700"/>
                    <wp:lineTo x="21391" y="0"/>
                    <wp:lineTo x="0" y="0"/>
                  </wp:wrapPolygon>
                </wp:wrapThrough>
                <wp:docPr id="8" name="Caixa de texto 8"/>
                <wp:cNvGraphicFramePr/>
                <a:graphic xmlns:a="http://schemas.openxmlformats.org/drawingml/2006/main">
                  <a:graphicData uri="http://schemas.microsoft.com/office/word/2010/wordprocessingShape">
                    <wps:wsp>
                      <wps:cNvSpPr txBox="1"/>
                      <wps:spPr>
                        <a:xfrm>
                          <a:off x="0" y="0"/>
                          <a:ext cx="2827655" cy="457200"/>
                        </a:xfrm>
                        <a:prstGeom prst="rect">
                          <a:avLst/>
                        </a:prstGeom>
                        <a:solidFill>
                          <a:prstClr val="white"/>
                        </a:solidFill>
                        <a:ln>
                          <a:noFill/>
                        </a:ln>
                        <a:effectLst/>
                      </wps:spPr>
                      <wps:txbx>
                        <w:txbxContent>
                          <w:p w:rsidR="00B421DD" w:rsidRPr="00484974" w:rsidRDefault="00B421DD" w:rsidP="00821F53">
                            <w:pPr>
                              <w:pStyle w:val="EstiloDissertao"/>
                              <w:rPr>
                                <w:rFonts w:ascii="Times New Roman" w:hAnsi="Times New Roman" w:cs="Times New Roman"/>
                                <w:noProof/>
                                <w:szCs w:val="24"/>
                              </w:rPr>
                            </w:pPr>
                            <w:bookmarkStart w:id="44" w:name="_Toc494629368"/>
                            <w:bookmarkStart w:id="45" w:name="_Toc496553615"/>
                            <w:bookmarkStart w:id="46" w:name="_Toc496910099"/>
                            <w:r w:rsidRPr="00821F53">
                              <w:rPr>
                                <w:b/>
                              </w:rPr>
                              <w:t xml:space="preserve">Gráfico </w:t>
                            </w:r>
                            <w:r w:rsidRPr="00821F53">
                              <w:rPr>
                                <w:b/>
                              </w:rPr>
                              <w:fldChar w:fldCharType="begin"/>
                            </w:r>
                            <w:r w:rsidRPr="00821F53">
                              <w:rPr>
                                <w:b/>
                              </w:rPr>
                              <w:instrText xml:space="preserve"> SEQ Gráfico \* ARABIC </w:instrText>
                            </w:r>
                            <w:r w:rsidRPr="00821F53">
                              <w:rPr>
                                <w:b/>
                              </w:rPr>
                              <w:fldChar w:fldCharType="separate"/>
                            </w:r>
                            <w:r w:rsidR="005E2BE9">
                              <w:rPr>
                                <w:b/>
                                <w:noProof/>
                              </w:rPr>
                              <w:t>3</w:t>
                            </w:r>
                            <w:r w:rsidRPr="00821F53">
                              <w:rPr>
                                <w:b/>
                              </w:rPr>
                              <w:fldChar w:fldCharType="end"/>
                            </w:r>
                            <w:r w:rsidRPr="00821F53">
                              <w:rPr>
                                <w:b/>
                              </w:rPr>
                              <w:t xml:space="preserve"> –</w:t>
                            </w:r>
                            <w:r>
                              <w:t xml:space="preserve"> Correlação entre idade e </w:t>
                            </w:r>
                            <w:r w:rsidRPr="00523ECB">
                              <w:t>domínio motor da escala MIF.</w:t>
                            </w:r>
                            <w:bookmarkEnd w:id="44"/>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8" o:spid="_x0000_s1028" type="#_x0000_t202" style="position:absolute;left:0;text-align:left;margin-left:81.55pt;margin-top:1.25pt;width:222.65pt;height:36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" stroked="f">
                <v:textbox inset="0,0,0,0">
                  <w:txbxContent>
                    <w:p w:rsidR="00B421DD" w:rsidRPr="00484974" w:rsidRDefault="00B421DD" w:rsidP="00821F53">
                      <w:pPr>
                        <w:pStyle w:val="EstiloDissertao"/>
                        <w:rPr>
                          <w:rFonts w:ascii="Times New Roman" w:hAnsi="Times New Roman" w:cs="Times New Roman"/>
                          <w:noProof/>
                          <w:szCs w:val="24"/>
                        </w:rPr>
                      </w:pPr>
                      <w:bookmarkStart w:id="47" w:name="_Toc494629368"/>
                      <w:bookmarkStart w:id="48" w:name="_Toc496553615"/>
                      <w:bookmarkStart w:id="49" w:name="_Toc496910099"/>
                      <w:r w:rsidRPr="00821F53">
                        <w:rPr>
                          <w:b/>
                        </w:rPr>
                        <w:t xml:space="preserve">Gráfico </w:t>
                      </w:r>
                      <w:r w:rsidRPr="00821F53">
                        <w:rPr>
                          <w:b/>
                        </w:rPr>
                        <w:fldChar w:fldCharType="begin"/>
                      </w:r>
                      <w:r w:rsidRPr="00821F53">
                        <w:rPr>
                          <w:b/>
                        </w:rPr>
                        <w:instrText xml:space="preserve"> SEQ Gráfico \* ARABIC </w:instrText>
                      </w:r>
                      <w:r w:rsidRPr="00821F53">
                        <w:rPr>
                          <w:b/>
                        </w:rPr>
                        <w:fldChar w:fldCharType="separate"/>
                      </w:r>
                      <w:r w:rsidR="005E2BE9">
                        <w:rPr>
                          <w:b/>
                          <w:noProof/>
                        </w:rPr>
                        <w:t>3</w:t>
                      </w:r>
                      <w:r w:rsidRPr="00821F53">
                        <w:rPr>
                          <w:b/>
                        </w:rPr>
                        <w:fldChar w:fldCharType="end"/>
                      </w:r>
                      <w:r w:rsidRPr="00821F53">
                        <w:rPr>
                          <w:b/>
                        </w:rPr>
                        <w:t xml:space="preserve"> –</w:t>
                      </w:r>
                      <w:r>
                        <w:t xml:space="preserve"> Correlação entre idade e </w:t>
                      </w:r>
                      <w:r w:rsidRPr="00523ECB">
                        <w:t>domínio motor da escala MIF.</w:t>
                      </w:r>
                      <w:bookmarkEnd w:id="47"/>
                      <w:bookmarkEnd w:id="48"/>
                      <w:bookmarkEnd w:id="49"/>
                    </w:p>
                  </w:txbxContent>
                </v:textbox>
                <w10:wrap type="through"/>
              </v:shape>
            </w:pict>
          </mc:Fallback>
        </mc:AlternateContent>
      </w:r>
    </w:p>
    <w:p w:rsidR="00F066BD" w:rsidRDefault="00821F53" w:rsidP="008C0F0C">
      <w:pPr>
        <w:tabs>
          <w:tab w:val="left" w:pos="1418"/>
        </w:tabs>
        <w:spacing w:after="0" w:line="360" w:lineRule="auto"/>
        <w:jc w:val="both"/>
        <w:rPr>
          <w:rFonts w:ascii="Arial" w:hAnsi="Arial" w:cs="Arial"/>
          <w:sz w:val="24"/>
        </w:rPr>
      </w:pPr>
      <w:r>
        <w:rPr>
          <w:rFonts w:ascii="Times New Roman" w:hAnsi="Times New Roman" w:cs="Times New Roman"/>
          <w:noProof/>
          <w:sz w:val="24"/>
          <w:szCs w:val="24"/>
          <w:lang w:eastAsia="pt-BR"/>
        </w:rPr>
        <w:drawing>
          <wp:anchor distT="0" distB="0" distL="114300" distR="114300" simplePos="0" relativeHeight="251704320" behindDoc="1" locked="0" layoutInCell="1" allowOverlap="1" wp14:anchorId="0A5F0067" wp14:editId="799F2B95">
            <wp:simplePos x="0" y="0"/>
            <wp:positionH relativeFrom="column">
              <wp:posOffset>695325</wp:posOffset>
            </wp:positionH>
            <wp:positionV relativeFrom="paragraph">
              <wp:posOffset>212725</wp:posOffset>
            </wp:positionV>
            <wp:extent cx="3646805" cy="2915285"/>
            <wp:effectExtent l="0" t="0" r="0" b="0"/>
            <wp:wrapThrough wrapText="bothSides">
              <wp:wrapPolygon edited="0">
                <wp:start x="0" y="0"/>
                <wp:lineTo x="0" y="21454"/>
                <wp:lineTo x="21438" y="21454"/>
                <wp:lineTo x="21438" y="0"/>
                <wp:lineTo x="0" y="0"/>
              </wp:wrapPolygon>
            </wp:wrapThrough>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6805" cy="291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66BD" w:rsidRDefault="00F066BD" w:rsidP="008C0F0C">
      <w:pPr>
        <w:tabs>
          <w:tab w:val="left" w:pos="1418"/>
        </w:tabs>
        <w:spacing w:after="0" w:line="360" w:lineRule="auto"/>
        <w:jc w:val="both"/>
        <w:rPr>
          <w:rFonts w:ascii="Arial" w:hAnsi="Arial" w:cs="Arial"/>
          <w:sz w:val="24"/>
        </w:rPr>
      </w:pPr>
    </w:p>
    <w:p w:rsidR="00F066BD" w:rsidRDefault="00F066BD" w:rsidP="008C0F0C">
      <w:pPr>
        <w:tabs>
          <w:tab w:val="left" w:pos="1418"/>
        </w:tabs>
        <w:spacing w:after="0" w:line="360" w:lineRule="auto"/>
        <w:jc w:val="both"/>
        <w:rPr>
          <w:rFonts w:ascii="Arial" w:hAnsi="Arial" w:cs="Arial"/>
          <w:sz w:val="24"/>
        </w:rPr>
      </w:pPr>
    </w:p>
    <w:p w:rsidR="00346653" w:rsidRDefault="00346653" w:rsidP="008C0F0C">
      <w:pPr>
        <w:tabs>
          <w:tab w:val="left" w:pos="1418"/>
        </w:tabs>
        <w:spacing w:after="0" w:line="360" w:lineRule="auto"/>
        <w:jc w:val="both"/>
        <w:rPr>
          <w:rFonts w:ascii="Arial" w:hAnsi="Arial" w:cs="Arial"/>
          <w:sz w:val="24"/>
        </w:rPr>
      </w:pPr>
    </w:p>
    <w:p w:rsidR="00346653" w:rsidRDefault="00346653" w:rsidP="008C0F0C">
      <w:pPr>
        <w:tabs>
          <w:tab w:val="left" w:pos="1418"/>
        </w:tabs>
        <w:spacing w:after="0" w:line="360" w:lineRule="auto"/>
        <w:jc w:val="both"/>
        <w:rPr>
          <w:rFonts w:ascii="Arial" w:hAnsi="Arial" w:cs="Arial"/>
          <w:sz w:val="24"/>
        </w:rPr>
      </w:pPr>
    </w:p>
    <w:p w:rsidR="00346653" w:rsidRDefault="00346653" w:rsidP="008C0F0C">
      <w:pPr>
        <w:tabs>
          <w:tab w:val="left" w:pos="1418"/>
        </w:tabs>
        <w:spacing w:after="0" w:line="360" w:lineRule="auto"/>
        <w:jc w:val="both"/>
        <w:rPr>
          <w:rFonts w:ascii="Arial" w:hAnsi="Arial" w:cs="Arial"/>
          <w:sz w:val="24"/>
        </w:rPr>
      </w:pPr>
    </w:p>
    <w:p w:rsidR="00346653" w:rsidRDefault="00346653" w:rsidP="008C0F0C">
      <w:pPr>
        <w:tabs>
          <w:tab w:val="left" w:pos="1418"/>
        </w:tabs>
        <w:spacing w:after="0" w:line="360" w:lineRule="auto"/>
        <w:jc w:val="both"/>
        <w:rPr>
          <w:rFonts w:ascii="Arial" w:hAnsi="Arial" w:cs="Arial"/>
          <w:sz w:val="24"/>
        </w:rPr>
      </w:pPr>
    </w:p>
    <w:p w:rsidR="00346653" w:rsidRDefault="00346653" w:rsidP="008C0F0C">
      <w:pPr>
        <w:tabs>
          <w:tab w:val="left" w:pos="1418"/>
        </w:tabs>
        <w:spacing w:after="0" w:line="360" w:lineRule="auto"/>
        <w:jc w:val="both"/>
        <w:rPr>
          <w:rFonts w:ascii="Arial" w:hAnsi="Arial" w:cs="Arial"/>
          <w:sz w:val="24"/>
        </w:rPr>
      </w:pPr>
    </w:p>
    <w:p w:rsidR="00346653" w:rsidRDefault="00346653" w:rsidP="008C0F0C">
      <w:pPr>
        <w:tabs>
          <w:tab w:val="left" w:pos="1418"/>
        </w:tabs>
        <w:spacing w:after="0" w:line="360" w:lineRule="auto"/>
        <w:jc w:val="both"/>
        <w:rPr>
          <w:rFonts w:ascii="Arial" w:hAnsi="Arial" w:cs="Arial"/>
          <w:sz w:val="24"/>
        </w:rPr>
      </w:pPr>
    </w:p>
    <w:p w:rsidR="00821F53" w:rsidRDefault="00821F53" w:rsidP="008C0F0C">
      <w:pPr>
        <w:tabs>
          <w:tab w:val="left" w:pos="1418"/>
        </w:tabs>
        <w:spacing w:after="0" w:line="360" w:lineRule="auto"/>
        <w:jc w:val="both"/>
        <w:rPr>
          <w:rFonts w:ascii="Arial" w:hAnsi="Arial" w:cs="Arial"/>
          <w:sz w:val="24"/>
        </w:rPr>
      </w:pPr>
    </w:p>
    <w:p w:rsidR="00F066BD" w:rsidRPr="00BC4242" w:rsidRDefault="00F066BD" w:rsidP="008C0F0C">
      <w:pPr>
        <w:tabs>
          <w:tab w:val="left" w:pos="1418"/>
        </w:tabs>
        <w:spacing w:after="0" w:line="360" w:lineRule="auto"/>
        <w:jc w:val="both"/>
        <w:rPr>
          <w:rFonts w:ascii="Arial" w:hAnsi="Arial" w:cs="Arial"/>
          <w:sz w:val="12"/>
        </w:rPr>
      </w:pPr>
    </w:p>
    <w:p w:rsidR="00BC4242" w:rsidRPr="003F0D73" w:rsidRDefault="00BC4242" w:rsidP="008C0F0C">
      <w:pPr>
        <w:tabs>
          <w:tab w:val="left" w:pos="1418"/>
        </w:tabs>
        <w:spacing w:after="0" w:line="360" w:lineRule="auto"/>
        <w:jc w:val="both"/>
        <w:rPr>
          <w:rFonts w:ascii="Arial" w:hAnsi="Arial" w:cs="Arial"/>
        </w:rPr>
      </w:pPr>
    </w:p>
    <w:p w:rsidR="00346653" w:rsidRDefault="00346653" w:rsidP="00D11CF9">
      <w:pPr>
        <w:tabs>
          <w:tab w:val="left" w:pos="1418"/>
          <w:tab w:val="left" w:pos="1560"/>
        </w:tabs>
        <w:spacing w:after="0" w:line="240" w:lineRule="auto"/>
        <w:ind w:left="1701"/>
        <w:jc w:val="both"/>
        <w:rPr>
          <w:rFonts w:ascii="Arial" w:hAnsi="Arial" w:cs="Arial"/>
          <w:sz w:val="24"/>
        </w:rPr>
      </w:pPr>
      <w:r w:rsidRPr="00E2238E">
        <w:rPr>
          <w:rFonts w:ascii="Arial" w:hAnsi="Arial" w:cs="Arial"/>
          <w:sz w:val="20"/>
          <w:vertAlign w:val="superscript"/>
        </w:rPr>
        <w:t>a</w:t>
      </w:r>
      <w:r w:rsidRPr="00E2238E">
        <w:rPr>
          <w:rFonts w:ascii="Arial" w:hAnsi="Arial" w:cs="Arial"/>
          <w:sz w:val="20"/>
        </w:rPr>
        <w:t>: Teste de correlação de Pearson</w:t>
      </w:r>
      <w:r>
        <w:rPr>
          <w:rFonts w:ascii="Arial" w:hAnsi="Arial" w:cs="Arial"/>
          <w:sz w:val="24"/>
        </w:rPr>
        <w:t>.</w:t>
      </w:r>
    </w:p>
    <w:p w:rsidR="00B14A87" w:rsidRDefault="00B14A87" w:rsidP="00F77396">
      <w:pPr>
        <w:tabs>
          <w:tab w:val="left" w:pos="1418"/>
          <w:tab w:val="left" w:pos="6663"/>
        </w:tabs>
        <w:spacing w:after="0" w:line="360" w:lineRule="auto"/>
        <w:ind w:right="2410"/>
        <w:jc w:val="both"/>
        <w:rPr>
          <w:rFonts w:ascii="Arial" w:hAnsi="Arial" w:cs="Arial"/>
          <w:sz w:val="24"/>
        </w:rPr>
      </w:pPr>
    </w:p>
    <w:p w:rsidR="003C3BF2" w:rsidRDefault="003C3BF2" w:rsidP="00F77396">
      <w:pPr>
        <w:tabs>
          <w:tab w:val="left" w:pos="1418"/>
          <w:tab w:val="left" w:pos="6663"/>
        </w:tabs>
        <w:spacing w:after="0" w:line="360" w:lineRule="auto"/>
        <w:ind w:right="2410"/>
        <w:jc w:val="both"/>
        <w:rPr>
          <w:rFonts w:ascii="Arial" w:hAnsi="Arial" w:cs="Arial"/>
          <w:sz w:val="24"/>
        </w:rPr>
      </w:pPr>
      <w:r>
        <w:rPr>
          <w:noProof/>
          <w:lang w:eastAsia="pt-BR"/>
        </w:rPr>
        <w:lastRenderedPageBreak/>
        <mc:AlternateContent>
          <mc:Choice Requires="wps">
            <w:drawing>
              <wp:anchor distT="0" distB="0" distL="114300" distR="114300" simplePos="0" relativeHeight="251726848" behindDoc="0" locked="0" layoutInCell="1" allowOverlap="1" wp14:anchorId="6A57EDDC" wp14:editId="4A4CFEFE">
                <wp:simplePos x="0" y="0"/>
                <wp:positionH relativeFrom="column">
                  <wp:posOffset>1024890</wp:posOffset>
                </wp:positionH>
                <wp:positionV relativeFrom="paragraph">
                  <wp:posOffset>8890</wp:posOffset>
                </wp:positionV>
                <wp:extent cx="2764155" cy="457200"/>
                <wp:effectExtent l="0" t="0" r="0" b="0"/>
                <wp:wrapThrough wrapText="bothSides">
                  <wp:wrapPolygon edited="0">
                    <wp:start x="0" y="0"/>
                    <wp:lineTo x="0" y="20700"/>
                    <wp:lineTo x="21436" y="20700"/>
                    <wp:lineTo x="21436" y="0"/>
                    <wp:lineTo x="0" y="0"/>
                  </wp:wrapPolygon>
                </wp:wrapThrough>
                <wp:docPr id="9" name="Caixa de texto 9"/>
                <wp:cNvGraphicFramePr/>
                <a:graphic xmlns:a="http://schemas.openxmlformats.org/drawingml/2006/main">
                  <a:graphicData uri="http://schemas.microsoft.com/office/word/2010/wordprocessingShape">
                    <wps:wsp>
                      <wps:cNvSpPr txBox="1"/>
                      <wps:spPr>
                        <a:xfrm>
                          <a:off x="0" y="0"/>
                          <a:ext cx="2764155" cy="457200"/>
                        </a:xfrm>
                        <a:prstGeom prst="rect">
                          <a:avLst/>
                        </a:prstGeom>
                        <a:solidFill>
                          <a:prstClr val="white"/>
                        </a:solidFill>
                        <a:ln>
                          <a:noFill/>
                        </a:ln>
                        <a:effectLst/>
                      </wps:spPr>
                      <wps:txbx>
                        <w:txbxContent>
                          <w:p w:rsidR="00B421DD" w:rsidRPr="00AD599F" w:rsidRDefault="00B421DD" w:rsidP="00623671">
                            <w:pPr>
                              <w:pStyle w:val="EstiloDissertao"/>
                              <w:rPr>
                                <w:rFonts w:ascii="Times New Roman" w:hAnsi="Times New Roman" w:cs="Times New Roman"/>
                                <w:noProof/>
                                <w:szCs w:val="24"/>
                              </w:rPr>
                            </w:pPr>
                            <w:bookmarkStart w:id="50" w:name="_Toc494629369"/>
                            <w:bookmarkStart w:id="51" w:name="_Toc496553616"/>
                            <w:bookmarkStart w:id="52" w:name="_Toc496910100"/>
                            <w:r w:rsidRPr="00623671">
                              <w:rPr>
                                <w:b/>
                              </w:rPr>
                              <w:t xml:space="preserve">Gráfico </w:t>
                            </w:r>
                            <w:r w:rsidRPr="00623671">
                              <w:rPr>
                                <w:b/>
                              </w:rPr>
                              <w:fldChar w:fldCharType="begin"/>
                            </w:r>
                            <w:r w:rsidRPr="00623671">
                              <w:rPr>
                                <w:b/>
                              </w:rPr>
                              <w:instrText xml:space="preserve"> SEQ Gráfico \* ARABIC </w:instrText>
                            </w:r>
                            <w:r w:rsidRPr="00623671">
                              <w:rPr>
                                <w:b/>
                              </w:rPr>
                              <w:fldChar w:fldCharType="separate"/>
                            </w:r>
                            <w:r w:rsidR="005E2BE9">
                              <w:rPr>
                                <w:b/>
                                <w:noProof/>
                              </w:rPr>
                              <w:t>4</w:t>
                            </w:r>
                            <w:r w:rsidRPr="00623671">
                              <w:rPr>
                                <w:b/>
                              </w:rPr>
                              <w:fldChar w:fldCharType="end"/>
                            </w:r>
                            <w:r w:rsidRPr="00623671">
                              <w:rPr>
                                <w:b/>
                              </w:rPr>
                              <w:t xml:space="preserve"> –</w:t>
                            </w:r>
                            <w:r w:rsidRPr="009106B9">
                              <w:t xml:space="preserve"> Correlação entre idade e domínio cognitivo da escala MIF.</w:t>
                            </w:r>
                            <w:bookmarkEnd w:id="50"/>
                            <w:bookmarkEnd w:id="51"/>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ixa de texto 9" o:spid="_x0000_s1029" type="#_x0000_t202" style="position:absolute;left:0;text-align:left;margin-left:80.7pt;margin-top:.7pt;width:217.65pt;height:36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" stroked="f">
                <v:textbox inset="0,0,0,0">
                  <w:txbxContent>
                    <w:p w:rsidR="00B421DD" w:rsidRPr="00AD599F" w:rsidRDefault="00B421DD" w:rsidP="00623671">
                      <w:pPr>
                        <w:pStyle w:val="EstiloDissertao"/>
                        <w:rPr>
                          <w:rFonts w:ascii="Times New Roman" w:hAnsi="Times New Roman" w:cs="Times New Roman"/>
                          <w:noProof/>
                          <w:szCs w:val="24"/>
                        </w:rPr>
                      </w:pPr>
                      <w:bookmarkStart w:id="53" w:name="_Toc494629369"/>
                      <w:bookmarkStart w:id="54" w:name="_Toc496553616"/>
                      <w:bookmarkStart w:id="55" w:name="_Toc496910100"/>
                      <w:r w:rsidRPr="00623671">
                        <w:rPr>
                          <w:b/>
                        </w:rPr>
                        <w:t xml:space="preserve">Gráfico </w:t>
                      </w:r>
                      <w:r w:rsidRPr="00623671">
                        <w:rPr>
                          <w:b/>
                        </w:rPr>
                        <w:fldChar w:fldCharType="begin"/>
                      </w:r>
                      <w:r w:rsidRPr="00623671">
                        <w:rPr>
                          <w:b/>
                        </w:rPr>
                        <w:instrText xml:space="preserve"> SEQ Gráfico \* ARABIC </w:instrText>
                      </w:r>
                      <w:r w:rsidRPr="00623671">
                        <w:rPr>
                          <w:b/>
                        </w:rPr>
                        <w:fldChar w:fldCharType="separate"/>
                      </w:r>
                      <w:r w:rsidR="005E2BE9">
                        <w:rPr>
                          <w:b/>
                          <w:noProof/>
                        </w:rPr>
                        <w:t>4</w:t>
                      </w:r>
                      <w:r w:rsidRPr="00623671">
                        <w:rPr>
                          <w:b/>
                        </w:rPr>
                        <w:fldChar w:fldCharType="end"/>
                      </w:r>
                      <w:r w:rsidRPr="00623671">
                        <w:rPr>
                          <w:b/>
                        </w:rPr>
                        <w:t xml:space="preserve"> –</w:t>
                      </w:r>
                      <w:r w:rsidRPr="009106B9">
                        <w:t xml:space="preserve"> Correlação entre idade e domínio cognitivo da escala MIF.</w:t>
                      </w:r>
                      <w:bookmarkEnd w:id="53"/>
                      <w:bookmarkEnd w:id="54"/>
                      <w:bookmarkEnd w:id="55"/>
                    </w:p>
                  </w:txbxContent>
                </v:textbox>
                <w10:wrap type="through"/>
              </v:shape>
            </w:pict>
          </mc:Fallback>
        </mc:AlternateContent>
      </w:r>
    </w:p>
    <w:p w:rsidR="00C2191C" w:rsidRDefault="00C2191C" w:rsidP="00287E69">
      <w:pPr>
        <w:tabs>
          <w:tab w:val="left" w:pos="1418"/>
          <w:tab w:val="left" w:pos="6521"/>
        </w:tabs>
        <w:spacing w:after="0" w:line="240" w:lineRule="auto"/>
        <w:ind w:left="1701" w:right="2975"/>
        <w:jc w:val="both"/>
        <w:rPr>
          <w:rFonts w:ascii="Arial" w:hAnsi="Arial" w:cs="Arial"/>
          <w:sz w:val="20"/>
        </w:rPr>
      </w:pPr>
    </w:p>
    <w:p w:rsidR="00F066BD" w:rsidRDefault="00932C1B" w:rsidP="00287E69">
      <w:pPr>
        <w:tabs>
          <w:tab w:val="left" w:pos="1418"/>
          <w:tab w:val="left" w:pos="6096"/>
          <w:tab w:val="left" w:pos="6379"/>
        </w:tabs>
        <w:spacing w:after="0" w:line="360" w:lineRule="auto"/>
        <w:jc w:val="both"/>
        <w:rPr>
          <w:rFonts w:ascii="Arial" w:hAnsi="Arial" w:cs="Arial"/>
          <w:sz w:val="24"/>
        </w:rPr>
      </w:pPr>
      <w:r>
        <w:rPr>
          <w:rFonts w:ascii="Times New Roman" w:hAnsi="Times New Roman" w:cs="Times New Roman"/>
          <w:noProof/>
          <w:sz w:val="24"/>
          <w:szCs w:val="24"/>
          <w:lang w:eastAsia="pt-BR"/>
        </w:rPr>
        <w:drawing>
          <wp:anchor distT="0" distB="0" distL="114300" distR="114300" simplePos="0" relativeHeight="251706368" behindDoc="1" locked="0" layoutInCell="1" allowOverlap="1" wp14:anchorId="06DF2999" wp14:editId="3A4B8576">
            <wp:simplePos x="0" y="0"/>
            <wp:positionH relativeFrom="column">
              <wp:posOffset>706120</wp:posOffset>
            </wp:positionH>
            <wp:positionV relativeFrom="paragraph">
              <wp:posOffset>41910</wp:posOffset>
            </wp:positionV>
            <wp:extent cx="3572510" cy="2854960"/>
            <wp:effectExtent l="0" t="0" r="8890" b="2540"/>
            <wp:wrapThrough wrapText="bothSides">
              <wp:wrapPolygon edited="0">
                <wp:start x="0" y="0"/>
                <wp:lineTo x="0" y="21475"/>
                <wp:lineTo x="21539" y="21475"/>
                <wp:lineTo x="21539" y="0"/>
                <wp:lineTo x="0" y="0"/>
              </wp:wrapPolygon>
            </wp:wrapThrough>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2510" cy="285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191C" w:rsidRDefault="00C2191C" w:rsidP="008C0F0C">
      <w:pPr>
        <w:tabs>
          <w:tab w:val="left" w:pos="1418"/>
        </w:tabs>
        <w:spacing w:after="0" w:line="360" w:lineRule="auto"/>
        <w:jc w:val="both"/>
        <w:rPr>
          <w:rFonts w:ascii="Arial" w:hAnsi="Arial" w:cs="Arial"/>
          <w:sz w:val="24"/>
        </w:rPr>
      </w:pPr>
    </w:p>
    <w:p w:rsidR="00C2191C" w:rsidRDefault="00C2191C" w:rsidP="008C0F0C">
      <w:pPr>
        <w:tabs>
          <w:tab w:val="left" w:pos="1418"/>
        </w:tabs>
        <w:spacing w:after="0" w:line="360" w:lineRule="auto"/>
        <w:jc w:val="both"/>
        <w:rPr>
          <w:rFonts w:ascii="Arial" w:hAnsi="Arial" w:cs="Arial"/>
          <w:sz w:val="24"/>
        </w:rPr>
      </w:pPr>
    </w:p>
    <w:p w:rsidR="00C2191C" w:rsidRDefault="00C2191C" w:rsidP="008C0F0C">
      <w:pPr>
        <w:tabs>
          <w:tab w:val="left" w:pos="1418"/>
        </w:tabs>
        <w:spacing w:after="0" w:line="360" w:lineRule="auto"/>
        <w:jc w:val="both"/>
        <w:rPr>
          <w:rFonts w:ascii="Arial" w:hAnsi="Arial" w:cs="Arial"/>
          <w:sz w:val="24"/>
        </w:rPr>
      </w:pPr>
    </w:p>
    <w:p w:rsidR="00C2191C" w:rsidRDefault="00C2191C" w:rsidP="008C0F0C">
      <w:pPr>
        <w:tabs>
          <w:tab w:val="left" w:pos="1418"/>
        </w:tabs>
        <w:spacing w:after="0" w:line="360" w:lineRule="auto"/>
        <w:jc w:val="both"/>
        <w:rPr>
          <w:rFonts w:ascii="Arial" w:hAnsi="Arial" w:cs="Arial"/>
          <w:sz w:val="24"/>
        </w:rPr>
      </w:pPr>
    </w:p>
    <w:p w:rsidR="00F359F2" w:rsidRPr="001A37BB" w:rsidRDefault="00F359F2" w:rsidP="008C0F0C">
      <w:pPr>
        <w:tabs>
          <w:tab w:val="left" w:pos="1418"/>
        </w:tabs>
        <w:spacing w:after="0" w:line="360" w:lineRule="auto"/>
        <w:jc w:val="both"/>
        <w:rPr>
          <w:rFonts w:ascii="Arial" w:hAnsi="Arial" w:cs="Arial"/>
        </w:rPr>
      </w:pPr>
    </w:p>
    <w:p w:rsidR="00C2191C" w:rsidRDefault="00C2191C" w:rsidP="008C0F0C">
      <w:pPr>
        <w:tabs>
          <w:tab w:val="left" w:pos="1418"/>
        </w:tabs>
        <w:spacing w:after="0" w:line="360" w:lineRule="auto"/>
        <w:jc w:val="both"/>
        <w:rPr>
          <w:rFonts w:ascii="Arial" w:hAnsi="Arial" w:cs="Arial"/>
          <w:sz w:val="24"/>
        </w:rPr>
      </w:pPr>
    </w:p>
    <w:p w:rsidR="00C2191C" w:rsidRDefault="00C2191C" w:rsidP="008C0F0C">
      <w:pPr>
        <w:tabs>
          <w:tab w:val="left" w:pos="1418"/>
        </w:tabs>
        <w:spacing w:after="0" w:line="360" w:lineRule="auto"/>
        <w:jc w:val="both"/>
        <w:rPr>
          <w:rFonts w:ascii="Arial" w:hAnsi="Arial" w:cs="Arial"/>
          <w:sz w:val="24"/>
        </w:rPr>
      </w:pPr>
    </w:p>
    <w:p w:rsidR="00C2191C" w:rsidRDefault="00C2191C" w:rsidP="008C0F0C">
      <w:pPr>
        <w:tabs>
          <w:tab w:val="left" w:pos="1418"/>
        </w:tabs>
        <w:spacing w:after="0" w:line="360" w:lineRule="auto"/>
        <w:jc w:val="both"/>
        <w:rPr>
          <w:rFonts w:ascii="Arial" w:hAnsi="Arial" w:cs="Arial"/>
          <w:sz w:val="24"/>
        </w:rPr>
      </w:pPr>
    </w:p>
    <w:p w:rsidR="00C2191C" w:rsidRPr="00DA615D" w:rsidRDefault="00C2191C" w:rsidP="008C0F0C">
      <w:pPr>
        <w:tabs>
          <w:tab w:val="left" w:pos="1418"/>
        </w:tabs>
        <w:spacing w:after="0" w:line="360" w:lineRule="auto"/>
        <w:jc w:val="both"/>
        <w:rPr>
          <w:rFonts w:ascii="Arial" w:hAnsi="Arial" w:cs="Arial"/>
          <w:sz w:val="24"/>
        </w:rPr>
      </w:pPr>
    </w:p>
    <w:p w:rsidR="00C2191C" w:rsidRPr="0075127A" w:rsidRDefault="00C2191C" w:rsidP="008C0F0C">
      <w:pPr>
        <w:tabs>
          <w:tab w:val="left" w:pos="1418"/>
        </w:tabs>
        <w:spacing w:after="0" w:line="360" w:lineRule="auto"/>
        <w:jc w:val="both"/>
        <w:rPr>
          <w:rFonts w:ascii="Arial" w:hAnsi="Arial" w:cs="Arial"/>
          <w:sz w:val="18"/>
        </w:rPr>
      </w:pPr>
    </w:p>
    <w:p w:rsidR="00C2191C" w:rsidRPr="006E2C17" w:rsidRDefault="00C2191C" w:rsidP="006E2C17">
      <w:pPr>
        <w:tabs>
          <w:tab w:val="left" w:pos="1418"/>
          <w:tab w:val="left" w:pos="6379"/>
        </w:tabs>
        <w:spacing w:after="0" w:line="360" w:lineRule="auto"/>
        <w:jc w:val="both"/>
        <w:rPr>
          <w:rFonts w:ascii="Arial" w:hAnsi="Arial" w:cs="Arial"/>
          <w:sz w:val="16"/>
        </w:rPr>
      </w:pPr>
    </w:p>
    <w:p w:rsidR="00C2191C" w:rsidRDefault="00C2191C" w:rsidP="00D11CF9">
      <w:pPr>
        <w:tabs>
          <w:tab w:val="left" w:pos="1418"/>
        </w:tabs>
        <w:spacing w:after="0" w:line="240" w:lineRule="auto"/>
        <w:ind w:left="1701"/>
        <w:jc w:val="both"/>
        <w:rPr>
          <w:rFonts w:ascii="Arial" w:hAnsi="Arial" w:cs="Arial"/>
          <w:sz w:val="24"/>
        </w:rPr>
      </w:pPr>
      <w:r w:rsidRPr="00E2238E">
        <w:rPr>
          <w:rFonts w:ascii="Arial" w:hAnsi="Arial" w:cs="Arial"/>
          <w:sz w:val="20"/>
          <w:vertAlign w:val="superscript"/>
        </w:rPr>
        <w:t>a</w:t>
      </w:r>
      <w:r w:rsidRPr="00E2238E">
        <w:rPr>
          <w:rFonts w:ascii="Arial" w:hAnsi="Arial" w:cs="Arial"/>
          <w:sz w:val="20"/>
        </w:rPr>
        <w:t>: Teste de correlação de Pearson</w:t>
      </w:r>
      <w:r>
        <w:rPr>
          <w:rFonts w:ascii="Arial" w:hAnsi="Arial" w:cs="Arial"/>
          <w:sz w:val="24"/>
        </w:rPr>
        <w:t>.</w:t>
      </w:r>
    </w:p>
    <w:p w:rsidR="007641EC" w:rsidRPr="00C2067C" w:rsidRDefault="007641EC" w:rsidP="00C2067C">
      <w:pPr>
        <w:spacing w:after="0" w:line="360" w:lineRule="auto"/>
        <w:jc w:val="both"/>
        <w:rPr>
          <w:rFonts w:ascii="Arial" w:hAnsi="Arial" w:cs="Arial"/>
          <w:noProof/>
          <w:sz w:val="24"/>
          <w:szCs w:val="24"/>
          <w:lang w:eastAsia="pt-BR"/>
        </w:rPr>
      </w:pPr>
    </w:p>
    <w:p w:rsidR="007F5979" w:rsidRPr="00E2010F" w:rsidRDefault="004E4F84" w:rsidP="00C2067C">
      <w:pPr>
        <w:spacing w:after="0" w:line="360" w:lineRule="auto"/>
        <w:jc w:val="both"/>
        <w:rPr>
          <w:rFonts w:ascii="Arial" w:hAnsi="Arial" w:cs="Arial"/>
          <w:sz w:val="24"/>
          <w:szCs w:val="24"/>
        </w:rPr>
      </w:pPr>
      <w:r w:rsidRPr="008C1FF4">
        <w:rPr>
          <w:rFonts w:ascii="Arial" w:hAnsi="Arial" w:cs="Arial"/>
          <w:sz w:val="24"/>
        </w:rPr>
        <w:t>Em relação</w:t>
      </w:r>
      <w:r w:rsidR="001900B7" w:rsidRPr="008C1FF4">
        <w:rPr>
          <w:rFonts w:ascii="Arial" w:hAnsi="Arial" w:cs="Arial"/>
          <w:sz w:val="24"/>
        </w:rPr>
        <w:t xml:space="preserve"> </w:t>
      </w:r>
      <w:r w:rsidR="007F5979" w:rsidRPr="008C1FF4">
        <w:rPr>
          <w:rFonts w:ascii="Arial" w:hAnsi="Arial" w:cs="Arial"/>
          <w:sz w:val="24"/>
        </w:rPr>
        <w:t>ao</w:t>
      </w:r>
      <w:r w:rsidR="007D78AD" w:rsidRPr="008C1FF4">
        <w:rPr>
          <w:rFonts w:ascii="Arial" w:hAnsi="Arial" w:cs="Arial"/>
          <w:sz w:val="24"/>
        </w:rPr>
        <w:t>s sub</w:t>
      </w:r>
      <w:r w:rsidR="007F5979" w:rsidRPr="008C1FF4">
        <w:rPr>
          <w:rFonts w:ascii="Arial" w:hAnsi="Arial" w:cs="Arial"/>
          <w:sz w:val="24"/>
        </w:rPr>
        <w:t>tipo</w:t>
      </w:r>
      <w:r w:rsidR="007D78AD" w:rsidRPr="008C1FF4">
        <w:rPr>
          <w:rFonts w:ascii="Arial" w:hAnsi="Arial" w:cs="Arial"/>
          <w:sz w:val="24"/>
        </w:rPr>
        <w:t>s da doença</w:t>
      </w:r>
      <w:r w:rsidR="007F5979" w:rsidRPr="008C1FF4">
        <w:rPr>
          <w:rFonts w:ascii="Arial" w:hAnsi="Arial" w:cs="Arial"/>
          <w:sz w:val="24"/>
        </w:rPr>
        <w:t xml:space="preserve">, </w:t>
      </w:r>
      <w:r w:rsidR="00332CF5">
        <w:rPr>
          <w:rFonts w:ascii="Arial" w:hAnsi="Arial" w:cs="Arial"/>
          <w:sz w:val="24"/>
        </w:rPr>
        <w:t>neste estudo não foi possível comparação entre os mesmos devido a heterogeneidade da amostra.</w:t>
      </w:r>
      <w:r w:rsidR="00811121">
        <w:rPr>
          <w:rFonts w:ascii="Arial" w:hAnsi="Arial" w:cs="Arial"/>
          <w:sz w:val="24"/>
        </w:rPr>
        <w:t xml:space="preserve"> </w:t>
      </w:r>
      <w:r w:rsidR="00332CF5">
        <w:rPr>
          <w:rFonts w:ascii="Arial" w:hAnsi="Arial" w:cs="Arial"/>
          <w:sz w:val="24"/>
        </w:rPr>
        <w:t xml:space="preserve">Desta forma, </w:t>
      </w:r>
      <w:r w:rsidR="007F5979" w:rsidRPr="008C1FF4">
        <w:rPr>
          <w:rFonts w:ascii="Arial" w:hAnsi="Arial" w:cs="Arial"/>
          <w:sz w:val="24"/>
        </w:rPr>
        <w:t xml:space="preserve">considerando </w:t>
      </w:r>
      <w:r w:rsidR="00E76A91" w:rsidRPr="008C1FF4">
        <w:rPr>
          <w:rFonts w:ascii="Arial" w:hAnsi="Arial" w:cs="Arial"/>
          <w:sz w:val="24"/>
        </w:rPr>
        <w:t>o grupo</w:t>
      </w:r>
      <w:r w:rsidR="007F5979" w:rsidRPr="008C1FF4">
        <w:rPr>
          <w:rFonts w:ascii="Arial" w:hAnsi="Arial" w:cs="Arial"/>
          <w:sz w:val="24"/>
        </w:rPr>
        <w:t xml:space="preserve"> c</w:t>
      </w:r>
      <w:r w:rsidR="00332CF5">
        <w:rPr>
          <w:rFonts w:ascii="Arial" w:hAnsi="Arial" w:cs="Arial"/>
          <w:sz w:val="24"/>
        </w:rPr>
        <w:t>om maior frequência</w:t>
      </w:r>
      <w:r w:rsidR="009F156E">
        <w:rPr>
          <w:rFonts w:ascii="Arial" w:hAnsi="Arial" w:cs="Arial"/>
          <w:sz w:val="24"/>
        </w:rPr>
        <w:t xml:space="preserve"> (MPS tipo VI; </w:t>
      </w:r>
      <w:r w:rsidR="009F156E" w:rsidRPr="008C1FF4">
        <w:rPr>
          <w:rFonts w:ascii="Arial" w:hAnsi="Arial" w:cs="Arial"/>
          <w:sz w:val="24"/>
        </w:rPr>
        <w:t>n=19; 73,1%)</w:t>
      </w:r>
      <w:r w:rsidR="007F5979" w:rsidRPr="008C1FF4">
        <w:rPr>
          <w:rFonts w:ascii="Arial" w:hAnsi="Arial" w:cs="Arial"/>
          <w:sz w:val="24"/>
        </w:rPr>
        <w:t xml:space="preserve">, </w:t>
      </w:r>
      <w:r w:rsidR="00330802" w:rsidRPr="008C1FF4">
        <w:rPr>
          <w:rFonts w:ascii="Arial" w:hAnsi="Arial" w:cs="Arial"/>
          <w:sz w:val="24"/>
        </w:rPr>
        <w:t>nota-se</w:t>
      </w:r>
      <w:r w:rsidR="007F5979" w:rsidRPr="008C1FF4">
        <w:rPr>
          <w:rFonts w:ascii="Arial" w:hAnsi="Arial" w:cs="Arial"/>
          <w:sz w:val="24"/>
        </w:rPr>
        <w:t xml:space="preserve"> que as crianças e adolescentes diagnostic</w:t>
      </w:r>
      <w:r w:rsidR="00C2067C" w:rsidRPr="008C1FF4">
        <w:rPr>
          <w:rFonts w:ascii="Arial" w:hAnsi="Arial" w:cs="Arial"/>
          <w:sz w:val="24"/>
        </w:rPr>
        <w:t>ado</w:t>
      </w:r>
      <w:r w:rsidR="007F5979" w:rsidRPr="008C1FF4">
        <w:rPr>
          <w:rFonts w:ascii="Arial" w:hAnsi="Arial" w:cs="Arial"/>
          <w:sz w:val="24"/>
        </w:rPr>
        <w:t xml:space="preserve">s com </w:t>
      </w:r>
      <w:r w:rsidR="009F156E">
        <w:rPr>
          <w:rFonts w:ascii="Arial" w:hAnsi="Arial" w:cs="Arial"/>
          <w:sz w:val="24"/>
        </w:rPr>
        <w:t xml:space="preserve">este tipo de </w:t>
      </w:r>
      <w:r w:rsidR="007F5979" w:rsidRPr="008C1FF4">
        <w:rPr>
          <w:rFonts w:ascii="Arial" w:hAnsi="Arial" w:cs="Arial"/>
          <w:sz w:val="24"/>
        </w:rPr>
        <w:t xml:space="preserve">MPS </w:t>
      </w:r>
      <w:r w:rsidR="009F156E">
        <w:rPr>
          <w:rFonts w:ascii="Arial" w:hAnsi="Arial" w:cs="Arial"/>
          <w:sz w:val="24"/>
        </w:rPr>
        <w:t>ap</w:t>
      </w:r>
      <w:r w:rsidR="007F5979" w:rsidRPr="008C1FF4">
        <w:rPr>
          <w:rFonts w:ascii="Arial" w:hAnsi="Arial" w:cs="Arial"/>
          <w:sz w:val="24"/>
        </w:rPr>
        <w:t xml:space="preserve">resentaram escore total da </w:t>
      </w:r>
      <w:r w:rsidR="00330802" w:rsidRPr="008C1FF4">
        <w:rPr>
          <w:rFonts w:ascii="Arial" w:hAnsi="Arial" w:cs="Arial"/>
          <w:sz w:val="24"/>
        </w:rPr>
        <w:t>MIF variando d</w:t>
      </w:r>
      <w:r w:rsidR="007F5979" w:rsidRPr="008C1FF4">
        <w:rPr>
          <w:rFonts w:ascii="Arial" w:hAnsi="Arial" w:cs="Arial"/>
          <w:sz w:val="24"/>
        </w:rPr>
        <w:t xml:space="preserve">e 46 a 124 pontos (100±22 pontos). </w:t>
      </w:r>
      <w:r w:rsidR="00E2010F" w:rsidRPr="008C1FF4">
        <w:rPr>
          <w:rFonts w:ascii="Arial" w:hAnsi="Arial" w:cs="Arial"/>
          <w:sz w:val="24"/>
        </w:rPr>
        <w:t>O</w:t>
      </w:r>
      <w:r w:rsidR="00C2067C" w:rsidRPr="008C1FF4">
        <w:rPr>
          <w:rFonts w:ascii="Arial" w:hAnsi="Arial" w:cs="Arial"/>
          <w:sz w:val="24"/>
        </w:rPr>
        <w:t xml:space="preserve"> domínio motor</w:t>
      </w:r>
      <w:r w:rsidR="007D78AD" w:rsidRPr="008C1FF4">
        <w:rPr>
          <w:rFonts w:ascii="Arial" w:hAnsi="Arial" w:cs="Arial"/>
          <w:sz w:val="24"/>
        </w:rPr>
        <w:t xml:space="preserve">, </w:t>
      </w:r>
      <w:r w:rsidR="00ED4EE6" w:rsidRPr="008C1FF4">
        <w:rPr>
          <w:rFonts w:ascii="Arial" w:hAnsi="Arial" w:cs="Arial"/>
          <w:sz w:val="24"/>
        </w:rPr>
        <w:t>n</w:t>
      </w:r>
      <w:r w:rsidR="007D78AD" w:rsidRPr="008C1FF4">
        <w:rPr>
          <w:rFonts w:ascii="Arial" w:hAnsi="Arial" w:cs="Arial"/>
          <w:sz w:val="24"/>
        </w:rPr>
        <w:t>esses indivíduos,</w:t>
      </w:r>
      <w:r w:rsidR="00E2010F" w:rsidRPr="008C1FF4">
        <w:rPr>
          <w:rFonts w:ascii="Arial" w:hAnsi="Arial" w:cs="Arial"/>
          <w:sz w:val="24"/>
        </w:rPr>
        <w:t xml:space="preserve"> alcançou 77</w:t>
      </w:r>
      <w:r w:rsidR="00E2010F" w:rsidRPr="008C1FF4">
        <w:rPr>
          <w:rFonts w:ascii="Arial" w:hAnsi="Arial" w:cs="Arial"/>
          <w:sz w:val="24"/>
          <w:szCs w:val="24"/>
        </w:rPr>
        <w:t xml:space="preserve">% </w:t>
      </w:r>
      <w:r w:rsidR="00E2010F" w:rsidRPr="008C1FF4">
        <w:rPr>
          <w:rFonts w:ascii="Arial" w:hAnsi="Arial" w:cs="Arial"/>
          <w:sz w:val="24"/>
        </w:rPr>
        <w:t xml:space="preserve">da pontuação máxima possível </w:t>
      </w:r>
      <w:r w:rsidR="00E2010F" w:rsidRPr="008C1FF4">
        <w:rPr>
          <w:rFonts w:ascii="Arial" w:hAnsi="Arial" w:cs="Arial"/>
          <w:sz w:val="24"/>
          <w:szCs w:val="24"/>
        </w:rPr>
        <w:t>(</w:t>
      </w:r>
      <w:r w:rsidR="007D78AD" w:rsidRPr="008C1FF4">
        <w:rPr>
          <w:rFonts w:ascii="Arial" w:hAnsi="Arial" w:cs="Arial"/>
          <w:noProof/>
          <w:sz w:val="24"/>
          <w:szCs w:val="24"/>
          <w:lang w:eastAsia="pt-BR"/>
        </w:rPr>
        <w:t>70±16,8 pontos);</w:t>
      </w:r>
      <w:r w:rsidR="00E2010F" w:rsidRPr="008C1FF4">
        <w:rPr>
          <w:rFonts w:ascii="Arial" w:hAnsi="Arial" w:cs="Arial"/>
          <w:sz w:val="24"/>
        </w:rPr>
        <w:t xml:space="preserve"> e o cognitivo </w:t>
      </w:r>
      <w:r w:rsidR="004E6464" w:rsidRPr="008C1FF4">
        <w:rPr>
          <w:rFonts w:ascii="Arial" w:hAnsi="Arial" w:cs="Arial"/>
          <w:sz w:val="24"/>
        </w:rPr>
        <w:t>94%</w:t>
      </w:r>
      <w:r w:rsidR="00767B39" w:rsidRPr="008C1FF4">
        <w:rPr>
          <w:rFonts w:ascii="Arial" w:hAnsi="Arial" w:cs="Arial"/>
          <w:sz w:val="24"/>
        </w:rPr>
        <w:t xml:space="preserve"> (Md = 33; IIQ: 26 – 35</w:t>
      </w:r>
      <w:r w:rsidR="008F76F8" w:rsidRPr="008C1FF4">
        <w:rPr>
          <w:rFonts w:ascii="Arial" w:hAnsi="Arial" w:cs="Arial"/>
          <w:sz w:val="24"/>
        </w:rPr>
        <w:t xml:space="preserve"> pontos)</w:t>
      </w:r>
      <w:r w:rsidR="00753D28" w:rsidRPr="008C1FF4">
        <w:rPr>
          <w:rFonts w:ascii="Arial" w:hAnsi="Arial" w:cs="Arial"/>
          <w:noProof/>
          <w:sz w:val="24"/>
          <w:szCs w:val="24"/>
          <w:lang w:eastAsia="pt-BR"/>
        </w:rPr>
        <w:t xml:space="preserve"> (tabela 4).</w:t>
      </w:r>
    </w:p>
    <w:p w:rsidR="00BA2EB0" w:rsidRPr="007015CE" w:rsidRDefault="00BA2EB0" w:rsidP="00C2067C">
      <w:pPr>
        <w:spacing w:after="0" w:line="360" w:lineRule="auto"/>
        <w:jc w:val="both"/>
        <w:rPr>
          <w:rFonts w:ascii="Arial" w:hAnsi="Arial" w:cs="Arial"/>
          <w:noProof/>
          <w:sz w:val="20"/>
          <w:lang w:eastAsia="pt-BR"/>
        </w:rPr>
      </w:pPr>
    </w:p>
    <w:p w:rsidR="003D7860" w:rsidRDefault="003D7860" w:rsidP="003D7860">
      <w:pPr>
        <w:pStyle w:val="EstiloDissertao"/>
        <w:ind w:left="567" w:right="566"/>
      </w:pPr>
      <w:bookmarkStart w:id="56" w:name="_Toc496543269"/>
      <w:bookmarkStart w:id="57" w:name="_Toc496553541"/>
      <w:r w:rsidRPr="003D7860">
        <w:rPr>
          <w:b/>
        </w:rPr>
        <w:t xml:space="preserve">Tabela </w:t>
      </w:r>
      <w:r w:rsidRPr="003D7860">
        <w:rPr>
          <w:b/>
        </w:rPr>
        <w:fldChar w:fldCharType="begin"/>
      </w:r>
      <w:r w:rsidRPr="003D7860">
        <w:rPr>
          <w:b/>
        </w:rPr>
        <w:instrText xml:space="preserve"> SEQ Tabela \* ARABIC </w:instrText>
      </w:r>
      <w:r w:rsidRPr="003D7860">
        <w:rPr>
          <w:b/>
        </w:rPr>
        <w:fldChar w:fldCharType="separate"/>
      </w:r>
      <w:r w:rsidR="005E2BE9">
        <w:rPr>
          <w:b/>
          <w:noProof/>
        </w:rPr>
        <w:t>4</w:t>
      </w:r>
      <w:r w:rsidRPr="003D7860">
        <w:rPr>
          <w:b/>
        </w:rPr>
        <w:fldChar w:fldCharType="end"/>
      </w:r>
      <w:r>
        <w:t xml:space="preserve"> </w:t>
      </w:r>
      <w:r w:rsidRPr="007A1E7F">
        <w:rPr>
          <w:b/>
        </w:rPr>
        <w:t>–</w:t>
      </w:r>
      <w:r>
        <w:rPr>
          <w:b/>
        </w:rPr>
        <w:t xml:space="preserve"> </w:t>
      </w:r>
      <w:r>
        <w:t xml:space="preserve">Escores dos </w:t>
      </w:r>
      <w:r w:rsidRPr="00190034">
        <w:t>domínios</w:t>
      </w:r>
      <w:r>
        <w:t xml:space="preserve"> e o total</w:t>
      </w:r>
      <w:r w:rsidRPr="00190034">
        <w:t xml:space="preserve"> da escala MIF aplicada aos pais das crianças e adolescentes </w:t>
      </w:r>
      <w:r>
        <w:t xml:space="preserve">com MPS VI </w:t>
      </w:r>
      <w:r w:rsidRPr="00190034">
        <w:t>acompanhados no ambulatório de ortopedia do HSI, no período de janeiro de 2012 a outubro de 2014</w:t>
      </w:r>
      <w:bookmarkEnd w:id="56"/>
      <w:r w:rsidR="00AF5ADD">
        <w:t>.</w:t>
      </w:r>
      <w:bookmarkEnd w:id="57"/>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2"/>
        <w:gridCol w:w="1484"/>
        <w:gridCol w:w="1461"/>
        <w:gridCol w:w="1867"/>
        <w:gridCol w:w="783"/>
      </w:tblGrid>
      <w:tr w:rsidR="00C2067C" w:rsidTr="002B0925">
        <w:trPr>
          <w:jc w:val="center"/>
        </w:trPr>
        <w:tc>
          <w:tcPr>
            <w:tcW w:w="2312" w:type="dxa"/>
            <w:tcBorders>
              <w:top w:val="single" w:sz="4" w:space="0" w:color="auto"/>
              <w:bottom w:val="single" w:sz="4" w:space="0" w:color="auto"/>
            </w:tcBorders>
          </w:tcPr>
          <w:p w:rsidR="00C2067C" w:rsidRPr="00BA2EB0" w:rsidRDefault="00C2067C" w:rsidP="00B93667">
            <w:pPr>
              <w:spacing w:line="360" w:lineRule="auto"/>
              <w:jc w:val="center"/>
              <w:rPr>
                <w:rFonts w:ascii="Arial" w:hAnsi="Arial" w:cs="Arial"/>
                <w:b/>
                <w:noProof/>
                <w:szCs w:val="24"/>
                <w:lang w:eastAsia="pt-BR"/>
              </w:rPr>
            </w:pPr>
            <w:r>
              <w:rPr>
                <w:rFonts w:ascii="Arial" w:hAnsi="Arial" w:cs="Arial"/>
                <w:b/>
                <w:noProof/>
                <w:szCs w:val="24"/>
                <w:lang w:eastAsia="pt-BR"/>
              </w:rPr>
              <w:t>Domínios da Escala MIF</w:t>
            </w:r>
            <w:r w:rsidR="00140CF2">
              <w:rPr>
                <w:rFonts w:ascii="Arial" w:hAnsi="Arial" w:cs="Arial"/>
                <w:b/>
                <w:noProof/>
                <w:szCs w:val="24"/>
                <w:lang w:eastAsia="pt-BR"/>
              </w:rPr>
              <w:t xml:space="preserve"> – MPS VI</w:t>
            </w:r>
          </w:p>
        </w:tc>
        <w:tc>
          <w:tcPr>
            <w:tcW w:w="1484" w:type="dxa"/>
            <w:tcBorders>
              <w:top w:val="single" w:sz="4" w:space="0" w:color="auto"/>
              <w:bottom w:val="single" w:sz="4" w:space="0" w:color="auto"/>
            </w:tcBorders>
          </w:tcPr>
          <w:p w:rsidR="00C2067C" w:rsidRPr="00BA2EB0" w:rsidRDefault="00C2067C" w:rsidP="00B93667">
            <w:pPr>
              <w:spacing w:line="360" w:lineRule="auto"/>
              <w:jc w:val="center"/>
              <w:rPr>
                <w:rFonts w:ascii="Arial" w:hAnsi="Arial" w:cs="Arial"/>
                <w:b/>
                <w:noProof/>
                <w:szCs w:val="24"/>
                <w:lang w:eastAsia="pt-BR"/>
              </w:rPr>
            </w:pPr>
            <w:r>
              <w:rPr>
                <w:rFonts w:ascii="Arial" w:hAnsi="Arial" w:cs="Arial"/>
                <w:b/>
                <w:noProof/>
                <w:szCs w:val="24"/>
                <w:lang w:eastAsia="pt-BR"/>
              </w:rPr>
              <w:t>Escore</w:t>
            </w:r>
            <w:r w:rsidRPr="00BA2EB0">
              <w:rPr>
                <w:rFonts w:ascii="Arial" w:hAnsi="Arial" w:cs="Arial"/>
                <w:b/>
                <w:noProof/>
                <w:szCs w:val="24"/>
                <w:lang w:eastAsia="pt-BR"/>
              </w:rPr>
              <w:t xml:space="preserve"> mínimo</w:t>
            </w:r>
          </w:p>
        </w:tc>
        <w:tc>
          <w:tcPr>
            <w:tcW w:w="1461" w:type="dxa"/>
            <w:tcBorders>
              <w:top w:val="single" w:sz="4" w:space="0" w:color="auto"/>
              <w:bottom w:val="single" w:sz="4" w:space="0" w:color="auto"/>
            </w:tcBorders>
          </w:tcPr>
          <w:p w:rsidR="00C2067C" w:rsidRPr="00BA2EB0" w:rsidRDefault="00C2067C" w:rsidP="00B93667">
            <w:pPr>
              <w:spacing w:line="360" w:lineRule="auto"/>
              <w:jc w:val="center"/>
              <w:rPr>
                <w:rFonts w:ascii="Arial" w:hAnsi="Arial" w:cs="Arial"/>
                <w:b/>
                <w:noProof/>
                <w:szCs w:val="24"/>
                <w:lang w:eastAsia="pt-BR"/>
              </w:rPr>
            </w:pPr>
            <w:r w:rsidRPr="00BA2EB0">
              <w:rPr>
                <w:rFonts w:ascii="Arial" w:hAnsi="Arial" w:cs="Arial"/>
                <w:b/>
                <w:noProof/>
                <w:szCs w:val="24"/>
                <w:lang w:eastAsia="pt-BR"/>
              </w:rPr>
              <w:t>Escore máximo</w:t>
            </w:r>
          </w:p>
        </w:tc>
        <w:tc>
          <w:tcPr>
            <w:tcW w:w="1867" w:type="dxa"/>
            <w:tcBorders>
              <w:top w:val="single" w:sz="4" w:space="0" w:color="auto"/>
              <w:bottom w:val="single" w:sz="4" w:space="0" w:color="auto"/>
            </w:tcBorders>
          </w:tcPr>
          <w:p w:rsidR="00C2067C" w:rsidRPr="00BA2EB0" w:rsidRDefault="00C2067C" w:rsidP="00BA2EB0">
            <w:pPr>
              <w:spacing w:line="360" w:lineRule="auto"/>
              <w:jc w:val="center"/>
              <w:rPr>
                <w:rFonts w:ascii="Arial" w:hAnsi="Arial" w:cs="Arial"/>
                <w:b/>
                <w:noProof/>
                <w:szCs w:val="24"/>
                <w:lang w:eastAsia="pt-BR"/>
              </w:rPr>
            </w:pPr>
            <w:r w:rsidRPr="00BA2EB0">
              <w:rPr>
                <w:rFonts w:ascii="Arial" w:hAnsi="Arial" w:cs="Arial"/>
                <w:b/>
                <w:noProof/>
                <w:szCs w:val="24"/>
                <w:lang w:eastAsia="pt-BR"/>
              </w:rPr>
              <w:t>Média±DP</w:t>
            </w:r>
            <w:r w:rsidR="00153212">
              <w:rPr>
                <w:rFonts w:ascii="Arial" w:hAnsi="Arial" w:cs="Arial"/>
                <w:b/>
                <w:noProof/>
                <w:szCs w:val="24"/>
                <w:lang w:eastAsia="pt-BR"/>
              </w:rPr>
              <w:t xml:space="preserve"> ou Md (IIQ)</w:t>
            </w:r>
          </w:p>
        </w:tc>
        <w:tc>
          <w:tcPr>
            <w:tcW w:w="783" w:type="dxa"/>
            <w:tcBorders>
              <w:top w:val="single" w:sz="4" w:space="0" w:color="auto"/>
              <w:bottom w:val="single" w:sz="4" w:space="0" w:color="auto"/>
            </w:tcBorders>
          </w:tcPr>
          <w:p w:rsidR="006546D1" w:rsidRPr="006546D1" w:rsidRDefault="006546D1" w:rsidP="00BA2EB0">
            <w:pPr>
              <w:spacing w:line="360" w:lineRule="auto"/>
              <w:jc w:val="center"/>
              <w:rPr>
                <w:rFonts w:ascii="Arial" w:hAnsi="Arial" w:cs="Arial"/>
                <w:b/>
                <w:noProof/>
                <w:sz w:val="10"/>
                <w:szCs w:val="24"/>
                <w:lang w:eastAsia="pt-BR"/>
              </w:rPr>
            </w:pPr>
          </w:p>
          <w:p w:rsidR="00C2067C" w:rsidRPr="00BA2EB0" w:rsidRDefault="00C2067C" w:rsidP="00BA2EB0">
            <w:pPr>
              <w:spacing w:line="360" w:lineRule="auto"/>
              <w:jc w:val="center"/>
              <w:rPr>
                <w:rFonts w:ascii="Arial" w:hAnsi="Arial" w:cs="Arial"/>
                <w:b/>
                <w:noProof/>
                <w:szCs w:val="24"/>
                <w:lang w:eastAsia="pt-BR"/>
              </w:rPr>
            </w:pPr>
            <w:r>
              <w:rPr>
                <w:rFonts w:ascii="Arial" w:hAnsi="Arial" w:cs="Arial"/>
                <w:b/>
                <w:noProof/>
                <w:szCs w:val="24"/>
                <w:lang w:eastAsia="pt-BR"/>
              </w:rPr>
              <w:t>(%)*</w:t>
            </w:r>
          </w:p>
        </w:tc>
      </w:tr>
      <w:tr w:rsidR="00C2067C" w:rsidTr="002B0925">
        <w:trPr>
          <w:jc w:val="center"/>
        </w:trPr>
        <w:tc>
          <w:tcPr>
            <w:tcW w:w="2312" w:type="dxa"/>
            <w:tcBorders>
              <w:top w:val="single" w:sz="4" w:space="0" w:color="auto"/>
            </w:tcBorders>
          </w:tcPr>
          <w:p w:rsidR="00C2067C" w:rsidRPr="00BA2EB0" w:rsidRDefault="00C2067C" w:rsidP="00B93667">
            <w:pPr>
              <w:spacing w:line="360" w:lineRule="auto"/>
              <w:jc w:val="both"/>
              <w:rPr>
                <w:rFonts w:ascii="Arial" w:hAnsi="Arial" w:cs="Arial"/>
                <w:noProof/>
                <w:szCs w:val="24"/>
                <w:lang w:eastAsia="pt-BR"/>
              </w:rPr>
            </w:pPr>
            <w:r>
              <w:rPr>
                <w:rFonts w:ascii="Arial" w:hAnsi="Arial" w:cs="Arial"/>
                <w:noProof/>
                <w:szCs w:val="24"/>
                <w:lang w:eastAsia="pt-BR"/>
              </w:rPr>
              <w:t>Domínio motor</w:t>
            </w:r>
          </w:p>
        </w:tc>
        <w:tc>
          <w:tcPr>
            <w:tcW w:w="1484" w:type="dxa"/>
            <w:tcBorders>
              <w:top w:val="single" w:sz="4" w:space="0" w:color="auto"/>
            </w:tcBorders>
          </w:tcPr>
          <w:p w:rsidR="00C2067C" w:rsidRPr="00BA2EB0" w:rsidRDefault="00C2067C" w:rsidP="00BA2EB0">
            <w:pPr>
              <w:spacing w:line="360" w:lineRule="auto"/>
              <w:jc w:val="center"/>
              <w:rPr>
                <w:rFonts w:ascii="Arial" w:hAnsi="Arial" w:cs="Arial"/>
                <w:noProof/>
                <w:szCs w:val="24"/>
                <w:lang w:eastAsia="pt-BR"/>
              </w:rPr>
            </w:pPr>
            <w:r>
              <w:rPr>
                <w:rFonts w:ascii="Arial" w:hAnsi="Arial" w:cs="Arial"/>
                <w:noProof/>
                <w:szCs w:val="24"/>
                <w:lang w:eastAsia="pt-BR"/>
              </w:rPr>
              <w:t>35</w:t>
            </w:r>
          </w:p>
        </w:tc>
        <w:tc>
          <w:tcPr>
            <w:tcW w:w="1461" w:type="dxa"/>
            <w:tcBorders>
              <w:top w:val="single" w:sz="4" w:space="0" w:color="auto"/>
            </w:tcBorders>
          </w:tcPr>
          <w:p w:rsidR="00C2067C" w:rsidRPr="00BA2EB0" w:rsidRDefault="00C2067C" w:rsidP="00BA2EB0">
            <w:pPr>
              <w:spacing w:line="360" w:lineRule="auto"/>
              <w:jc w:val="center"/>
              <w:rPr>
                <w:rFonts w:ascii="Arial" w:hAnsi="Arial" w:cs="Arial"/>
                <w:noProof/>
                <w:szCs w:val="24"/>
                <w:lang w:eastAsia="pt-BR"/>
              </w:rPr>
            </w:pPr>
            <w:r>
              <w:rPr>
                <w:rFonts w:ascii="Arial" w:hAnsi="Arial" w:cs="Arial"/>
                <w:noProof/>
                <w:szCs w:val="24"/>
                <w:lang w:eastAsia="pt-BR"/>
              </w:rPr>
              <w:t>89</w:t>
            </w:r>
          </w:p>
        </w:tc>
        <w:tc>
          <w:tcPr>
            <w:tcW w:w="1867" w:type="dxa"/>
            <w:tcBorders>
              <w:top w:val="single" w:sz="4" w:space="0" w:color="auto"/>
            </w:tcBorders>
          </w:tcPr>
          <w:p w:rsidR="00C2067C" w:rsidRPr="00BA2EB0" w:rsidRDefault="00C2067C" w:rsidP="00BA2EB0">
            <w:pPr>
              <w:spacing w:line="360" w:lineRule="auto"/>
              <w:jc w:val="center"/>
              <w:rPr>
                <w:rFonts w:ascii="Arial" w:hAnsi="Arial" w:cs="Arial"/>
                <w:noProof/>
                <w:szCs w:val="24"/>
                <w:lang w:eastAsia="pt-BR"/>
              </w:rPr>
            </w:pPr>
            <w:r>
              <w:rPr>
                <w:rFonts w:ascii="Arial" w:hAnsi="Arial" w:cs="Arial"/>
                <w:noProof/>
                <w:szCs w:val="24"/>
                <w:lang w:eastAsia="pt-BR"/>
              </w:rPr>
              <w:t>70±16,8</w:t>
            </w:r>
          </w:p>
        </w:tc>
        <w:tc>
          <w:tcPr>
            <w:tcW w:w="783" w:type="dxa"/>
            <w:tcBorders>
              <w:top w:val="single" w:sz="4" w:space="0" w:color="auto"/>
            </w:tcBorders>
          </w:tcPr>
          <w:p w:rsidR="00C2067C" w:rsidRDefault="00C2067C" w:rsidP="00BA2EB0">
            <w:pPr>
              <w:spacing w:line="360" w:lineRule="auto"/>
              <w:jc w:val="center"/>
              <w:rPr>
                <w:rFonts w:ascii="Arial" w:hAnsi="Arial" w:cs="Arial"/>
                <w:noProof/>
                <w:szCs w:val="24"/>
                <w:lang w:eastAsia="pt-BR"/>
              </w:rPr>
            </w:pPr>
            <w:r>
              <w:rPr>
                <w:rFonts w:ascii="Arial" w:hAnsi="Arial" w:cs="Arial"/>
                <w:noProof/>
                <w:szCs w:val="24"/>
                <w:lang w:eastAsia="pt-BR"/>
              </w:rPr>
              <w:t>77%</w:t>
            </w:r>
          </w:p>
        </w:tc>
      </w:tr>
      <w:tr w:rsidR="00C2067C" w:rsidTr="002B0925">
        <w:trPr>
          <w:jc w:val="center"/>
        </w:trPr>
        <w:tc>
          <w:tcPr>
            <w:tcW w:w="2312" w:type="dxa"/>
          </w:tcPr>
          <w:p w:rsidR="00C2067C" w:rsidRDefault="00C2067C" w:rsidP="00B93667">
            <w:pPr>
              <w:spacing w:line="360" w:lineRule="auto"/>
              <w:jc w:val="both"/>
              <w:rPr>
                <w:rFonts w:ascii="Arial" w:hAnsi="Arial" w:cs="Arial"/>
                <w:noProof/>
                <w:szCs w:val="24"/>
                <w:lang w:eastAsia="pt-BR"/>
              </w:rPr>
            </w:pPr>
            <w:r>
              <w:rPr>
                <w:rFonts w:ascii="Arial" w:hAnsi="Arial" w:cs="Arial"/>
                <w:noProof/>
                <w:szCs w:val="24"/>
                <w:lang w:eastAsia="pt-BR"/>
              </w:rPr>
              <w:t>Domínio cognitivo</w:t>
            </w:r>
          </w:p>
        </w:tc>
        <w:tc>
          <w:tcPr>
            <w:tcW w:w="1484" w:type="dxa"/>
          </w:tcPr>
          <w:p w:rsidR="00C2067C" w:rsidRPr="00BA2EB0" w:rsidRDefault="00C2067C" w:rsidP="00BA2EB0">
            <w:pPr>
              <w:spacing w:line="360" w:lineRule="auto"/>
              <w:jc w:val="center"/>
              <w:rPr>
                <w:rFonts w:ascii="Arial" w:hAnsi="Arial" w:cs="Arial"/>
                <w:noProof/>
                <w:szCs w:val="24"/>
                <w:lang w:eastAsia="pt-BR"/>
              </w:rPr>
            </w:pPr>
            <w:r>
              <w:rPr>
                <w:rFonts w:ascii="Arial" w:hAnsi="Arial" w:cs="Arial"/>
                <w:noProof/>
                <w:szCs w:val="24"/>
                <w:lang w:eastAsia="pt-BR"/>
              </w:rPr>
              <w:t>11</w:t>
            </w:r>
          </w:p>
        </w:tc>
        <w:tc>
          <w:tcPr>
            <w:tcW w:w="1461" w:type="dxa"/>
          </w:tcPr>
          <w:p w:rsidR="00C2067C" w:rsidRPr="00BA2EB0" w:rsidRDefault="00C2067C" w:rsidP="00BA2EB0">
            <w:pPr>
              <w:spacing w:line="360" w:lineRule="auto"/>
              <w:jc w:val="center"/>
              <w:rPr>
                <w:rFonts w:ascii="Arial" w:hAnsi="Arial" w:cs="Arial"/>
                <w:noProof/>
                <w:szCs w:val="24"/>
                <w:lang w:eastAsia="pt-BR"/>
              </w:rPr>
            </w:pPr>
            <w:r>
              <w:rPr>
                <w:rFonts w:ascii="Arial" w:hAnsi="Arial" w:cs="Arial"/>
                <w:noProof/>
                <w:szCs w:val="24"/>
                <w:lang w:eastAsia="pt-BR"/>
              </w:rPr>
              <w:t>35</w:t>
            </w:r>
          </w:p>
        </w:tc>
        <w:tc>
          <w:tcPr>
            <w:tcW w:w="1867" w:type="dxa"/>
          </w:tcPr>
          <w:p w:rsidR="00C2067C" w:rsidRDefault="00767B39" w:rsidP="00767B39">
            <w:pPr>
              <w:spacing w:line="360" w:lineRule="auto"/>
              <w:jc w:val="center"/>
              <w:rPr>
                <w:rFonts w:ascii="Arial" w:hAnsi="Arial" w:cs="Arial"/>
                <w:noProof/>
                <w:szCs w:val="24"/>
                <w:lang w:eastAsia="pt-BR"/>
              </w:rPr>
            </w:pPr>
            <w:r>
              <w:rPr>
                <w:rFonts w:ascii="Arial" w:hAnsi="Arial" w:cs="Arial"/>
                <w:noProof/>
                <w:szCs w:val="24"/>
                <w:lang w:eastAsia="pt-BR"/>
              </w:rPr>
              <w:t>33 (26</w:t>
            </w:r>
            <w:r w:rsidR="003440A8">
              <w:rPr>
                <w:rFonts w:ascii="Arial" w:hAnsi="Arial" w:cs="Arial"/>
                <w:noProof/>
                <w:szCs w:val="24"/>
                <w:lang w:eastAsia="pt-BR"/>
              </w:rPr>
              <w:t xml:space="preserve"> – 35)</w:t>
            </w:r>
          </w:p>
        </w:tc>
        <w:tc>
          <w:tcPr>
            <w:tcW w:w="783" w:type="dxa"/>
          </w:tcPr>
          <w:p w:rsidR="00C2067C" w:rsidRDefault="003440A8" w:rsidP="00BA2EB0">
            <w:pPr>
              <w:spacing w:line="360" w:lineRule="auto"/>
              <w:jc w:val="center"/>
              <w:rPr>
                <w:rFonts w:ascii="Arial" w:hAnsi="Arial" w:cs="Arial"/>
                <w:noProof/>
                <w:szCs w:val="24"/>
                <w:lang w:eastAsia="pt-BR"/>
              </w:rPr>
            </w:pPr>
            <w:r>
              <w:rPr>
                <w:rFonts w:ascii="Arial" w:hAnsi="Arial" w:cs="Arial"/>
                <w:noProof/>
                <w:szCs w:val="24"/>
                <w:lang w:eastAsia="pt-BR"/>
              </w:rPr>
              <w:t>94</w:t>
            </w:r>
            <w:r w:rsidR="00C2067C">
              <w:rPr>
                <w:rFonts w:ascii="Arial" w:hAnsi="Arial" w:cs="Arial"/>
                <w:noProof/>
                <w:szCs w:val="24"/>
                <w:lang w:eastAsia="pt-BR"/>
              </w:rPr>
              <w:t>%</w:t>
            </w:r>
          </w:p>
        </w:tc>
      </w:tr>
      <w:tr w:rsidR="00C2067C" w:rsidTr="002B0925">
        <w:trPr>
          <w:jc w:val="center"/>
        </w:trPr>
        <w:tc>
          <w:tcPr>
            <w:tcW w:w="2312" w:type="dxa"/>
            <w:tcBorders>
              <w:bottom w:val="single" w:sz="4" w:space="0" w:color="auto"/>
            </w:tcBorders>
          </w:tcPr>
          <w:p w:rsidR="00C2067C" w:rsidRPr="00357AC1" w:rsidRDefault="00C2067C" w:rsidP="00B93667">
            <w:pPr>
              <w:spacing w:line="360" w:lineRule="auto"/>
              <w:jc w:val="both"/>
              <w:rPr>
                <w:rFonts w:ascii="Arial" w:hAnsi="Arial" w:cs="Arial"/>
                <w:b/>
                <w:noProof/>
                <w:szCs w:val="24"/>
                <w:lang w:eastAsia="pt-BR"/>
              </w:rPr>
            </w:pPr>
            <w:r w:rsidRPr="00357AC1">
              <w:rPr>
                <w:rFonts w:ascii="Arial" w:hAnsi="Arial" w:cs="Arial"/>
                <w:b/>
                <w:noProof/>
                <w:szCs w:val="24"/>
                <w:lang w:eastAsia="pt-BR"/>
              </w:rPr>
              <w:t>Escore Total da MIF</w:t>
            </w:r>
          </w:p>
        </w:tc>
        <w:tc>
          <w:tcPr>
            <w:tcW w:w="1484" w:type="dxa"/>
            <w:tcBorders>
              <w:bottom w:val="single" w:sz="4" w:space="0" w:color="auto"/>
            </w:tcBorders>
          </w:tcPr>
          <w:p w:rsidR="00C2067C" w:rsidRPr="00BA2EB0" w:rsidRDefault="00C2067C" w:rsidP="00BA2EB0">
            <w:pPr>
              <w:spacing w:line="360" w:lineRule="auto"/>
              <w:jc w:val="center"/>
              <w:rPr>
                <w:rFonts w:ascii="Arial" w:hAnsi="Arial" w:cs="Arial"/>
                <w:noProof/>
                <w:szCs w:val="24"/>
                <w:lang w:eastAsia="pt-BR"/>
              </w:rPr>
            </w:pPr>
            <w:r>
              <w:rPr>
                <w:rFonts w:ascii="Arial" w:hAnsi="Arial" w:cs="Arial"/>
                <w:noProof/>
                <w:szCs w:val="24"/>
                <w:lang w:eastAsia="pt-BR"/>
              </w:rPr>
              <w:t>46</w:t>
            </w:r>
          </w:p>
        </w:tc>
        <w:tc>
          <w:tcPr>
            <w:tcW w:w="1461" w:type="dxa"/>
            <w:tcBorders>
              <w:bottom w:val="single" w:sz="4" w:space="0" w:color="auto"/>
            </w:tcBorders>
          </w:tcPr>
          <w:p w:rsidR="00C2067C" w:rsidRPr="00BA2EB0" w:rsidRDefault="00C2067C" w:rsidP="00BA2EB0">
            <w:pPr>
              <w:spacing w:line="360" w:lineRule="auto"/>
              <w:jc w:val="center"/>
              <w:rPr>
                <w:rFonts w:ascii="Arial" w:hAnsi="Arial" w:cs="Arial"/>
                <w:noProof/>
                <w:szCs w:val="24"/>
                <w:lang w:eastAsia="pt-BR"/>
              </w:rPr>
            </w:pPr>
            <w:r>
              <w:rPr>
                <w:rFonts w:ascii="Arial" w:hAnsi="Arial" w:cs="Arial"/>
                <w:noProof/>
                <w:szCs w:val="24"/>
                <w:lang w:eastAsia="pt-BR"/>
              </w:rPr>
              <w:t>124</w:t>
            </w:r>
          </w:p>
        </w:tc>
        <w:tc>
          <w:tcPr>
            <w:tcW w:w="1867" w:type="dxa"/>
            <w:tcBorders>
              <w:bottom w:val="single" w:sz="4" w:space="0" w:color="auto"/>
            </w:tcBorders>
          </w:tcPr>
          <w:p w:rsidR="00C2067C" w:rsidRDefault="00C2067C" w:rsidP="00BA2EB0">
            <w:pPr>
              <w:spacing w:line="360" w:lineRule="auto"/>
              <w:jc w:val="center"/>
              <w:rPr>
                <w:rFonts w:ascii="Arial" w:hAnsi="Arial" w:cs="Arial"/>
                <w:noProof/>
                <w:szCs w:val="24"/>
                <w:lang w:eastAsia="pt-BR"/>
              </w:rPr>
            </w:pPr>
            <w:r>
              <w:rPr>
                <w:rFonts w:ascii="Arial" w:hAnsi="Arial" w:cs="Arial"/>
                <w:noProof/>
                <w:szCs w:val="24"/>
                <w:lang w:eastAsia="pt-BR"/>
              </w:rPr>
              <w:t>100±22</w:t>
            </w:r>
          </w:p>
        </w:tc>
        <w:tc>
          <w:tcPr>
            <w:tcW w:w="783" w:type="dxa"/>
            <w:tcBorders>
              <w:bottom w:val="single" w:sz="4" w:space="0" w:color="auto"/>
            </w:tcBorders>
          </w:tcPr>
          <w:p w:rsidR="00C2067C" w:rsidRDefault="003A1040" w:rsidP="00BA2EB0">
            <w:pPr>
              <w:spacing w:line="360" w:lineRule="auto"/>
              <w:jc w:val="center"/>
              <w:rPr>
                <w:rFonts w:ascii="Arial" w:hAnsi="Arial" w:cs="Arial"/>
                <w:noProof/>
                <w:szCs w:val="24"/>
                <w:lang w:eastAsia="pt-BR"/>
              </w:rPr>
            </w:pPr>
            <w:r>
              <w:rPr>
                <w:rFonts w:ascii="Arial" w:hAnsi="Arial" w:cs="Arial"/>
                <w:noProof/>
                <w:szCs w:val="24"/>
                <w:lang w:eastAsia="pt-BR"/>
              </w:rPr>
              <w:t>79</w:t>
            </w:r>
            <w:r w:rsidR="00C2067C">
              <w:rPr>
                <w:rFonts w:ascii="Arial" w:hAnsi="Arial" w:cs="Arial"/>
                <w:noProof/>
                <w:szCs w:val="24"/>
                <w:lang w:eastAsia="pt-BR"/>
              </w:rPr>
              <w:t>%</w:t>
            </w:r>
          </w:p>
        </w:tc>
      </w:tr>
    </w:tbl>
    <w:p w:rsidR="00BA2EB0" w:rsidRDefault="00C2067C" w:rsidP="00C2067C">
      <w:pPr>
        <w:spacing w:after="0" w:line="240" w:lineRule="auto"/>
        <w:ind w:left="567" w:right="566"/>
        <w:jc w:val="both"/>
        <w:rPr>
          <w:rFonts w:ascii="Arial" w:hAnsi="Arial" w:cs="Arial"/>
          <w:noProof/>
          <w:sz w:val="24"/>
          <w:szCs w:val="24"/>
          <w:lang w:eastAsia="pt-BR"/>
        </w:rPr>
      </w:pPr>
      <w:r>
        <w:rPr>
          <w:rFonts w:ascii="Arial" w:hAnsi="Arial" w:cs="Arial"/>
          <w:sz w:val="20"/>
        </w:rPr>
        <w:t xml:space="preserve">Legenda: DP </w:t>
      </w:r>
      <w:r>
        <w:rPr>
          <w:rFonts w:ascii="Arial" w:hAnsi="Arial" w:cs="Arial"/>
          <w:sz w:val="20"/>
          <w:szCs w:val="24"/>
        </w:rPr>
        <w:t>–</w:t>
      </w:r>
      <w:r>
        <w:rPr>
          <w:rFonts w:ascii="Arial" w:hAnsi="Arial" w:cs="Arial"/>
          <w:sz w:val="20"/>
        </w:rPr>
        <w:t xml:space="preserve"> Desvio-padrão;</w:t>
      </w:r>
      <w:r w:rsidR="00153212">
        <w:rPr>
          <w:rFonts w:ascii="Arial" w:hAnsi="Arial" w:cs="Arial"/>
          <w:sz w:val="20"/>
        </w:rPr>
        <w:t xml:space="preserve"> </w:t>
      </w:r>
      <w:r>
        <w:rPr>
          <w:rFonts w:ascii="Arial" w:hAnsi="Arial" w:cs="Arial"/>
          <w:sz w:val="20"/>
        </w:rPr>
        <w:t xml:space="preserve">HSI </w:t>
      </w:r>
      <w:r>
        <w:rPr>
          <w:rFonts w:ascii="Arial" w:hAnsi="Arial" w:cs="Arial"/>
          <w:sz w:val="20"/>
          <w:szCs w:val="24"/>
        </w:rPr>
        <w:t>–</w:t>
      </w:r>
      <w:r>
        <w:rPr>
          <w:rFonts w:ascii="Arial" w:hAnsi="Arial" w:cs="Arial"/>
          <w:sz w:val="20"/>
        </w:rPr>
        <w:t xml:space="preserve"> Hospital Santa Izabel;</w:t>
      </w:r>
      <w:r w:rsidR="00153212">
        <w:rPr>
          <w:rFonts w:ascii="Arial" w:hAnsi="Arial" w:cs="Arial"/>
          <w:sz w:val="20"/>
        </w:rPr>
        <w:t xml:space="preserve"> IIQ – Intervalo Interquartil; Md – Mediana; </w:t>
      </w:r>
      <w:r>
        <w:rPr>
          <w:rFonts w:ascii="Arial" w:hAnsi="Arial" w:cs="Arial"/>
          <w:sz w:val="20"/>
        </w:rPr>
        <w:t xml:space="preserve">MIF </w:t>
      </w:r>
      <w:r>
        <w:rPr>
          <w:rFonts w:ascii="Arial" w:hAnsi="Arial" w:cs="Arial"/>
          <w:sz w:val="20"/>
          <w:szCs w:val="24"/>
        </w:rPr>
        <w:t>–</w:t>
      </w:r>
      <w:r>
        <w:rPr>
          <w:rFonts w:ascii="Arial" w:hAnsi="Arial" w:cs="Arial"/>
          <w:sz w:val="20"/>
        </w:rPr>
        <w:t xml:space="preserve"> </w:t>
      </w:r>
      <w:r w:rsidRPr="007D1116">
        <w:rPr>
          <w:rFonts w:ascii="Arial" w:hAnsi="Arial" w:cs="Arial"/>
          <w:sz w:val="20"/>
        </w:rPr>
        <w:t>Medida de Independência Funcional</w:t>
      </w:r>
      <w:r>
        <w:rPr>
          <w:rFonts w:ascii="Arial" w:hAnsi="Arial" w:cs="Arial"/>
          <w:sz w:val="20"/>
        </w:rPr>
        <w:t>;</w:t>
      </w:r>
      <w:r w:rsidR="00330802">
        <w:rPr>
          <w:rFonts w:ascii="Arial" w:hAnsi="Arial" w:cs="Arial"/>
          <w:sz w:val="20"/>
        </w:rPr>
        <w:t xml:space="preserve"> MPS – Mucopolissacaridose; </w:t>
      </w:r>
      <w:r>
        <w:rPr>
          <w:rFonts w:ascii="Arial" w:hAnsi="Arial" w:cs="Arial"/>
          <w:b/>
          <w:sz w:val="20"/>
        </w:rPr>
        <w:t xml:space="preserve">* </w:t>
      </w:r>
      <w:r>
        <w:rPr>
          <w:rFonts w:ascii="Arial" w:hAnsi="Arial" w:cs="Arial"/>
          <w:sz w:val="20"/>
          <w:szCs w:val="24"/>
        </w:rPr>
        <w:t>–</w:t>
      </w:r>
      <w:r>
        <w:rPr>
          <w:rFonts w:ascii="Arial" w:hAnsi="Arial" w:cs="Arial"/>
          <w:b/>
          <w:sz w:val="20"/>
        </w:rPr>
        <w:t xml:space="preserve"> </w:t>
      </w:r>
      <w:r w:rsidRPr="00941179">
        <w:rPr>
          <w:rFonts w:ascii="Arial" w:hAnsi="Arial" w:cs="Arial"/>
          <w:sz w:val="20"/>
        </w:rPr>
        <w:t>P</w:t>
      </w:r>
      <w:r>
        <w:rPr>
          <w:rFonts w:ascii="Arial" w:hAnsi="Arial" w:cs="Arial"/>
          <w:sz w:val="20"/>
        </w:rPr>
        <w:t>ercentual da pontuação média obtida, em relação ao escore máximo possível do domínio.</w:t>
      </w:r>
    </w:p>
    <w:p w:rsidR="00BA2EB0" w:rsidRPr="007015CE" w:rsidRDefault="00BA2EB0" w:rsidP="00BC4242">
      <w:pPr>
        <w:spacing w:after="0" w:line="360" w:lineRule="auto"/>
        <w:jc w:val="both"/>
        <w:rPr>
          <w:rFonts w:ascii="Arial" w:hAnsi="Arial" w:cs="Arial"/>
          <w:noProof/>
          <w:sz w:val="20"/>
          <w:szCs w:val="24"/>
          <w:lang w:eastAsia="pt-BR"/>
        </w:rPr>
      </w:pPr>
    </w:p>
    <w:p w:rsidR="00891228" w:rsidRDefault="00AB7C03" w:rsidP="00BB471B">
      <w:pPr>
        <w:spacing w:after="0" w:line="360" w:lineRule="auto"/>
        <w:jc w:val="both"/>
        <w:rPr>
          <w:rFonts w:ascii="Arial" w:hAnsi="Arial" w:cs="Arial"/>
          <w:sz w:val="24"/>
          <w:szCs w:val="24"/>
        </w:rPr>
      </w:pPr>
      <w:r>
        <w:rPr>
          <w:rFonts w:ascii="Arial" w:hAnsi="Arial" w:cs="Arial"/>
          <w:sz w:val="24"/>
          <w:szCs w:val="24"/>
        </w:rPr>
        <w:lastRenderedPageBreak/>
        <w:t>C</w:t>
      </w:r>
      <w:r w:rsidR="00F660E6">
        <w:rPr>
          <w:rFonts w:ascii="Arial" w:hAnsi="Arial" w:cs="Arial"/>
          <w:sz w:val="24"/>
          <w:szCs w:val="24"/>
        </w:rPr>
        <w:t>omparando</w:t>
      </w:r>
      <w:r w:rsidR="00C80B3E">
        <w:rPr>
          <w:rFonts w:ascii="Arial" w:hAnsi="Arial" w:cs="Arial"/>
          <w:sz w:val="24"/>
          <w:szCs w:val="24"/>
        </w:rPr>
        <w:t xml:space="preserve"> os valores da QV</w:t>
      </w:r>
      <w:r>
        <w:rPr>
          <w:rFonts w:ascii="Arial" w:hAnsi="Arial" w:cs="Arial"/>
          <w:sz w:val="24"/>
          <w:szCs w:val="24"/>
        </w:rPr>
        <w:t>RS</w:t>
      </w:r>
      <w:r w:rsidR="00C80B3E">
        <w:rPr>
          <w:rFonts w:ascii="Arial" w:hAnsi="Arial" w:cs="Arial"/>
          <w:sz w:val="24"/>
          <w:szCs w:val="24"/>
        </w:rPr>
        <w:t xml:space="preserve"> </w:t>
      </w:r>
      <w:r>
        <w:rPr>
          <w:rFonts w:ascii="Arial" w:hAnsi="Arial" w:cs="Arial"/>
          <w:sz w:val="24"/>
          <w:szCs w:val="24"/>
        </w:rPr>
        <w:t>entre os sexos,</w:t>
      </w:r>
      <w:r w:rsidR="007015CE">
        <w:rPr>
          <w:rFonts w:ascii="Arial" w:hAnsi="Arial" w:cs="Arial"/>
          <w:sz w:val="24"/>
          <w:szCs w:val="24"/>
        </w:rPr>
        <w:t xml:space="preserve"> considerando a população em estudo,</w:t>
      </w:r>
      <w:r>
        <w:rPr>
          <w:rFonts w:ascii="Arial" w:hAnsi="Arial" w:cs="Arial"/>
          <w:sz w:val="24"/>
          <w:szCs w:val="24"/>
        </w:rPr>
        <w:t xml:space="preserve"> </w:t>
      </w:r>
      <w:r w:rsidR="003740D5">
        <w:rPr>
          <w:rFonts w:ascii="Arial" w:hAnsi="Arial" w:cs="Arial"/>
          <w:sz w:val="24"/>
          <w:szCs w:val="24"/>
        </w:rPr>
        <w:t xml:space="preserve">constatou-se que </w:t>
      </w:r>
      <w:r w:rsidR="00C80B3E">
        <w:rPr>
          <w:rFonts w:ascii="Arial" w:hAnsi="Arial" w:cs="Arial"/>
          <w:sz w:val="24"/>
          <w:szCs w:val="24"/>
        </w:rPr>
        <w:t xml:space="preserve">não </w:t>
      </w:r>
      <w:r w:rsidR="003740D5">
        <w:rPr>
          <w:rFonts w:ascii="Arial" w:hAnsi="Arial" w:cs="Arial"/>
          <w:sz w:val="24"/>
          <w:szCs w:val="24"/>
        </w:rPr>
        <w:t>houve</w:t>
      </w:r>
      <w:r w:rsidR="00C80B3E">
        <w:rPr>
          <w:rFonts w:ascii="Arial" w:hAnsi="Arial" w:cs="Arial"/>
          <w:sz w:val="24"/>
          <w:szCs w:val="24"/>
        </w:rPr>
        <w:t xml:space="preserve"> diferença estatisticamente significativa</w:t>
      </w:r>
      <w:r w:rsidR="002D7F8B">
        <w:rPr>
          <w:rFonts w:ascii="Arial" w:hAnsi="Arial" w:cs="Arial"/>
          <w:sz w:val="24"/>
          <w:szCs w:val="24"/>
        </w:rPr>
        <w:t xml:space="preserve"> entre </w:t>
      </w:r>
      <w:r w:rsidR="00066C86">
        <w:rPr>
          <w:rFonts w:ascii="Arial" w:hAnsi="Arial" w:cs="Arial"/>
          <w:sz w:val="24"/>
          <w:szCs w:val="24"/>
        </w:rPr>
        <w:t>eles</w:t>
      </w:r>
      <w:r w:rsidR="002D7F8B">
        <w:rPr>
          <w:rFonts w:ascii="Arial" w:hAnsi="Arial" w:cs="Arial"/>
          <w:sz w:val="24"/>
          <w:szCs w:val="24"/>
        </w:rPr>
        <w:t xml:space="preserve"> (p=0,24) (gráfico 5).</w:t>
      </w:r>
    </w:p>
    <w:p w:rsidR="007015CE" w:rsidRPr="007015CE" w:rsidRDefault="007015CE" w:rsidP="00BB471B">
      <w:pPr>
        <w:spacing w:after="0" w:line="360" w:lineRule="auto"/>
        <w:jc w:val="both"/>
        <w:rPr>
          <w:rFonts w:ascii="Arial" w:hAnsi="Arial" w:cs="Arial"/>
          <w:sz w:val="20"/>
          <w:szCs w:val="24"/>
        </w:rPr>
      </w:pPr>
    </w:p>
    <w:p w:rsidR="006B15EF" w:rsidRDefault="00B318DB" w:rsidP="00BB471B">
      <w:pPr>
        <w:tabs>
          <w:tab w:val="left" w:pos="6237"/>
          <w:tab w:val="left" w:pos="6379"/>
          <w:tab w:val="left" w:pos="6946"/>
        </w:tabs>
        <w:spacing w:after="0" w:line="240" w:lineRule="auto"/>
        <w:ind w:left="1701" w:right="2692"/>
        <w:jc w:val="both"/>
        <w:rPr>
          <w:rFonts w:ascii="Arial" w:hAnsi="Arial" w:cs="Arial"/>
          <w:sz w:val="24"/>
          <w:szCs w:val="24"/>
        </w:rPr>
      </w:pPr>
      <w:r>
        <w:rPr>
          <w:noProof/>
          <w:lang w:eastAsia="pt-BR"/>
        </w:rPr>
        <mc:AlternateContent>
          <mc:Choice Requires="wps">
            <w:drawing>
              <wp:anchor distT="0" distB="0" distL="114300" distR="114300" simplePos="0" relativeHeight="251730944" behindDoc="0" locked="0" layoutInCell="1" allowOverlap="1" wp14:anchorId="7E4BC027" wp14:editId="3B179287">
                <wp:simplePos x="0" y="0"/>
                <wp:positionH relativeFrom="column">
                  <wp:posOffset>1091565</wp:posOffset>
                </wp:positionH>
                <wp:positionV relativeFrom="paragraph">
                  <wp:posOffset>26670</wp:posOffset>
                </wp:positionV>
                <wp:extent cx="2828925" cy="616585"/>
                <wp:effectExtent l="0" t="0" r="9525" b="0"/>
                <wp:wrapThrough wrapText="bothSides">
                  <wp:wrapPolygon edited="0">
                    <wp:start x="0" y="0"/>
                    <wp:lineTo x="0" y="20688"/>
                    <wp:lineTo x="21527" y="20688"/>
                    <wp:lineTo x="21527" y="0"/>
                    <wp:lineTo x="0" y="0"/>
                  </wp:wrapPolygon>
                </wp:wrapThrough>
                <wp:docPr id="14" name="Caixa de texto 14"/>
                <wp:cNvGraphicFramePr/>
                <a:graphic xmlns:a="http://schemas.openxmlformats.org/drawingml/2006/main">
                  <a:graphicData uri="http://schemas.microsoft.com/office/word/2010/wordprocessingShape">
                    <wps:wsp>
                      <wps:cNvSpPr txBox="1"/>
                      <wps:spPr>
                        <a:xfrm>
                          <a:off x="0" y="0"/>
                          <a:ext cx="2828925" cy="616585"/>
                        </a:xfrm>
                        <a:prstGeom prst="rect">
                          <a:avLst/>
                        </a:prstGeom>
                        <a:solidFill>
                          <a:prstClr val="white"/>
                        </a:solidFill>
                        <a:ln>
                          <a:noFill/>
                        </a:ln>
                        <a:effectLst/>
                      </wps:spPr>
                      <wps:txbx>
                        <w:txbxContent>
                          <w:p w:rsidR="00B421DD" w:rsidRPr="00AF0B47" w:rsidRDefault="00B421DD" w:rsidP="007015CE">
                            <w:pPr>
                              <w:pStyle w:val="EstiloDissertao"/>
                              <w:tabs>
                                <w:tab w:val="left" w:pos="4395"/>
                              </w:tabs>
                              <w:ind w:right="165"/>
                              <w:rPr>
                                <w:rFonts w:ascii="Times New Roman" w:hAnsi="Times New Roman" w:cs="Times New Roman"/>
                                <w:noProof/>
                                <w:szCs w:val="24"/>
                              </w:rPr>
                            </w:pPr>
                            <w:bookmarkStart w:id="58" w:name="_Toc494629371"/>
                            <w:bookmarkStart w:id="59" w:name="_Toc496553617"/>
                            <w:bookmarkStart w:id="60" w:name="_Toc496910101"/>
                            <w:r w:rsidRPr="00B318DB">
                              <w:rPr>
                                <w:b/>
                              </w:rPr>
                              <w:t xml:space="preserve">Gráfico </w:t>
                            </w:r>
                            <w:r w:rsidRPr="00B318DB">
                              <w:rPr>
                                <w:b/>
                              </w:rPr>
                              <w:fldChar w:fldCharType="begin"/>
                            </w:r>
                            <w:r w:rsidRPr="00B318DB">
                              <w:rPr>
                                <w:b/>
                              </w:rPr>
                              <w:instrText xml:space="preserve"> SEQ Gráfico \* ARABIC </w:instrText>
                            </w:r>
                            <w:r w:rsidRPr="00B318DB">
                              <w:rPr>
                                <w:b/>
                              </w:rPr>
                              <w:fldChar w:fldCharType="separate"/>
                            </w:r>
                            <w:r w:rsidR="005E2BE9">
                              <w:rPr>
                                <w:b/>
                                <w:noProof/>
                              </w:rPr>
                              <w:t>5</w:t>
                            </w:r>
                            <w:r w:rsidRPr="00B318DB">
                              <w:rPr>
                                <w:b/>
                              </w:rPr>
                              <w:fldChar w:fldCharType="end"/>
                            </w:r>
                            <w:r w:rsidRPr="00B318DB">
                              <w:rPr>
                                <w:b/>
                              </w:rPr>
                              <w:t xml:space="preserve"> –</w:t>
                            </w:r>
                            <w:r w:rsidRPr="00B713A2">
                              <w:t xml:space="preserve"> </w:t>
                            </w:r>
                            <w:r w:rsidRPr="00B318DB">
                              <w:rPr>
                                <w:i/>
                              </w:rPr>
                              <w:t>Box plot</w:t>
                            </w:r>
                            <w:r w:rsidRPr="00B713A2">
                              <w:t xml:space="preserve"> da associação entre sexo e QVRS (escore total do instrumento PedsQL</w:t>
                            </w:r>
                            <w:r w:rsidRPr="00264F34">
                              <w:rPr>
                                <w:vertAlign w:val="superscript"/>
                              </w:rPr>
                              <w:t>TM</w:t>
                            </w:r>
                            <w:r w:rsidRPr="00B713A2">
                              <w:t xml:space="preserve"> 4.0).</w:t>
                            </w:r>
                            <w:bookmarkEnd w:id="58"/>
                            <w:bookmarkEnd w:id="59"/>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4" o:spid="_x0000_s1030" type="#_x0000_t202" style="position:absolute;left:0;text-align:left;margin-left:85.95pt;margin-top:2.1pt;width:222.75pt;height:48.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" stroked="f">
                <v:textbox inset="0,0,0,0">
                  <w:txbxContent>
                    <w:p w:rsidR="00B421DD" w:rsidRPr="00AF0B47" w:rsidRDefault="00B421DD" w:rsidP="007015CE">
                      <w:pPr>
                        <w:pStyle w:val="EstiloDissertao"/>
                        <w:tabs>
                          <w:tab w:val="left" w:pos="4395"/>
                        </w:tabs>
                        <w:ind w:right="165"/>
                        <w:rPr>
                          <w:rFonts w:ascii="Times New Roman" w:hAnsi="Times New Roman" w:cs="Times New Roman"/>
                          <w:noProof/>
                          <w:szCs w:val="24"/>
                        </w:rPr>
                      </w:pPr>
                      <w:bookmarkStart w:id="61" w:name="_Toc494629371"/>
                      <w:bookmarkStart w:id="62" w:name="_Toc496553617"/>
                      <w:bookmarkStart w:id="63" w:name="_Toc496910101"/>
                      <w:r w:rsidRPr="00B318DB">
                        <w:rPr>
                          <w:b/>
                        </w:rPr>
                        <w:t xml:space="preserve">Gráfico </w:t>
                      </w:r>
                      <w:r w:rsidRPr="00B318DB">
                        <w:rPr>
                          <w:b/>
                        </w:rPr>
                        <w:fldChar w:fldCharType="begin"/>
                      </w:r>
                      <w:r w:rsidRPr="00B318DB">
                        <w:rPr>
                          <w:b/>
                        </w:rPr>
                        <w:instrText xml:space="preserve"> SEQ Gráfico \* ARABIC </w:instrText>
                      </w:r>
                      <w:r w:rsidRPr="00B318DB">
                        <w:rPr>
                          <w:b/>
                        </w:rPr>
                        <w:fldChar w:fldCharType="separate"/>
                      </w:r>
                      <w:r w:rsidR="005E2BE9">
                        <w:rPr>
                          <w:b/>
                          <w:noProof/>
                        </w:rPr>
                        <w:t>5</w:t>
                      </w:r>
                      <w:r w:rsidRPr="00B318DB">
                        <w:rPr>
                          <w:b/>
                        </w:rPr>
                        <w:fldChar w:fldCharType="end"/>
                      </w:r>
                      <w:r w:rsidRPr="00B318DB">
                        <w:rPr>
                          <w:b/>
                        </w:rPr>
                        <w:t xml:space="preserve"> –</w:t>
                      </w:r>
                      <w:r w:rsidRPr="00B713A2">
                        <w:t xml:space="preserve"> </w:t>
                      </w:r>
                      <w:r w:rsidRPr="00B318DB">
                        <w:rPr>
                          <w:i/>
                        </w:rPr>
                        <w:t>Box plot</w:t>
                      </w:r>
                      <w:r w:rsidRPr="00B713A2">
                        <w:t xml:space="preserve"> da associação entre sexo e QVRS (escore total do instrumento PedsQL</w:t>
                      </w:r>
                      <w:r w:rsidRPr="00264F34">
                        <w:rPr>
                          <w:vertAlign w:val="superscript"/>
                        </w:rPr>
                        <w:t>TM</w:t>
                      </w:r>
                      <w:r w:rsidRPr="00B713A2">
                        <w:t xml:space="preserve"> 4.0).</w:t>
                      </w:r>
                      <w:bookmarkEnd w:id="61"/>
                      <w:bookmarkEnd w:id="62"/>
                      <w:bookmarkEnd w:id="63"/>
                    </w:p>
                  </w:txbxContent>
                </v:textbox>
                <w10:wrap type="through"/>
              </v:shape>
            </w:pict>
          </mc:Fallback>
        </mc:AlternateContent>
      </w:r>
    </w:p>
    <w:p w:rsidR="006B15EF" w:rsidRDefault="006B15EF" w:rsidP="00704832">
      <w:pPr>
        <w:tabs>
          <w:tab w:val="left" w:pos="6379"/>
        </w:tabs>
        <w:spacing w:after="0" w:line="360" w:lineRule="auto"/>
        <w:jc w:val="both"/>
        <w:rPr>
          <w:rFonts w:ascii="Arial" w:hAnsi="Arial" w:cs="Arial"/>
          <w:sz w:val="24"/>
          <w:szCs w:val="24"/>
        </w:rPr>
      </w:pPr>
    </w:p>
    <w:p w:rsidR="006B15EF" w:rsidRDefault="003F0D73" w:rsidP="007641EC">
      <w:pPr>
        <w:tabs>
          <w:tab w:val="left" w:pos="6379"/>
        </w:tabs>
        <w:spacing w:after="0" w:line="360" w:lineRule="auto"/>
        <w:jc w:val="both"/>
        <w:rPr>
          <w:rFonts w:ascii="Arial" w:hAnsi="Arial" w:cs="Arial"/>
          <w:sz w:val="24"/>
          <w:szCs w:val="24"/>
        </w:rPr>
      </w:pPr>
      <w:r>
        <w:rPr>
          <w:rFonts w:ascii="Times New Roman" w:hAnsi="Times New Roman" w:cs="Times New Roman"/>
          <w:noProof/>
          <w:sz w:val="24"/>
          <w:szCs w:val="24"/>
          <w:lang w:eastAsia="pt-BR"/>
        </w:rPr>
        <w:drawing>
          <wp:anchor distT="0" distB="0" distL="114300" distR="114300" simplePos="0" relativeHeight="251712512" behindDoc="1" locked="0" layoutInCell="1" allowOverlap="1" wp14:anchorId="125D1059" wp14:editId="1748EEDE">
            <wp:simplePos x="0" y="0"/>
            <wp:positionH relativeFrom="column">
              <wp:posOffset>776605</wp:posOffset>
            </wp:positionH>
            <wp:positionV relativeFrom="paragraph">
              <wp:posOffset>198120</wp:posOffset>
            </wp:positionV>
            <wp:extent cx="3144520" cy="2514600"/>
            <wp:effectExtent l="0" t="0" r="0" b="0"/>
            <wp:wrapThrough wrapText="bothSides">
              <wp:wrapPolygon edited="0">
                <wp:start x="0" y="0"/>
                <wp:lineTo x="0" y="21436"/>
                <wp:lineTo x="21460" y="21436"/>
                <wp:lineTo x="21460" y="0"/>
                <wp:lineTo x="0" y="0"/>
              </wp:wrapPolygon>
            </wp:wrapThrough>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452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15EF" w:rsidRPr="001F1D25" w:rsidRDefault="006B15EF" w:rsidP="004734AE">
      <w:pPr>
        <w:spacing w:after="0" w:line="360" w:lineRule="auto"/>
        <w:jc w:val="both"/>
        <w:rPr>
          <w:rFonts w:ascii="Arial" w:hAnsi="Arial" w:cs="Arial"/>
          <w:sz w:val="16"/>
          <w:szCs w:val="24"/>
        </w:rPr>
      </w:pPr>
    </w:p>
    <w:p w:rsidR="006B15EF" w:rsidRDefault="006B15EF" w:rsidP="004734AE">
      <w:pPr>
        <w:spacing w:after="0" w:line="360" w:lineRule="auto"/>
        <w:jc w:val="both"/>
        <w:rPr>
          <w:rFonts w:ascii="Arial" w:hAnsi="Arial" w:cs="Arial"/>
          <w:sz w:val="24"/>
          <w:szCs w:val="24"/>
        </w:rPr>
      </w:pPr>
    </w:p>
    <w:p w:rsidR="006B15EF" w:rsidRPr="007015CE" w:rsidRDefault="006B15EF" w:rsidP="00704832">
      <w:pPr>
        <w:tabs>
          <w:tab w:val="left" w:pos="6379"/>
        </w:tabs>
        <w:spacing w:after="0" w:line="360" w:lineRule="auto"/>
        <w:jc w:val="both"/>
        <w:rPr>
          <w:rFonts w:ascii="Arial" w:hAnsi="Arial" w:cs="Arial"/>
          <w:sz w:val="16"/>
          <w:szCs w:val="24"/>
        </w:rPr>
      </w:pPr>
    </w:p>
    <w:p w:rsidR="001F1D25" w:rsidRPr="007015CE" w:rsidRDefault="001F1D25" w:rsidP="004734AE">
      <w:pPr>
        <w:spacing w:after="0" w:line="360" w:lineRule="auto"/>
        <w:jc w:val="both"/>
        <w:rPr>
          <w:rFonts w:ascii="Arial" w:hAnsi="Arial" w:cs="Arial"/>
          <w:sz w:val="16"/>
          <w:szCs w:val="24"/>
        </w:rPr>
      </w:pPr>
    </w:p>
    <w:p w:rsidR="006B15EF" w:rsidRPr="007015CE" w:rsidRDefault="006B15EF" w:rsidP="004734AE">
      <w:pPr>
        <w:spacing w:after="0" w:line="360" w:lineRule="auto"/>
        <w:jc w:val="both"/>
        <w:rPr>
          <w:rFonts w:ascii="Arial" w:hAnsi="Arial" w:cs="Arial"/>
          <w:sz w:val="18"/>
          <w:szCs w:val="24"/>
        </w:rPr>
      </w:pPr>
    </w:p>
    <w:p w:rsidR="001F1D25" w:rsidRDefault="001F1D25" w:rsidP="004734AE">
      <w:pPr>
        <w:spacing w:after="0" w:line="360" w:lineRule="auto"/>
        <w:jc w:val="both"/>
        <w:rPr>
          <w:rFonts w:ascii="Arial" w:hAnsi="Arial" w:cs="Arial"/>
          <w:sz w:val="20"/>
          <w:szCs w:val="24"/>
        </w:rPr>
      </w:pPr>
    </w:p>
    <w:p w:rsidR="001F1D25" w:rsidRPr="00B318DB" w:rsidRDefault="001F1D25" w:rsidP="007015CE">
      <w:pPr>
        <w:tabs>
          <w:tab w:val="left" w:pos="6096"/>
        </w:tabs>
        <w:spacing w:after="0" w:line="360" w:lineRule="auto"/>
        <w:jc w:val="both"/>
        <w:rPr>
          <w:rFonts w:ascii="Arial" w:hAnsi="Arial" w:cs="Arial"/>
          <w:sz w:val="24"/>
          <w:szCs w:val="24"/>
        </w:rPr>
      </w:pPr>
    </w:p>
    <w:p w:rsidR="001F1D25" w:rsidRDefault="001F1D25" w:rsidP="004734AE">
      <w:pPr>
        <w:spacing w:after="0" w:line="360" w:lineRule="auto"/>
        <w:jc w:val="both"/>
        <w:rPr>
          <w:rFonts w:ascii="Arial" w:hAnsi="Arial" w:cs="Arial"/>
          <w:sz w:val="20"/>
          <w:szCs w:val="24"/>
        </w:rPr>
      </w:pPr>
    </w:p>
    <w:p w:rsidR="001F1D25" w:rsidRPr="00B318DB" w:rsidRDefault="001F1D25" w:rsidP="004734AE">
      <w:pPr>
        <w:spacing w:after="0" w:line="360" w:lineRule="auto"/>
        <w:jc w:val="both"/>
        <w:rPr>
          <w:rFonts w:ascii="Arial" w:hAnsi="Arial" w:cs="Arial"/>
          <w:sz w:val="24"/>
          <w:szCs w:val="24"/>
        </w:rPr>
      </w:pPr>
    </w:p>
    <w:p w:rsidR="006B15EF" w:rsidRDefault="006B15EF" w:rsidP="004734AE">
      <w:pPr>
        <w:spacing w:after="0" w:line="360" w:lineRule="auto"/>
        <w:jc w:val="both"/>
        <w:rPr>
          <w:rFonts w:ascii="Arial" w:hAnsi="Arial" w:cs="Arial"/>
          <w:sz w:val="8"/>
          <w:szCs w:val="24"/>
        </w:rPr>
      </w:pPr>
    </w:p>
    <w:p w:rsidR="001F1D25" w:rsidRPr="00B318DB" w:rsidRDefault="001F1D25" w:rsidP="004734AE">
      <w:pPr>
        <w:spacing w:after="0" w:line="360" w:lineRule="auto"/>
        <w:jc w:val="both"/>
        <w:rPr>
          <w:rFonts w:ascii="Arial" w:hAnsi="Arial" w:cs="Arial"/>
          <w:sz w:val="24"/>
          <w:szCs w:val="24"/>
        </w:rPr>
      </w:pPr>
    </w:p>
    <w:p w:rsidR="000100F5" w:rsidRDefault="000100F5" w:rsidP="00D11CF9">
      <w:pPr>
        <w:tabs>
          <w:tab w:val="left" w:pos="1418"/>
          <w:tab w:val="left" w:pos="6379"/>
        </w:tabs>
        <w:spacing w:after="0" w:line="240" w:lineRule="auto"/>
        <w:ind w:left="1701"/>
        <w:jc w:val="both"/>
        <w:rPr>
          <w:rFonts w:ascii="Arial" w:hAnsi="Arial" w:cs="Arial"/>
          <w:sz w:val="20"/>
        </w:rPr>
      </w:pPr>
      <w:r w:rsidRPr="00135A78">
        <w:rPr>
          <w:rFonts w:ascii="Arial" w:hAnsi="Arial" w:cs="Arial"/>
          <w:sz w:val="20"/>
          <w:vertAlign w:val="superscript"/>
        </w:rPr>
        <w:t>a</w:t>
      </w:r>
      <w:r w:rsidRPr="00135A78">
        <w:rPr>
          <w:rFonts w:ascii="Arial" w:hAnsi="Arial" w:cs="Arial"/>
          <w:sz w:val="20"/>
        </w:rPr>
        <w:t>: Teste t para amostras independentes</w:t>
      </w:r>
      <w:r w:rsidR="002A2C97">
        <w:rPr>
          <w:rFonts w:ascii="Arial" w:hAnsi="Arial" w:cs="Arial"/>
          <w:sz w:val="20"/>
        </w:rPr>
        <w:t>.</w:t>
      </w:r>
    </w:p>
    <w:p w:rsidR="00D11CF9" w:rsidRDefault="00D11CF9" w:rsidP="007641EC">
      <w:pPr>
        <w:tabs>
          <w:tab w:val="left" w:pos="6946"/>
          <w:tab w:val="left" w:pos="7088"/>
        </w:tabs>
        <w:spacing w:after="0" w:line="360" w:lineRule="auto"/>
        <w:jc w:val="both"/>
        <w:rPr>
          <w:rFonts w:ascii="Arial" w:hAnsi="Arial" w:cs="Arial"/>
          <w:sz w:val="24"/>
          <w:szCs w:val="24"/>
        </w:rPr>
      </w:pPr>
    </w:p>
    <w:p w:rsidR="00F77396" w:rsidRDefault="001C0559" w:rsidP="00BB471B">
      <w:pPr>
        <w:tabs>
          <w:tab w:val="left" w:pos="6946"/>
          <w:tab w:val="left" w:pos="7088"/>
        </w:tabs>
        <w:spacing w:after="0" w:line="360" w:lineRule="auto"/>
        <w:jc w:val="both"/>
        <w:rPr>
          <w:rFonts w:ascii="Arial" w:hAnsi="Arial" w:cs="Arial"/>
          <w:sz w:val="24"/>
          <w:szCs w:val="24"/>
        </w:rPr>
      </w:pPr>
      <w:r>
        <w:rPr>
          <w:rFonts w:ascii="Arial" w:hAnsi="Arial" w:cs="Arial"/>
          <w:sz w:val="24"/>
          <w:szCs w:val="24"/>
        </w:rPr>
        <w:t xml:space="preserve">A correlação entre idade e </w:t>
      </w:r>
      <w:r w:rsidR="00F77396">
        <w:rPr>
          <w:rFonts w:ascii="Arial" w:hAnsi="Arial" w:cs="Arial"/>
          <w:sz w:val="24"/>
          <w:szCs w:val="24"/>
        </w:rPr>
        <w:t>QVRS n</w:t>
      </w:r>
      <w:r w:rsidR="00994FE4">
        <w:rPr>
          <w:rFonts w:ascii="Arial" w:hAnsi="Arial" w:cs="Arial"/>
          <w:sz w:val="24"/>
          <w:szCs w:val="24"/>
        </w:rPr>
        <w:t xml:space="preserve">ão foi </w:t>
      </w:r>
      <w:r w:rsidR="0071596D">
        <w:rPr>
          <w:rFonts w:ascii="Arial" w:hAnsi="Arial" w:cs="Arial"/>
          <w:sz w:val="24"/>
          <w:szCs w:val="24"/>
        </w:rPr>
        <w:t xml:space="preserve">estatisticamente </w:t>
      </w:r>
      <w:r w:rsidR="00994FE4">
        <w:rPr>
          <w:rFonts w:ascii="Arial" w:hAnsi="Arial" w:cs="Arial"/>
          <w:sz w:val="24"/>
          <w:szCs w:val="24"/>
        </w:rPr>
        <w:t>significativa</w:t>
      </w:r>
      <w:r w:rsidR="00061EEA">
        <w:rPr>
          <w:rFonts w:ascii="Arial" w:hAnsi="Arial" w:cs="Arial"/>
          <w:sz w:val="24"/>
          <w:szCs w:val="24"/>
        </w:rPr>
        <w:t xml:space="preserve">; </w:t>
      </w:r>
      <w:r w:rsidR="00994FE4">
        <w:rPr>
          <w:rFonts w:ascii="Arial" w:hAnsi="Arial" w:cs="Arial"/>
          <w:sz w:val="24"/>
          <w:szCs w:val="24"/>
        </w:rPr>
        <w:t>r= -0,28 (</w:t>
      </w:r>
      <w:r w:rsidR="00F77396">
        <w:rPr>
          <w:rFonts w:ascii="Arial" w:hAnsi="Arial" w:cs="Arial"/>
          <w:sz w:val="24"/>
          <w:szCs w:val="24"/>
        </w:rPr>
        <w:t>p=0,17</w:t>
      </w:r>
      <w:r w:rsidR="00994FE4">
        <w:rPr>
          <w:rFonts w:ascii="Arial" w:hAnsi="Arial" w:cs="Arial"/>
          <w:sz w:val="24"/>
          <w:szCs w:val="24"/>
        </w:rPr>
        <w:t>)</w:t>
      </w:r>
      <w:r w:rsidR="00F77396">
        <w:rPr>
          <w:rFonts w:ascii="Arial" w:hAnsi="Arial" w:cs="Arial"/>
          <w:sz w:val="24"/>
          <w:szCs w:val="24"/>
        </w:rPr>
        <w:t xml:space="preserve"> (gráfico </w:t>
      </w:r>
      <w:r w:rsidR="00140CF2">
        <w:rPr>
          <w:rFonts w:ascii="Arial" w:hAnsi="Arial" w:cs="Arial"/>
          <w:sz w:val="24"/>
          <w:szCs w:val="24"/>
        </w:rPr>
        <w:t>6</w:t>
      </w:r>
      <w:r w:rsidR="00F77396">
        <w:rPr>
          <w:rFonts w:ascii="Arial" w:hAnsi="Arial" w:cs="Arial"/>
          <w:sz w:val="24"/>
          <w:szCs w:val="24"/>
        </w:rPr>
        <w:t>).</w:t>
      </w:r>
    </w:p>
    <w:p w:rsidR="00F074E1" w:rsidRPr="007015CE" w:rsidRDefault="007015CE" w:rsidP="00BB471B">
      <w:pPr>
        <w:tabs>
          <w:tab w:val="left" w:pos="6946"/>
          <w:tab w:val="left" w:pos="7088"/>
        </w:tabs>
        <w:spacing w:after="0" w:line="360" w:lineRule="auto"/>
        <w:jc w:val="both"/>
        <w:rPr>
          <w:rFonts w:ascii="Arial" w:hAnsi="Arial" w:cs="Arial"/>
          <w:sz w:val="20"/>
          <w:szCs w:val="24"/>
        </w:rPr>
      </w:pPr>
      <w:r>
        <w:rPr>
          <w:noProof/>
          <w:lang w:eastAsia="pt-BR"/>
        </w:rPr>
        <mc:AlternateContent>
          <mc:Choice Requires="wps">
            <w:drawing>
              <wp:anchor distT="0" distB="0" distL="114300" distR="114300" simplePos="0" relativeHeight="251732992" behindDoc="0" locked="0" layoutInCell="1" allowOverlap="1" wp14:anchorId="3B951ED6" wp14:editId="62CCD88C">
                <wp:simplePos x="0" y="0"/>
                <wp:positionH relativeFrom="column">
                  <wp:posOffset>1081405</wp:posOffset>
                </wp:positionH>
                <wp:positionV relativeFrom="paragraph">
                  <wp:posOffset>200660</wp:posOffset>
                </wp:positionV>
                <wp:extent cx="2714625" cy="584200"/>
                <wp:effectExtent l="0" t="0" r="9525" b="6350"/>
                <wp:wrapThrough wrapText="bothSides">
                  <wp:wrapPolygon edited="0">
                    <wp:start x="0" y="0"/>
                    <wp:lineTo x="0" y="21130"/>
                    <wp:lineTo x="21524" y="21130"/>
                    <wp:lineTo x="21524" y="0"/>
                    <wp:lineTo x="0" y="0"/>
                  </wp:wrapPolygon>
                </wp:wrapThrough>
                <wp:docPr id="16" name="Caixa de texto 16"/>
                <wp:cNvGraphicFramePr/>
                <a:graphic xmlns:a="http://schemas.openxmlformats.org/drawingml/2006/main">
                  <a:graphicData uri="http://schemas.microsoft.com/office/word/2010/wordprocessingShape">
                    <wps:wsp>
                      <wps:cNvSpPr txBox="1"/>
                      <wps:spPr>
                        <a:xfrm>
                          <a:off x="0" y="0"/>
                          <a:ext cx="2714625" cy="584200"/>
                        </a:xfrm>
                        <a:prstGeom prst="rect">
                          <a:avLst/>
                        </a:prstGeom>
                        <a:solidFill>
                          <a:prstClr val="white"/>
                        </a:solidFill>
                        <a:ln>
                          <a:noFill/>
                        </a:ln>
                        <a:effectLst/>
                      </wps:spPr>
                      <wps:txbx>
                        <w:txbxContent>
                          <w:p w:rsidR="00B421DD" w:rsidRPr="00133252" w:rsidRDefault="00B421DD" w:rsidP="0021015D">
                            <w:pPr>
                              <w:pStyle w:val="EstiloDissertao"/>
                              <w:rPr>
                                <w:rFonts w:ascii="Times New Roman" w:hAnsi="Times New Roman" w:cs="Times New Roman"/>
                                <w:noProof/>
                                <w:szCs w:val="24"/>
                              </w:rPr>
                            </w:pPr>
                            <w:bookmarkStart w:id="64" w:name="_Toc494629372"/>
                            <w:bookmarkStart w:id="65" w:name="_Toc496553618"/>
                            <w:bookmarkStart w:id="66" w:name="_Toc496910102"/>
                            <w:r w:rsidRPr="0021015D">
                              <w:rPr>
                                <w:b/>
                              </w:rPr>
                              <w:t xml:space="preserve">Gráfico </w:t>
                            </w:r>
                            <w:r w:rsidRPr="0021015D">
                              <w:rPr>
                                <w:b/>
                              </w:rPr>
                              <w:fldChar w:fldCharType="begin"/>
                            </w:r>
                            <w:r w:rsidRPr="0021015D">
                              <w:rPr>
                                <w:b/>
                              </w:rPr>
                              <w:instrText xml:space="preserve"> SEQ Gráfico \* ARABIC </w:instrText>
                            </w:r>
                            <w:r w:rsidRPr="0021015D">
                              <w:rPr>
                                <w:b/>
                              </w:rPr>
                              <w:fldChar w:fldCharType="separate"/>
                            </w:r>
                            <w:r w:rsidR="005E2BE9">
                              <w:rPr>
                                <w:b/>
                                <w:noProof/>
                              </w:rPr>
                              <w:t>6</w:t>
                            </w:r>
                            <w:r w:rsidRPr="0021015D">
                              <w:rPr>
                                <w:b/>
                              </w:rPr>
                              <w:fldChar w:fldCharType="end"/>
                            </w:r>
                            <w:r w:rsidRPr="0021015D">
                              <w:rPr>
                                <w:b/>
                              </w:rPr>
                              <w:t xml:space="preserve"> –</w:t>
                            </w:r>
                            <w:r>
                              <w:t xml:space="preserve"> Correlação entre </w:t>
                            </w:r>
                            <w:r w:rsidRPr="00844CCA">
                              <w:t>idade e QVRS (escore total do instrumento PedsQL</w:t>
                            </w:r>
                            <w:r w:rsidRPr="00264F34">
                              <w:rPr>
                                <w:vertAlign w:val="superscript"/>
                              </w:rPr>
                              <w:t>TM</w:t>
                            </w:r>
                            <w:r w:rsidRPr="00844CCA">
                              <w:t xml:space="preserve"> 4.0).</w:t>
                            </w:r>
                            <w:bookmarkEnd w:id="64"/>
                            <w:bookmarkEnd w:id="65"/>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 o:spid="_x0000_s1031" type="#_x0000_t202" style="position:absolute;left:0;text-align:left;margin-left:85.15pt;margin-top:15.8pt;width:213.75pt;height:4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" stroked="f">
                <v:textbox inset="0,0,0,0">
                  <w:txbxContent>
                    <w:p w:rsidR="00B421DD" w:rsidRPr="00133252" w:rsidRDefault="00B421DD" w:rsidP="0021015D">
                      <w:pPr>
                        <w:pStyle w:val="EstiloDissertao"/>
                        <w:rPr>
                          <w:rFonts w:ascii="Times New Roman" w:hAnsi="Times New Roman" w:cs="Times New Roman"/>
                          <w:noProof/>
                          <w:szCs w:val="24"/>
                        </w:rPr>
                      </w:pPr>
                      <w:bookmarkStart w:id="67" w:name="_Toc494629372"/>
                      <w:bookmarkStart w:id="68" w:name="_Toc496553618"/>
                      <w:bookmarkStart w:id="69" w:name="_Toc496910102"/>
                      <w:r w:rsidRPr="0021015D">
                        <w:rPr>
                          <w:b/>
                        </w:rPr>
                        <w:t xml:space="preserve">Gráfico </w:t>
                      </w:r>
                      <w:r w:rsidRPr="0021015D">
                        <w:rPr>
                          <w:b/>
                        </w:rPr>
                        <w:fldChar w:fldCharType="begin"/>
                      </w:r>
                      <w:r w:rsidRPr="0021015D">
                        <w:rPr>
                          <w:b/>
                        </w:rPr>
                        <w:instrText xml:space="preserve"> SEQ Gráfico \* ARABIC </w:instrText>
                      </w:r>
                      <w:r w:rsidRPr="0021015D">
                        <w:rPr>
                          <w:b/>
                        </w:rPr>
                        <w:fldChar w:fldCharType="separate"/>
                      </w:r>
                      <w:r w:rsidR="005E2BE9">
                        <w:rPr>
                          <w:b/>
                          <w:noProof/>
                        </w:rPr>
                        <w:t>6</w:t>
                      </w:r>
                      <w:r w:rsidRPr="0021015D">
                        <w:rPr>
                          <w:b/>
                        </w:rPr>
                        <w:fldChar w:fldCharType="end"/>
                      </w:r>
                      <w:r w:rsidRPr="0021015D">
                        <w:rPr>
                          <w:b/>
                        </w:rPr>
                        <w:t xml:space="preserve"> –</w:t>
                      </w:r>
                      <w:r>
                        <w:t xml:space="preserve"> Correlação entre </w:t>
                      </w:r>
                      <w:r w:rsidRPr="00844CCA">
                        <w:t>idade e QVRS (escore total do instrumento PedsQL</w:t>
                      </w:r>
                      <w:r w:rsidRPr="00264F34">
                        <w:rPr>
                          <w:vertAlign w:val="superscript"/>
                        </w:rPr>
                        <w:t>TM</w:t>
                      </w:r>
                      <w:r w:rsidRPr="00844CCA">
                        <w:t xml:space="preserve"> 4.0).</w:t>
                      </w:r>
                      <w:bookmarkEnd w:id="67"/>
                      <w:bookmarkEnd w:id="68"/>
                      <w:bookmarkEnd w:id="69"/>
                    </w:p>
                  </w:txbxContent>
                </v:textbox>
                <w10:wrap type="through"/>
              </v:shape>
            </w:pict>
          </mc:Fallback>
        </mc:AlternateContent>
      </w:r>
    </w:p>
    <w:p w:rsidR="00BB471B" w:rsidRDefault="00BB471B" w:rsidP="00BB471B">
      <w:pPr>
        <w:tabs>
          <w:tab w:val="left" w:pos="6946"/>
          <w:tab w:val="left" w:pos="7088"/>
        </w:tabs>
        <w:spacing w:after="0" w:line="360" w:lineRule="auto"/>
        <w:jc w:val="both"/>
        <w:rPr>
          <w:rFonts w:ascii="Arial" w:hAnsi="Arial" w:cs="Arial"/>
          <w:sz w:val="24"/>
          <w:szCs w:val="24"/>
        </w:rPr>
      </w:pPr>
    </w:p>
    <w:p w:rsidR="002A2C97" w:rsidRPr="001210CF" w:rsidRDefault="002D7E2A" w:rsidP="00F77396">
      <w:pPr>
        <w:tabs>
          <w:tab w:val="left" w:pos="6237"/>
          <w:tab w:val="left" w:pos="6946"/>
        </w:tabs>
        <w:spacing w:after="0" w:line="240" w:lineRule="auto"/>
        <w:ind w:left="1701" w:right="2834"/>
        <w:jc w:val="both"/>
        <w:rPr>
          <w:rFonts w:ascii="Arial" w:hAnsi="Arial" w:cs="Arial"/>
          <w:sz w:val="24"/>
          <w:szCs w:val="24"/>
        </w:rPr>
      </w:pPr>
      <w:r w:rsidRPr="001210CF">
        <w:rPr>
          <w:rFonts w:ascii="Arial" w:hAnsi="Arial" w:cs="Arial"/>
          <w:sz w:val="24"/>
          <w:szCs w:val="24"/>
        </w:rPr>
        <w:t xml:space="preserve"> </w:t>
      </w:r>
    </w:p>
    <w:p w:rsidR="002A2C97" w:rsidRPr="002A2C97" w:rsidRDefault="00932C1B" w:rsidP="006E2C17">
      <w:pPr>
        <w:tabs>
          <w:tab w:val="left" w:pos="6237"/>
          <w:tab w:val="left" w:pos="6379"/>
          <w:tab w:val="left" w:pos="6804"/>
          <w:tab w:val="left" w:pos="6946"/>
        </w:tabs>
        <w:spacing w:after="0" w:line="240" w:lineRule="auto"/>
        <w:ind w:left="1701"/>
        <w:jc w:val="both"/>
        <w:rPr>
          <w:rFonts w:ascii="Arial" w:hAnsi="Arial" w:cs="Arial"/>
          <w:sz w:val="20"/>
          <w:szCs w:val="24"/>
        </w:rPr>
      </w:pPr>
      <w:r>
        <w:rPr>
          <w:rFonts w:ascii="Times New Roman" w:hAnsi="Times New Roman" w:cs="Times New Roman"/>
          <w:noProof/>
          <w:sz w:val="24"/>
          <w:szCs w:val="24"/>
          <w:lang w:eastAsia="pt-BR"/>
        </w:rPr>
        <w:drawing>
          <wp:anchor distT="0" distB="0" distL="114300" distR="114300" simplePos="0" relativeHeight="251714560" behindDoc="1" locked="0" layoutInCell="1" allowOverlap="1" wp14:anchorId="0D243DA0" wp14:editId="425CD075">
            <wp:simplePos x="0" y="0"/>
            <wp:positionH relativeFrom="column">
              <wp:posOffset>729615</wp:posOffset>
            </wp:positionH>
            <wp:positionV relativeFrom="paragraph">
              <wp:posOffset>114935</wp:posOffset>
            </wp:positionV>
            <wp:extent cx="3657600" cy="2825115"/>
            <wp:effectExtent l="0" t="0" r="0" b="0"/>
            <wp:wrapThrough wrapText="bothSides">
              <wp:wrapPolygon edited="0">
                <wp:start x="0" y="0"/>
                <wp:lineTo x="0" y="21411"/>
                <wp:lineTo x="21488" y="21411"/>
                <wp:lineTo x="21488" y="0"/>
                <wp:lineTo x="0" y="0"/>
              </wp:wrapPolygon>
            </wp:wrapThrough>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825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C97" w:rsidRPr="00F77396" w:rsidRDefault="002A2C97" w:rsidP="00456B7D">
      <w:pPr>
        <w:spacing w:after="0" w:line="360" w:lineRule="auto"/>
        <w:jc w:val="both"/>
        <w:rPr>
          <w:rFonts w:ascii="Arial" w:hAnsi="Arial" w:cs="Arial"/>
          <w:sz w:val="20"/>
          <w:szCs w:val="24"/>
        </w:rPr>
      </w:pPr>
    </w:p>
    <w:p w:rsidR="002A2C97" w:rsidRPr="00F77396" w:rsidRDefault="002A2C97" w:rsidP="00456B7D">
      <w:pPr>
        <w:spacing w:after="0" w:line="360" w:lineRule="auto"/>
        <w:jc w:val="both"/>
        <w:rPr>
          <w:rFonts w:ascii="Arial" w:hAnsi="Arial" w:cs="Arial"/>
          <w:szCs w:val="24"/>
        </w:rPr>
      </w:pPr>
    </w:p>
    <w:p w:rsidR="002A2C97" w:rsidRDefault="002A2C97" w:rsidP="00456B7D">
      <w:pPr>
        <w:spacing w:after="0" w:line="360" w:lineRule="auto"/>
        <w:jc w:val="both"/>
        <w:rPr>
          <w:rFonts w:ascii="Arial" w:hAnsi="Arial" w:cs="Arial"/>
          <w:sz w:val="24"/>
          <w:szCs w:val="24"/>
        </w:rPr>
      </w:pPr>
    </w:p>
    <w:p w:rsidR="002A2C97" w:rsidRPr="007641EC" w:rsidRDefault="002A2C97" w:rsidP="00F066BD">
      <w:pPr>
        <w:tabs>
          <w:tab w:val="left" w:pos="1560"/>
        </w:tabs>
        <w:spacing w:after="0" w:line="360" w:lineRule="auto"/>
        <w:jc w:val="both"/>
        <w:rPr>
          <w:rFonts w:ascii="Arial" w:hAnsi="Arial" w:cs="Arial"/>
          <w:sz w:val="20"/>
          <w:szCs w:val="24"/>
        </w:rPr>
      </w:pPr>
    </w:p>
    <w:p w:rsidR="002A2C97" w:rsidRPr="007015CE" w:rsidRDefault="002A2C97" w:rsidP="00456B7D">
      <w:pPr>
        <w:spacing w:after="0" w:line="360" w:lineRule="auto"/>
        <w:jc w:val="both"/>
        <w:rPr>
          <w:rFonts w:ascii="Arial" w:hAnsi="Arial" w:cs="Arial"/>
          <w:sz w:val="18"/>
          <w:szCs w:val="24"/>
        </w:rPr>
      </w:pPr>
    </w:p>
    <w:p w:rsidR="002A2C97" w:rsidRPr="007015CE" w:rsidRDefault="002A2C97" w:rsidP="00456B7D">
      <w:pPr>
        <w:spacing w:after="0" w:line="360" w:lineRule="auto"/>
        <w:jc w:val="both"/>
        <w:rPr>
          <w:rFonts w:ascii="Arial" w:hAnsi="Arial" w:cs="Arial"/>
          <w:sz w:val="20"/>
          <w:szCs w:val="24"/>
        </w:rPr>
      </w:pPr>
    </w:p>
    <w:p w:rsidR="00184960" w:rsidRPr="007015CE" w:rsidRDefault="00184960" w:rsidP="00456B7D">
      <w:pPr>
        <w:spacing w:after="0" w:line="360" w:lineRule="auto"/>
        <w:jc w:val="both"/>
        <w:rPr>
          <w:rFonts w:ascii="Arial" w:hAnsi="Arial" w:cs="Arial"/>
          <w:sz w:val="18"/>
          <w:szCs w:val="24"/>
        </w:rPr>
      </w:pPr>
    </w:p>
    <w:p w:rsidR="00456B7D" w:rsidRPr="007015CE" w:rsidRDefault="00456B7D" w:rsidP="006E2C17">
      <w:pPr>
        <w:tabs>
          <w:tab w:val="left" w:pos="6663"/>
        </w:tabs>
        <w:spacing w:after="0" w:line="360" w:lineRule="auto"/>
        <w:jc w:val="both"/>
        <w:rPr>
          <w:rFonts w:ascii="Arial" w:hAnsi="Arial" w:cs="Arial"/>
          <w:sz w:val="20"/>
          <w:szCs w:val="24"/>
        </w:rPr>
      </w:pPr>
    </w:p>
    <w:p w:rsidR="00456B7D" w:rsidRPr="007015CE" w:rsidRDefault="00456B7D" w:rsidP="00456B7D">
      <w:pPr>
        <w:spacing w:after="0" w:line="360" w:lineRule="auto"/>
        <w:jc w:val="both"/>
        <w:rPr>
          <w:rFonts w:ascii="Arial" w:hAnsi="Arial" w:cs="Arial"/>
          <w:sz w:val="20"/>
          <w:szCs w:val="24"/>
        </w:rPr>
      </w:pPr>
    </w:p>
    <w:p w:rsidR="006E2C17" w:rsidRPr="007015CE" w:rsidRDefault="006E2C17" w:rsidP="00D731FD">
      <w:pPr>
        <w:tabs>
          <w:tab w:val="left" w:pos="1701"/>
        </w:tabs>
        <w:spacing w:after="0" w:line="360" w:lineRule="auto"/>
        <w:jc w:val="both"/>
        <w:rPr>
          <w:rFonts w:ascii="Arial" w:hAnsi="Arial" w:cs="Arial"/>
          <w:sz w:val="20"/>
          <w:szCs w:val="24"/>
        </w:rPr>
      </w:pPr>
    </w:p>
    <w:p w:rsidR="0021015D" w:rsidRPr="007015CE" w:rsidRDefault="0021015D" w:rsidP="00D731FD">
      <w:pPr>
        <w:tabs>
          <w:tab w:val="left" w:pos="1701"/>
        </w:tabs>
        <w:spacing w:after="0" w:line="360" w:lineRule="auto"/>
        <w:jc w:val="both"/>
        <w:rPr>
          <w:rFonts w:ascii="Arial" w:hAnsi="Arial" w:cs="Arial"/>
          <w:sz w:val="20"/>
          <w:szCs w:val="24"/>
        </w:rPr>
      </w:pPr>
    </w:p>
    <w:p w:rsidR="00087C8D" w:rsidRDefault="00087C8D" w:rsidP="002C55DF">
      <w:pPr>
        <w:tabs>
          <w:tab w:val="left" w:pos="1418"/>
          <w:tab w:val="left" w:pos="1560"/>
          <w:tab w:val="left" w:pos="7088"/>
        </w:tabs>
        <w:spacing w:after="0" w:line="360" w:lineRule="auto"/>
        <w:ind w:left="1701"/>
        <w:jc w:val="both"/>
        <w:rPr>
          <w:rFonts w:ascii="Arial" w:hAnsi="Arial" w:cs="Arial"/>
          <w:sz w:val="20"/>
          <w:vertAlign w:val="superscript"/>
        </w:rPr>
      </w:pPr>
    </w:p>
    <w:p w:rsidR="002A2C97" w:rsidRPr="00184960" w:rsidRDefault="002A2C97" w:rsidP="00184960">
      <w:pPr>
        <w:tabs>
          <w:tab w:val="left" w:pos="1418"/>
          <w:tab w:val="left" w:pos="1560"/>
          <w:tab w:val="left" w:pos="6804"/>
        </w:tabs>
        <w:spacing w:after="0" w:line="240" w:lineRule="auto"/>
        <w:ind w:left="1701"/>
        <w:jc w:val="both"/>
        <w:rPr>
          <w:rFonts w:ascii="Arial" w:hAnsi="Arial" w:cs="Arial"/>
          <w:sz w:val="20"/>
          <w:szCs w:val="20"/>
        </w:rPr>
      </w:pPr>
      <w:r w:rsidRPr="00184960">
        <w:rPr>
          <w:rFonts w:ascii="Arial" w:hAnsi="Arial" w:cs="Arial"/>
          <w:sz w:val="20"/>
          <w:szCs w:val="20"/>
          <w:vertAlign w:val="superscript"/>
        </w:rPr>
        <w:t>a</w:t>
      </w:r>
      <w:r w:rsidRPr="00184960">
        <w:rPr>
          <w:rFonts w:ascii="Arial" w:hAnsi="Arial" w:cs="Arial"/>
          <w:sz w:val="20"/>
          <w:szCs w:val="20"/>
        </w:rPr>
        <w:t>: Teste de correlação de Pearson.</w:t>
      </w:r>
    </w:p>
    <w:p w:rsidR="007B711E" w:rsidRDefault="00C817EC" w:rsidP="007015CE">
      <w:pPr>
        <w:tabs>
          <w:tab w:val="left" w:pos="2070"/>
        </w:tabs>
        <w:spacing w:after="0" w:line="360" w:lineRule="auto"/>
        <w:jc w:val="both"/>
        <w:rPr>
          <w:rFonts w:ascii="Arial" w:hAnsi="Arial" w:cs="Arial"/>
          <w:sz w:val="24"/>
          <w:szCs w:val="24"/>
        </w:rPr>
      </w:pPr>
      <w:r w:rsidRPr="00D5611E">
        <w:rPr>
          <w:rFonts w:ascii="Arial" w:hAnsi="Arial" w:cs="Arial"/>
          <w:sz w:val="24"/>
          <w:szCs w:val="24"/>
        </w:rPr>
        <w:lastRenderedPageBreak/>
        <w:t>As</w:t>
      </w:r>
      <w:r w:rsidR="00AB532A" w:rsidRPr="00D5611E">
        <w:rPr>
          <w:rFonts w:ascii="Arial" w:hAnsi="Arial" w:cs="Arial"/>
          <w:sz w:val="24"/>
          <w:szCs w:val="24"/>
        </w:rPr>
        <w:t xml:space="preserve"> crianças e adolescentes com diagn</w:t>
      </w:r>
      <w:r w:rsidR="00A32669" w:rsidRPr="00D5611E">
        <w:rPr>
          <w:rFonts w:ascii="Arial" w:hAnsi="Arial" w:cs="Arial"/>
          <w:sz w:val="24"/>
          <w:szCs w:val="24"/>
        </w:rPr>
        <w:t xml:space="preserve">óstico de MPS VI apresentaram </w:t>
      </w:r>
      <w:r w:rsidR="00252A1B" w:rsidRPr="00D5611E">
        <w:rPr>
          <w:rFonts w:ascii="Arial" w:hAnsi="Arial" w:cs="Arial"/>
          <w:sz w:val="24"/>
          <w:szCs w:val="24"/>
        </w:rPr>
        <w:t>média</w:t>
      </w:r>
      <w:r w:rsidR="00163E5D" w:rsidRPr="00D5611E">
        <w:rPr>
          <w:rFonts w:ascii="Arial" w:hAnsi="Arial" w:cs="Arial"/>
          <w:sz w:val="24"/>
          <w:szCs w:val="24"/>
        </w:rPr>
        <w:t xml:space="preserve"> </w:t>
      </w:r>
      <w:r w:rsidR="002832E9" w:rsidRPr="00D5611E">
        <w:rPr>
          <w:rFonts w:ascii="Arial" w:hAnsi="Arial" w:cs="Arial"/>
          <w:sz w:val="24"/>
          <w:szCs w:val="24"/>
        </w:rPr>
        <w:t>d</w:t>
      </w:r>
      <w:r w:rsidR="00F67DF0" w:rsidRPr="00D5611E">
        <w:rPr>
          <w:rFonts w:ascii="Arial" w:hAnsi="Arial" w:cs="Arial"/>
          <w:sz w:val="24"/>
          <w:szCs w:val="24"/>
        </w:rPr>
        <w:t>a</w:t>
      </w:r>
      <w:r w:rsidR="002832E9" w:rsidRPr="00D5611E">
        <w:rPr>
          <w:rFonts w:ascii="Arial" w:hAnsi="Arial" w:cs="Arial"/>
          <w:sz w:val="24"/>
          <w:szCs w:val="24"/>
        </w:rPr>
        <w:t xml:space="preserve"> QV geral</w:t>
      </w:r>
      <w:r w:rsidR="00252A1B" w:rsidRPr="00D5611E">
        <w:rPr>
          <w:rFonts w:ascii="Arial" w:hAnsi="Arial" w:cs="Arial"/>
          <w:sz w:val="24"/>
          <w:szCs w:val="24"/>
        </w:rPr>
        <w:t xml:space="preserve"> (escore total)</w:t>
      </w:r>
      <w:r w:rsidR="002832E9" w:rsidRPr="00D5611E">
        <w:rPr>
          <w:rFonts w:ascii="Arial" w:hAnsi="Arial" w:cs="Arial"/>
          <w:sz w:val="24"/>
          <w:szCs w:val="24"/>
        </w:rPr>
        <w:t xml:space="preserve"> </w:t>
      </w:r>
      <w:r w:rsidR="00407BB0" w:rsidRPr="00D5611E">
        <w:rPr>
          <w:rFonts w:ascii="Arial" w:hAnsi="Arial" w:cs="Arial"/>
          <w:sz w:val="24"/>
          <w:szCs w:val="24"/>
        </w:rPr>
        <w:t>de</w:t>
      </w:r>
      <w:r w:rsidR="00F67DF0" w:rsidRPr="00D5611E">
        <w:rPr>
          <w:rFonts w:ascii="Arial" w:hAnsi="Arial" w:cs="Arial"/>
          <w:sz w:val="24"/>
          <w:szCs w:val="24"/>
        </w:rPr>
        <w:t xml:space="preserve"> </w:t>
      </w:r>
      <w:r w:rsidR="002832E9" w:rsidRPr="00D5611E">
        <w:rPr>
          <w:rFonts w:ascii="Arial" w:hAnsi="Arial" w:cs="Arial"/>
          <w:sz w:val="24"/>
          <w:szCs w:val="24"/>
        </w:rPr>
        <w:t>66±14</w:t>
      </w:r>
      <w:r w:rsidR="005E0B20" w:rsidRPr="00D5611E">
        <w:rPr>
          <w:rFonts w:ascii="Arial" w:hAnsi="Arial" w:cs="Arial"/>
          <w:sz w:val="24"/>
          <w:szCs w:val="24"/>
        </w:rPr>
        <w:t>,1</w:t>
      </w:r>
      <w:r w:rsidR="002832E9" w:rsidRPr="00D5611E">
        <w:rPr>
          <w:rFonts w:ascii="Arial" w:hAnsi="Arial" w:cs="Arial"/>
          <w:sz w:val="24"/>
          <w:szCs w:val="24"/>
        </w:rPr>
        <w:t xml:space="preserve"> pontos. </w:t>
      </w:r>
      <w:r w:rsidR="001635B5" w:rsidRPr="008A4ACE">
        <w:rPr>
          <w:rFonts w:ascii="Arial" w:hAnsi="Arial" w:cs="Arial"/>
          <w:sz w:val="24"/>
          <w:szCs w:val="24"/>
        </w:rPr>
        <w:t>O</w:t>
      </w:r>
      <w:r w:rsidR="002832E9" w:rsidRPr="008A4ACE">
        <w:rPr>
          <w:rFonts w:ascii="Arial" w:hAnsi="Arial" w:cs="Arial"/>
          <w:sz w:val="24"/>
          <w:szCs w:val="24"/>
        </w:rPr>
        <w:t xml:space="preserve"> </w:t>
      </w:r>
      <w:r w:rsidR="007F5B76" w:rsidRPr="008A4ACE">
        <w:rPr>
          <w:rFonts w:ascii="Arial" w:hAnsi="Arial" w:cs="Arial"/>
          <w:sz w:val="24"/>
          <w:szCs w:val="24"/>
        </w:rPr>
        <w:t>sub</w:t>
      </w:r>
      <w:r w:rsidR="002832E9" w:rsidRPr="008A4ACE">
        <w:rPr>
          <w:rFonts w:ascii="Arial" w:hAnsi="Arial" w:cs="Arial"/>
          <w:sz w:val="24"/>
          <w:szCs w:val="24"/>
        </w:rPr>
        <w:t xml:space="preserve">domínio </w:t>
      </w:r>
      <w:r w:rsidR="007B711E" w:rsidRPr="008A4ACE">
        <w:rPr>
          <w:rFonts w:ascii="Arial" w:hAnsi="Arial" w:cs="Arial"/>
          <w:sz w:val="24"/>
          <w:szCs w:val="24"/>
        </w:rPr>
        <w:t xml:space="preserve">com </w:t>
      </w:r>
      <w:r w:rsidR="007F5B76" w:rsidRPr="008A4ACE">
        <w:rPr>
          <w:rFonts w:ascii="Arial" w:hAnsi="Arial" w:cs="Arial"/>
          <w:sz w:val="24"/>
          <w:szCs w:val="24"/>
        </w:rPr>
        <w:t xml:space="preserve">menor escore </w:t>
      </w:r>
      <w:r w:rsidR="007B711E" w:rsidRPr="008A4ACE">
        <w:rPr>
          <w:rFonts w:ascii="Arial" w:hAnsi="Arial" w:cs="Arial"/>
          <w:sz w:val="24"/>
          <w:szCs w:val="24"/>
        </w:rPr>
        <w:t>foi atividade escolar</w:t>
      </w:r>
      <w:r w:rsidR="001805E6" w:rsidRPr="008A4ACE">
        <w:rPr>
          <w:rFonts w:ascii="Arial" w:hAnsi="Arial" w:cs="Arial"/>
          <w:sz w:val="24"/>
          <w:szCs w:val="24"/>
        </w:rPr>
        <w:t xml:space="preserve"> (60</w:t>
      </w:r>
      <w:r w:rsidR="001805E6" w:rsidRPr="008A4ACE">
        <w:rPr>
          <w:rFonts w:ascii="Arial" w:hAnsi="Arial" w:cs="Arial"/>
          <w:noProof/>
          <w:szCs w:val="24"/>
          <w:lang w:eastAsia="pt-BR"/>
        </w:rPr>
        <w:t>±21,1),</w:t>
      </w:r>
      <w:r w:rsidR="007B711E" w:rsidRPr="008A4ACE">
        <w:rPr>
          <w:rFonts w:ascii="Arial" w:hAnsi="Arial" w:cs="Arial"/>
          <w:sz w:val="24"/>
          <w:szCs w:val="24"/>
        </w:rPr>
        <w:t xml:space="preserve"> seguido pelo </w:t>
      </w:r>
      <w:r w:rsidR="00455472" w:rsidRPr="008A4ACE">
        <w:rPr>
          <w:rFonts w:ascii="Arial" w:hAnsi="Arial" w:cs="Arial"/>
          <w:sz w:val="24"/>
          <w:szCs w:val="24"/>
        </w:rPr>
        <w:t>sub</w:t>
      </w:r>
      <w:r w:rsidR="007B711E" w:rsidRPr="008A4ACE">
        <w:rPr>
          <w:rFonts w:ascii="Arial" w:hAnsi="Arial" w:cs="Arial"/>
          <w:sz w:val="24"/>
          <w:szCs w:val="24"/>
        </w:rPr>
        <w:t>domínio aspecto social</w:t>
      </w:r>
      <w:r w:rsidR="001805E6" w:rsidRPr="008A4ACE">
        <w:rPr>
          <w:rFonts w:ascii="Arial" w:hAnsi="Arial" w:cs="Arial"/>
          <w:sz w:val="24"/>
          <w:szCs w:val="24"/>
        </w:rPr>
        <w:t xml:space="preserve"> (65</w:t>
      </w:r>
      <w:r w:rsidR="001805E6" w:rsidRPr="008A4ACE">
        <w:rPr>
          <w:rFonts w:ascii="Arial" w:hAnsi="Arial" w:cs="Arial"/>
          <w:noProof/>
          <w:szCs w:val="24"/>
          <w:lang w:eastAsia="pt-BR"/>
        </w:rPr>
        <w:t>±19,8)</w:t>
      </w:r>
      <w:r w:rsidR="007B711E" w:rsidRPr="008A4ACE">
        <w:rPr>
          <w:rFonts w:ascii="Arial" w:hAnsi="Arial" w:cs="Arial"/>
          <w:sz w:val="24"/>
          <w:szCs w:val="24"/>
        </w:rPr>
        <w:t xml:space="preserve"> (tabela 5).</w:t>
      </w:r>
    </w:p>
    <w:p w:rsidR="007B711E" w:rsidRDefault="007B711E" w:rsidP="006E2C17">
      <w:pPr>
        <w:tabs>
          <w:tab w:val="left" w:pos="6379"/>
          <w:tab w:val="left" w:pos="6521"/>
          <w:tab w:val="left" w:pos="7088"/>
        </w:tabs>
        <w:spacing w:after="0" w:line="360" w:lineRule="auto"/>
        <w:jc w:val="both"/>
        <w:rPr>
          <w:rFonts w:ascii="Arial" w:hAnsi="Arial" w:cs="Arial"/>
          <w:sz w:val="24"/>
          <w:szCs w:val="24"/>
        </w:rPr>
      </w:pPr>
    </w:p>
    <w:p w:rsidR="00357AC1" w:rsidRDefault="00357AC1" w:rsidP="00357AC1">
      <w:pPr>
        <w:pStyle w:val="EstiloDissertao"/>
        <w:ind w:left="993" w:right="991"/>
      </w:pPr>
      <w:bookmarkStart w:id="70" w:name="_Toc496553542"/>
      <w:r w:rsidRPr="00357AC1">
        <w:rPr>
          <w:b/>
        </w:rPr>
        <w:t xml:space="preserve">Tabela </w:t>
      </w:r>
      <w:r w:rsidRPr="00357AC1">
        <w:rPr>
          <w:b/>
        </w:rPr>
        <w:fldChar w:fldCharType="begin"/>
      </w:r>
      <w:r w:rsidRPr="00357AC1">
        <w:rPr>
          <w:b/>
        </w:rPr>
        <w:instrText xml:space="preserve"> SEQ Tabela \* ARABIC </w:instrText>
      </w:r>
      <w:r w:rsidRPr="00357AC1">
        <w:rPr>
          <w:b/>
        </w:rPr>
        <w:fldChar w:fldCharType="separate"/>
      </w:r>
      <w:r w:rsidR="005E2BE9">
        <w:rPr>
          <w:b/>
          <w:noProof/>
        </w:rPr>
        <w:t>5</w:t>
      </w:r>
      <w:r w:rsidRPr="00357AC1">
        <w:rPr>
          <w:b/>
        </w:rPr>
        <w:fldChar w:fldCharType="end"/>
      </w:r>
      <w:r w:rsidRPr="00357AC1">
        <w:rPr>
          <w:b/>
        </w:rPr>
        <w:t xml:space="preserve"> –</w:t>
      </w:r>
      <w:r w:rsidRPr="001101B5">
        <w:t xml:space="preserve"> Escores dos domínios e total do instrumento PedsQL</w:t>
      </w:r>
      <w:r w:rsidRPr="008954DD">
        <w:rPr>
          <w:vertAlign w:val="superscript"/>
        </w:rPr>
        <w:t>TM</w:t>
      </w:r>
      <w:r w:rsidRPr="001101B5">
        <w:t xml:space="preserve"> 4.0 aplicado aos pais das crianças e adolescentes</w:t>
      </w:r>
      <w:r>
        <w:t xml:space="preserve"> com MPS tipo VI</w:t>
      </w:r>
      <w:r w:rsidRPr="001101B5">
        <w:t xml:space="preserve"> acompanhados no ambulatório de ortopedia do HSI, no período de janeiro de 2012 a outubro de 2014.</w:t>
      </w:r>
      <w:bookmarkEnd w:id="70"/>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7"/>
        <w:gridCol w:w="2137"/>
      </w:tblGrid>
      <w:tr w:rsidR="00B6382D" w:rsidTr="00901B74">
        <w:trPr>
          <w:jc w:val="center"/>
        </w:trPr>
        <w:tc>
          <w:tcPr>
            <w:tcW w:w="5017" w:type="dxa"/>
            <w:tcBorders>
              <w:top w:val="single" w:sz="4" w:space="0" w:color="auto"/>
              <w:bottom w:val="single" w:sz="4" w:space="0" w:color="auto"/>
            </w:tcBorders>
          </w:tcPr>
          <w:p w:rsidR="00B6382D" w:rsidRPr="00BA2EB0" w:rsidRDefault="00B6382D" w:rsidP="006546D1">
            <w:pPr>
              <w:spacing w:line="360" w:lineRule="auto"/>
              <w:jc w:val="center"/>
              <w:rPr>
                <w:rFonts w:ascii="Arial" w:hAnsi="Arial" w:cs="Arial"/>
                <w:b/>
                <w:noProof/>
                <w:szCs w:val="24"/>
                <w:lang w:eastAsia="pt-BR"/>
              </w:rPr>
            </w:pPr>
            <w:r>
              <w:rPr>
                <w:rFonts w:ascii="Arial" w:hAnsi="Arial" w:cs="Arial"/>
                <w:b/>
                <w:noProof/>
                <w:szCs w:val="24"/>
                <w:lang w:eastAsia="pt-BR"/>
              </w:rPr>
              <w:t>Domínios do PedsQL</w:t>
            </w:r>
            <w:r w:rsidRPr="006546D1">
              <w:rPr>
                <w:rFonts w:ascii="Arial" w:hAnsi="Arial" w:cs="Arial"/>
                <w:b/>
                <w:noProof/>
                <w:szCs w:val="24"/>
                <w:vertAlign w:val="superscript"/>
                <w:lang w:eastAsia="pt-BR"/>
              </w:rPr>
              <w:t>TM</w:t>
            </w:r>
            <w:r>
              <w:rPr>
                <w:rFonts w:ascii="Arial" w:hAnsi="Arial" w:cs="Arial"/>
                <w:b/>
                <w:noProof/>
                <w:szCs w:val="24"/>
                <w:lang w:eastAsia="pt-BR"/>
              </w:rPr>
              <w:t xml:space="preserve"> 4.0 – MPS Tipo VI</w:t>
            </w:r>
          </w:p>
        </w:tc>
        <w:tc>
          <w:tcPr>
            <w:tcW w:w="2137" w:type="dxa"/>
            <w:tcBorders>
              <w:top w:val="single" w:sz="4" w:space="0" w:color="auto"/>
              <w:bottom w:val="single" w:sz="4" w:space="0" w:color="auto"/>
            </w:tcBorders>
          </w:tcPr>
          <w:p w:rsidR="00B6382D" w:rsidRPr="00BA2EB0" w:rsidRDefault="00B6382D" w:rsidP="00C87863">
            <w:pPr>
              <w:spacing w:line="360" w:lineRule="auto"/>
              <w:jc w:val="center"/>
              <w:rPr>
                <w:rFonts w:ascii="Arial" w:hAnsi="Arial" w:cs="Arial"/>
                <w:b/>
                <w:noProof/>
                <w:szCs w:val="24"/>
                <w:lang w:eastAsia="pt-BR"/>
              </w:rPr>
            </w:pPr>
            <w:r w:rsidRPr="00BA2EB0">
              <w:rPr>
                <w:rFonts w:ascii="Arial" w:hAnsi="Arial" w:cs="Arial"/>
                <w:b/>
                <w:noProof/>
                <w:szCs w:val="24"/>
                <w:lang w:eastAsia="pt-BR"/>
              </w:rPr>
              <w:t>Média±DP</w:t>
            </w:r>
          </w:p>
        </w:tc>
      </w:tr>
      <w:tr w:rsidR="00B6382D" w:rsidTr="00901B74">
        <w:trPr>
          <w:jc w:val="center"/>
        </w:trPr>
        <w:tc>
          <w:tcPr>
            <w:tcW w:w="5017" w:type="dxa"/>
            <w:tcBorders>
              <w:top w:val="single" w:sz="4" w:space="0" w:color="auto"/>
            </w:tcBorders>
          </w:tcPr>
          <w:p w:rsidR="00B6382D" w:rsidRPr="00901B74" w:rsidRDefault="00B6382D" w:rsidP="00C87863">
            <w:pPr>
              <w:spacing w:line="360" w:lineRule="auto"/>
              <w:jc w:val="both"/>
              <w:rPr>
                <w:rFonts w:ascii="Arial" w:hAnsi="Arial" w:cs="Arial"/>
                <w:b/>
                <w:noProof/>
                <w:szCs w:val="24"/>
                <w:lang w:eastAsia="pt-BR"/>
              </w:rPr>
            </w:pPr>
            <w:r w:rsidRPr="00901B74">
              <w:rPr>
                <w:rFonts w:ascii="Arial" w:hAnsi="Arial" w:cs="Arial"/>
                <w:b/>
                <w:noProof/>
                <w:szCs w:val="24"/>
                <w:lang w:eastAsia="pt-BR"/>
              </w:rPr>
              <w:t>Capacidade física</w:t>
            </w:r>
          </w:p>
        </w:tc>
        <w:tc>
          <w:tcPr>
            <w:tcW w:w="2137" w:type="dxa"/>
            <w:tcBorders>
              <w:top w:val="single" w:sz="4" w:space="0" w:color="auto"/>
            </w:tcBorders>
          </w:tcPr>
          <w:p w:rsidR="00B6382D" w:rsidRPr="00BA2EB0" w:rsidRDefault="00B6382D" w:rsidP="00C87863">
            <w:pPr>
              <w:spacing w:line="360" w:lineRule="auto"/>
              <w:jc w:val="center"/>
              <w:rPr>
                <w:rFonts w:ascii="Arial" w:hAnsi="Arial" w:cs="Arial"/>
                <w:noProof/>
                <w:szCs w:val="24"/>
                <w:lang w:eastAsia="pt-BR"/>
              </w:rPr>
            </w:pPr>
            <w:r>
              <w:rPr>
                <w:rFonts w:ascii="Arial" w:hAnsi="Arial" w:cs="Arial"/>
                <w:noProof/>
                <w:szCs w:val="24"/>
                <w:lang w:eastAsia="pt-BR"/>
              </w:rPr>
              <w:t>68±27,4</w:t>
            </w:r>
          </w:p>
        </w:tc>
      </w:tr>
      <w:tr w:rsidR="00901B74" w:rsidTr="00901B74">
        <w:trPr>
          <w:jc w:val="center"/>
        </w:trPr>
        <w:tc>
          <w:tcPr>
            <w:tcW w:w="5017" w:type="dxa"/>
          </w:tcPr>
          <w:p w:rsidR="00901B74" w:rsidRPr="00901B74" w:rsidRDefault="00901B74" w:rsidP="00C97F2B">
            <w:pPr>
              <w:spacing w:line="360" w:lineRule="auto"/>
              <w:jc w:val="both"/>
              <w:rPr>
                <w:rFonts w:ascii="Arial" w:hAnsi="Arial" w:cs="Arial"/>
                <w:b/>
                <w:noProof/>
                <w:szCs w:val="24"/>
                <w:lang w:eastAsia="pt-BR"/>
              </w:rPr>
            </w:pPr>
            <w:r w:rsidRPr="00901B74">
              <w:rPr>
                <w:rFonts w:ascii="Arial" w:hAnsi="Arial" w:cs="Arial"/>
                <w:b/>
                <w:noProof/>
                <w:szCs w:val="24"/>
                <w:lang w:eastAsia="pt-BR"/>
              </w:rPr>
              <w:t>Saúde psicossocial</w:t>
            </w:r>
          </w:p>
        </w:tc>
        <w:tc>
          <w:tcPr>
            <w:tcW w:w="2137" w:type="dxa"/>
          </w:tcPr>
          <w:p w:rsidR="00901B74" w:rsidRDefault="00901B74" w:rsidP="00C97F2B">
            <w:pPr>
              <w:spacing w:line="360" w:lineRule="auto"/>
              <w:jc w:val="center"/>
              <w:rPr>
                <w:rFonts w:ascii="Arial" w:hAnsi="Arial" w:cs="Arial"/>
                <w:noProof/>
                <w:szCs w:val="24"/>
                <w:lang w:eastAsia="pt-BR"/>
              </w:rPr>
            </w:pPr>
            <w:r>
              <w:rPr>
                <w:rFonts w:ascii="Arial" w:hAnsi="Arial" w:cs="Arial"/>
                <w:noProof/>
                <w:szCs w:val="24"/>
                <w:lang w:eastAsia="pt-BR"/>
              </w:rPr>
              <w:t>65±14,2</w:t>
            </w:r>
          </w:p>
        </w:tc>
      </w:tr>
      <w:tr w:rsidR="00901B74" w:rsidTr="00901B74">
        <w:trPr>
          <w:jc w:val="center"/>
        </w:trPr>
        <w:tc>
          <w:tcPr>
            <w:tcW w:w="5017" w:type="dxa"/>
          </w:tcPr>
          <w:p w:rsidR="00901B74" w:rsidRPr="007F5B76" w:rsidRDefault="00901B74" w:rsidP="00901B74">
            <w:pPr>
              <w:spacing w:line="360" w:lineRule="auto"/>
              <w:ind w:left="494"/>
              <w:jc w:val="both"/>
              <w:rPr>
                <w:rFonts w:ascii="Arial" w:hAnsi="Arial" w:cs="Arial"/>
                <w:noProof/>
                <w:szCs w:val="24"/>
                <w:lang w:eastAsia="pt-BR"/>
              </w:rPr>
            </w:pPr>
            <w:r w:rsidRPr="007F5B76">
              <w:rPr>
                <w:rFonts w:ascii="Arial" w:hAnsi="Arial" w:cs="Arial"/>
                <w:noProof/>
                <w:szCs w:val="24"/>
                <w:lang w:eastAsia="pt-BR"/>
              </w:rPr>
              <w:t>Aspecto emocional</w:t>
            </w:r>
          </w:p>
        </w:tc>
        <w:tc>
          <w:tcPr>
            <w:tcW w:w="2137" w:type="dxa"/>
          </w:tcPr>
          <w:p w:rsidR="00901B74" w:rsidRDefault="000F392A" w:rsidP="00C87863">
            <w:pPr>
              <w:spacing w:line="360" w:lineRule="auto"/>
              <w:jc w:val="center"/>
              <w:rPr>
                <w:rFonts w:ascii="Arial" w:hAnsi="Arial" w:cs="Arial"/>
                <w:noProof/>
                <w:szCs w:val="24"/>
                <w:lang w:eastAsia="pt-BR"/>
              </w:rPr>
            </w:pPr>
            <w:r>
              <w:rPr>
                <w:rFonts w:ascii="Arial" w:hAnsi="Arial" w:cs="Arial"/>
                <w:noProof/>
                <w:szCs w:val="24"/>
                <w:lang w:eastAsia="pt-BR"/>
              </w:rPr>
              <w:t>69±</w:t>
            </w:r>
            <w:r w:rsidR="001805E6">
              <w:rPr>
                <w:rFonts w:ascii="Arial" w:hAnsi="Arial" w:cs="Arial"/>
                <w:noProof/>
                <w:szCs w:val="24"/>
                <w:lang w:eastAsia="pt-BR"/>
              </w:rPr>
              <w:t>23,6</w:t>
            </w:r>
          </w:p>
        </w:tc>
      </w:tr>
      <w:tr w:rsidR="00B6382D" w:rsidTr="00357AC1">
        <w:trPr>
          <w:jc w:val="center"/>
        </w:trPr>
        <w:tc>
          <w:tcPr>
            <w:tcW w:w="5017" w:type="dxa"/>
          </w:tcPr>
          <w:p w:rsidR="00B6382D" w:rsidRPr="007F5B76" w:rsidRDefault="00901B74" w:rsidP="00901B74">
            <w:pPr>
              <w:spacing w:line="360" w:lineRule="auto"/>
              <w:ind w:left="494"/>
              <w:jc w:val="both"/>
              <w:rPr>
                <w:rFonts w:ascii="Arial" w:hAnsi="Arial" w:cs="Arial"/>
                <w:noProof/>
                <w:szCs w:val="24"/>
                <w:lang w:eastAsia="pt-BR"/>
              </w:rPr>
            </w:pPr>
            <w:r w:rsidRPr="007F5B76">
              <w:rPr>
                <w:rFonts w:ascii="Arial" w:hAnsi="Arial" w:cs="Arial"/>
                <w:noProof/>
                <w:szCs w:val="24"/>
                <w:lang w:eastAsia="pt-BR"/>
              </w:rPr>
              <w:t>Aspecto social</w:t>
            </w:r>
          </w:p>
        </w:tc>
        <w:tc>
          <w:tcPr>
            <w:tcW w:w="2137" w:type="dxa"/>
          </w:tcPr>
          <w:p w:rsidR="00B6382D" w:rsidRDefault="001805E6" w:rsidP="00C87863">
            <w:pPr>
              <w:spacing w:line="360" w:lineRule="auto"/>
              <w:jc w:val="center"/>
              <w:rPr>
                <w:rFonts w:ascii="Arial" w:hAnsi="Arial" w:cs="Arial"/>
                <w:noProof/>
                <w:szCs w:val="24"/>
                <w:lang w:eastAsia="pt-BR"/>
              </w:rPr>
            </w:pPr>
            <w:r>
              <w:rPr>
                <w:rFonts w:ascii="Arial" w:hAnsi="Arial" w:cs="Arial"/>
                <w:noProof/>
                <w:szCs w:val="24"/>
                <w:lang w:eastAsia="pt-BR"/>
              </w:rPr>
              <w:t>65±19,8</w:t>
            </w:r>
          </w:p>
        </w:tc>
      </w:tr>
      <w:tr w:rsidR="00901B74" w:rsidTr="00357AC1">
        <w:trPr>
          <w:jc w:val="center"/>
        </w:trPr>
        <w:tc>
          <w:tcPr>
            <w:tcW w:w="5017" w:type="dxa"/>
          </w:tcPr>
          <w:p w:rsidR="00901B74" w:rsidRPr="007F5B76" w:rsidRDefault="00901B74" w:rsidP="00901B74">
            <w:pPr>
              <w:spacing w:line="360" w:lineRule="auto"/>
              <w:ind w:left="494"/>
              <w:jc w:val="both"/>
              <w:rPr>
                <w:rFonts w:ascii="Arial" w:hAnsi="Arial" w:cs="Arial"/>
                <w:noProof/>
                <w:szCs w:val="24"/>
                <w:lang w:eastAsia="pt-BR"/>
              </w:rPr>
            </w:pPr>
            <w:r w:rsidRPr="007F5B76">
              <w:rPr>
                <w:rFonts w:ascii="Arial" w:hAnsi="Arial" w:cs="Arial"/>
                <w:noProof/>
                <w:szCs w:val="24"/>
                <w:lang w:eastAsia="pt-BR"/>
              </w:rPr>
              <w:t>Atividade escolar</w:t>
            </w:r>
          </w:p>
        </w:tc>
        <w:tc>
          <w:tcPr>
            <w:tcW w:w="2137" w:type="dxa"/>
          </w:tcPr>
          <w:p w:rsidR="00901B74" w:rsidRDefault="001805E6" w:rsidP="00C87863">
            <w:pPr>
              <w:spacing w:line="360" w:lineRule="auto"/>
              <w:jc w:val="center"/>
              <w:rPr>
                <w:rFonts w:ascii="Arial" w:hAnsi="Arial" w:cs="Arial"/>
                <w:noProof/>
                <w:szCs w:val="24"/>
                <w:lang w:eastAsia="pt-BR"/>
              </w:rPr>
            </w:pPr>
            <w:r>
              <w:rPr>
                <w:rFonts w:ascii="Arial" w:hAnsi="Arial" w:cs="Arial"/>
                <w:noProof/>
                <w:szCs w:val="24"/>
                <w:lang w:eastAsia="pt-BR"/>
              </w:rPr>
              <w:t>60±21,1</w:t>
            </w:r>
          </w:p>
        </w:tc>
      </w:tr>
      <w:tr w:rsidR="00B6382D" w:rsidTr="00357AC1">
        <w:trPr>
          <w:jc w:val="center"/>
        </w:trPr>
        <w:tc>
          <w:tcPr>
            <w:tcW w:w="5017" w:type="dxa"/>
            <w:tcBorders>
              <w:bottom w:val="single" w:sz="4" w:space="0" w:color="auto"/>
            </w:tcBorders>
          </w:tcPr>
          <w:p w:rsidR="00B6382D" w:rsidRPr="00357AC1" w:rsidRDefault="00B6382D" w:rsidP="006546D1">
            <w:pPr>
              <w:spacing w:line="360" w:lineRule="auto"/>
              <w:jc w:val="both"/>
              <w:rPr>
                <w:rFonts w:ascii="Arial" w:hAnsi="Arial" w:cs="Arial"/>
                <w:b/>
                <w:noProof/>
                <w:szCs w:val="24"/>
                <w:lang w:eastAsia="pt-BR"/>
              </w:rPr>
            </w:pPr>
            <w:r w:rsidRPr="00357AC1">
              <w:rPr>
                <w:rFonts w:ascii="Arial" w:hAnsi="Arial" w:cs="Arial"/>
                <w:b/>
                <w:noProof/>
                <w:szCs w:val="24"/>
                <w:lang w:eastAsia="pt-BR"/>
              </w:rPr>
              <w:t>Escore Total do PedsQL</w:t>
            </w:r>
            <w:r w:rsidRPr="00357AC1">
              <w:rPr>
                <w:rFonts w:ascii="Arial" w:hAnsi="Arial" w:cs="Arial"/>
                <w:b/>
                <w:noProof/>
                <w:szCs w:val="24"/>
                <w:vertAlign w:val="superscript"/>
                <w:lang w:eastAsia="pt-BR"/>
              </w:rPr>
              <w:t>TM</w:t>
            </w:r>
          </w:p>
        </w:tc>
        <w:tc>
          <w:tcPr>
            <w:tcW w:w="2137" w:type="dxa"/>
            <w:tcBorders>
              <w:bottom w:val="single" w:sz="4" w:space="0" w:color="auto"/>
            </w:tcBorders>
          </w:tcPr>
          <w:p w:rsidR="00B6382D" w:rsidRDefault="00B6382D" w:rsidP="00C87863">
            <w:pPr>
              <w:spacing w:line="360" w:lineRule="auto"/>
              <w:jc w:val="center"/>
              <w:rPr>
                <w:rFonts w:ascii="Arial" w:hAnsi="Arial" w:cs="Arial"/>
                <w:noProof/>
                <w:szCs w:val="24"/>
                <w:lang w:eastAsia="pt-BR"/>
              </w:rPr>
            </w:pPr>
            <w:r>
              <w:rPr>
                <w:rFonts w:ascii="Arial" w:hAnsi="Arial" w:cs="Arial"/>
                <w:noProof/>
                <w:szCs w:val="24"/>
                <w:lang w:eastAsia="pt-BR"/>
              </w:rPr>
              <w:t>66±14,1</w:t>
            </w:r>
          </w:p>
        </w:tc>
      </w:tr>
    </w:tbl>
    <w:p w:rsidR="006546D1" w:rsidRDefault="00357AC1" w:rsidP="00357AC1">
      <w:pPr>
        <w:spacing w:after="0" w:line="240" w:lineRule="auto"/>
        <w:ind w:left="993" w:right="991"/>
        <w:jc w:val="both"/>
        <w:rPr>
          <w:rFonts w:ascii="Arial" w:hAnsi="Arial" w:cs="Arial"/>
          <w:sz w:val="24"/>
          <w:szCs w:val="24"/>
        </w:rPr>
      </w:pPr>
      <w:r>
        <w:rPr>
          <w:rFonts w:ascii="Arial" w:hAnsi="Arial" w:cs="Arial"/>
          <w:sz w:val="20"/>
        </w:rPr>
        <w:t xml:space="preserve">Legenda: DP </w:t>
      </w:r>
      <w:r>
        <w:rPr>
          <w:rFonts w:ascii="Arial" w:hAnsi="Arial" w:cs="Arial"/>
          <w:sz w:val="20"/>
          <w:szCs w:val="24"/>
        </w:rPr>
        <w:t>–</w:t>
      </w:r>
      <w:r>
        <w:rPr>
          <w:rFonts w:ascii="Arial" w:hAnsi="Arial" w:cs="Arial"/>
          <w:sz w:val="20"/>
        </w:rPr>
        <w:t xml:space="preserve"> Desvio-padrão; HSI </w:t>
      </w:r>
      <w:r>
        <w:rPr>
          <w:rFonts w:ascii="Arial" w:hAnsi="Arial" w:cs="Arial"/>
          <w:sz w:val="20"/>
          <w:szCs w:val="24"/>
        </w:rPr>
        <w:t>–</w:t>
      </w:r>
      <w:r>
        <w:rPr>
          <w:rFonts w:ascii="Arial" w:hAnsi="Arial" w:cs="Arial"/>
          <w:sz w:val="20"/>
        </w:rPr>
        <w:t xml:space="preserve"> Hospital Santa Izabel; MPS – Mucopolissacaridose.</w:t>
      </w:r>
    </w:p>
    <w:p w:rsidR="00313DE7" w:rsidRDefault="00313DE7" w:rsidP="00407BB0">
      <w:pPr>
        <w:tabs>
          <w:tab w:val="left" w:pos="1842"/>
        </w:tabs>
        <w:spacing w:after="0" w:line="360" w:lineRule="auto"/>
        <w:jc w:val="both"/>
        <w:rPr>
          <w:rFonts w:ascii="Arial" w:hAnsi="Arial" w:cs="Arial"/>
          <w:sz w:val="24"/>
          <w:szCs w:val="24"/>
        </w:rPr>
      </w:pPr>
    </w:p>
    <w:p w:rsidR="007A5A2E" w:rsidRDefault="007A5A2E" w:rsidP="00BB471B">
      <w:pPr>
        <w:tabs>
          <w:tab w:val="left" w:pos="6379"/>
        </w:tabs>
        <w:spacing w:after="0" w:line="360" w:lineRule="auto"/>
        <w:jc w:val="both"/>
        <w:rPr>
          <w:rFonts w:ascii="Arial" w:hAnsi="Arial" w:cs="Arial"/>
          <w:sz w:val="24"/>
          <w:szCs w:val="24"/>
        </w:rPr>
      </w:pPr>
      <w:r>
        <w:rPr>
          <w:rFonts w:ascii="Arial" w:hAnsi="Arial" w:cs="Arial"/>
          <w:sz w:val="24"/>
          <w:szCs w:val="24"/>
        </w:rPr>
        <w:t xml:space="preserve">A tabela </w:t>
      </w:r>
      <w:r w:rsidR="00784E75">
        <w:rPr>
          <w:rFonts w:ascii="Arial" w:hAnsi="Arial" w:cs="Arial"/>
          <w:sz w:val="24"/>
          <w:szCs w:val="24"/>
        </w:rPr>
        <w:t>6</w:t>
      </w:r>
      <w:r>
        <w:rPr>
          <w:rFonts w:ascii="Arial" w:hAnsi="Arial" w:cs="Arial"/>
          <w:sz w:val="24"/>
          <w:szCs w:val="24"/>
        </w:rPr>
        <w:t xml:space="preserve"> evidencia correlação positiva moderada entre </w:t>
      </w:r>
      <w:r w:rsidR="00A773BB">
        <w:rPr>
          <w:rFonts w:ascii="Arial" w:hAnsi="Arial" w:cs="Arial"/>
          <w:sz w:val="24"/>
          <w:szCs w:val="24"/>
        </w:rPr>
        <w:t>o escore total d</w:t>
      </w:r>
      <w:r>
        <w:rPr>
          <w:rFonts w:ascii="Arial" w:hAnsi="Arial" w:cs="Arial"/>
          <w:sz w:val="24"/>
          <w:szCs w:val="24"/>
        </w:rPr>
        <w:t xml:space="preserve">a medida de independência funcional e a qualidade de vida </w:t>
      </w:r>
      <w:r w:rsidR="00994FE4">
        <w:rPr>
          <w:rFonts w:ascii="Arial" w:hAnsi="Arial" w:cs="Arial"/>
          <w:sz w:val="24"/>
          <w:szCs w:val="24"/>
        </w:rPr>
        <w:t>geral</w:t>
      </w:r>
      <w:r w:rsidR="00D21570">
        <w:rPr>
          <w:rFonts w:ascii="Arial" w:hAnsi="Arial" w:cs="Arial"/>
          <w:sz w:val="24"/>
          <w:szCs w:val="24"/>
        </w:rPr>
        <w:t xml:space="preserve">, </w:t>
      </w:r>
      <w:r w:rsidR="00482256">
        <w:rPr>
          <w:rFonts w:ascii="Arial" w:hAnsi="Arial" w:cs="Arial"/>
          <w:sz w:val="24"/>
          <w:szCs w:val="24"/>
        </w:rPr>
        <w:t>r=0,52</w:t>
      </w:r>
      <w:r w:rsidR="00D21570">
        <w:rPr>
          <w:rFonts w:ascii="Arial" w:hAnsi="Arial" w:cs="Arial"/>
          <w:sz w:val="24"/>
          <w:szCs w:val="24"/>
        </w:rPr>
        <w:t xml:space="preserve"> (</w:t>
      </w:r>
      <w:r w:rsidR="00482256">
        <w:rPr>
          <w:rFonts w:ascii="Arial" w:hAnsi="Arial" w:cs="Arial"/>
          <w:sz w:val="24"/>
          <w:szCs w:val="24"/>
        </w:rPr>
        <w:t>p=0,007).</w:t>
      </w:r>
      <w:r w:rsidR="00A92B52">
        <w:rPr>
          <w:rFonts w:ascii="Arial" w:hAnsi="Arial" w:cs="Arial"/>
          <w:sz w:val="24"/>
          <w:szCs w:val="24"/>
        </w:rPr>
        <w:t xml:space="preserve"> V</w:t>
      </w:r>
      <w:r>
        <w:rPr>
          <w:rFonts w:ascii="Arial" w:hAnsi="Arial" w:cs="Arial"/>
          <w:sz w:val="24"/>
          <w:szCs w:val="24"/>
        </w:rPr>
        <w:t>erifica-se que capacidade física foi o único domínio d</w:t>
      </w:r>
      <w:r w:rsidR="003915F9">
        <w:rPr>
          <w:rFonts w:ascii="Arial" w:hAnsi="Arial" w:cs="Arial"/>
          <w:sz w:val="24"/>
          <w:szCs w:val="24"/>
        </w:rPr>
        <w:t>a QVRS</w:t>
      </w:r>
      <w:r>
        <w:rPr>
          <w:rFonts w:ascii="Arial" w:hAnsi="Arial" w:cs="Arial"/>
          <w:sz w:val="24"/>
          <w:szCs w:val="24"/>
        </w:rPr>
        <w:t xml:space="preserve"> que apresentou correlação significativa com dimensões da MIF. Este domínio </w:t>
      </w:r>
      <w:r w:rsidR="00D444EE">
        <w:rPr>
          <w:rFonts w:ascii="Arial" w:hAnsi="Arial" w:cs="Arial"/>
          <w:sz w:val="24"/>
          <w:szCs w:val="24"/>
        </w:rPr>
        <w:t>apresentou correlação positiva</w:t>
      </w:r>
      <w:r>
        <w:rPr>
          <w:rFonts w:ascii="Arial" w:hAnsi="Arial" w:cs="Arial"/>
          <w:sz w:val="24"/>
          <w:szCs w:val="24"/>
        </w:rPr>
        <w:t xml:space="preserve"> </w:t>
      </w:r>
      <w:r w:rsidR="00D444EE">
        <w:rPr>
          <w:rFonts w:ascii="Arial" w:hAnsi="Arial" w:cs="Arial"/>
          <w:sz w:val="24"/>
          <w:szCs w:val="24"/>
        </w:rPr>
        <w:t xml:space="preserve">moderada </w:t>
      </w:r>
      <w:r>
        <w:rPr>
          <w:rFonts w:ascii="Arial" w:hAnsi="Arial" w:cs="Arial"/>
          <w:sz w:val="24"/>
          <w:szCs w:val="24"/>
        </w:rPr>
        <w:t>com o domínio motor</w:t>
      </w:r>
      <w:r w:rsidR="00F60FBD">
        <w:rPr>
          <w:rFonts w:ascii="Arial" w:hAnsi="Arial" w:cs="Arial"/>
          <w:sz w:val="24"/>
          <w:szCs w:val="24"/>
        </w:rPr>
        <w:t xml:space="preserve"> da MIF</w:t>
      </w:r>
      <w:r w:rsidR="00D444EE">
        <w:rPr>
          <w:rFonts w:ascii="Arial" w:hAnsi="Arial" w:cs="Arial"/>
          <w:sz w:val="24"/>
          <w:szCs w:val="24"/>
        </w:rPr>
        <w:t>,</w:t>
      </w:r>
      <w:r>
        <w:rPr>
          <w:rFonts w:ascii="Arial" w:hAnsi="Arial" w:cs="Arial"/>
          <w:sz w:val="24"/>
          <w:szCs w:val="24"/>
        </w:rPr>
        <w:t xml:space="preserve"> r=0,60</w:t>
      </w:r>
      <w:r w:rsidR="00D444EE">
        <w:rPr>
          <w:rFonts w:ascii="Arial" w:hAnsi="Arial" w:cs="Arial"/>
          <w:sz w:val="24"/>
          <w:szCs w:val="24"/>
        </w:rPr>
        <w:t xml:space="preserve"> (</w:t>
      </w:r>
      <w:r w:rsidR="00A92B52">
        <w:rPr>
          <w:rFonts w:ascii="Arial" w:hAnsi="Arial" w:cs="Arial"/>
          <w:sz w:val="24"/>
          <w:szCs w:val="24"/>
        </w:rPr>
        <w:t>p=0,001)</w:t>
      </w:r>
      <w:r w:rsidR="00742093">
        <w:rPr>
          <w:rFonts w:ascii="Arial" w:hAnsi="Arial" w:cs="Arial"/>
          <w:sz w:val="24"/>
          <w:szCs w:val="24"/>
        </w:rPr>
        <w:t>;</w:t>
      </w:r>
      <w:r>
        <w:rPr>
          <w:rFonts w:ascii="Arial" w:hAnsi="Arial" w:cs="Arial"/>
          <w:sz w:val="24"/>
          <w:szCs w:val="24"/>
        </w:rPr>
        <w:t xml:space="preserve"> e </w:t>
      </w:r>
      <w:r w:rsidR="00D444EE">
        <w:rPr>
          <w:rFonts w:ascii="Arial" w:hAnsi="Arial" w:cs="Arial"/>
          <w:sz w:val="24"/>
          <w:szCs w:val="24"/>
        </w:rPr>
        <w:t xml:space="preserve">correlação positiva fraca </w:t>
      </w:r>
      <w:r>
        <w:rPr>
          <w:rFonts w:ascii="Arial" w:hAnsi="Arial" w:cs="Arial"/>
          <w:sz w:val="24"/>
          <w:szCs w:val="24"/>
        </w:rPr>
        <w:t>com o domínio cognitivo</w:t>
      </w:r>
      <w:r w:rsidR="00D444EE">
        <w:rPr>
          <w:rFonts w:ascii="Arial" w:hAnsi="Arial" w:cs="Arial"/>
          <w:sz w:val="24"/>
          <w:szCs w:val="24"/>
        </w:rPr>
        <w:t>,</w:t>
      </w:r>
      <w:r>
        <w:rPr>
          <w:rFonts w:ascii="Arial" w:hAnsi="Arial" w:cs="Arial"/>
          <w:sz w:val="24"/>
          <w:szCs w:val="24"/>
        </w:rPr>
        <w:t xml:space="preserve"> r=0,40 </w:t>
      </w:r>
      <w:r w:rsidR="00D444EE">
        <w:rPr>
          <w:rFonts w:ascii="Arial" w:hAnsi="Arial" w:cs="Arial"/>
          <w:sz w:val="24"/>
          <w:szCs w:val="24"/>
        </w:rPr>
        <w:t>(</w:t>
      </w:r>
      <w:r>
        <w:rPr>
          <w:rFonts w:ascii="Arial" w:hAnsi="Arial" w:cs="Arial"/>
          <w:sz w:val="24"/>
          <w:szCs w:val="24"/>
        </w:rPr>
        <w:t>p=0,04).</w:t>
      </w:r>
    </w:p>
    <w:p w:rsidR="00D11CF9" w:rsidRDefault="00D11CF9" w:rsidP="00C04513">
      <w:pPr>
        <w:spacing w:after="0" w:line="360" w:lineRule="auto"/>
        <w:jc w:val="both"/>
        <w:rPr>
          <w:rFonts w:ascii="Arial" w:hAnsi="Arial" w:cs="Arial"/>
          <w:sz w:val="24"/>
          <w:szCs w:val="24"/>
        </w:rPr>
      </w:pPr>
    </w:p>
    <w:p w:rsidR="00495075" w:rsidRDefault="00495075" w:rsidP="00BB471B">
      <w:pPr>
        <w:spacing w:after="0" w:line="360" w:lineRule="auto"/>
        <w:jc w:val="both"/>
        <w:rPr>
          <w:rFonts w:ascii="Arial" w:hAnsi="Arial" w:cs="Arial"/>
          <w:sz w:val="24"/>
          <w:szCs w:val="24"/>
        </w:rPr>
      </w:pPr>
      <w:r>
        <w:rPr>
          <w:rFonts w:ascii="Arial" w:hAnsi="Arial" w:cs="Arial"/>
          <w:sz w:val="24"/>
          <w:szCs w:val="24"/>
        </w:rPr>
        <w:t>No domínio motor, a capacidade física apresentou correlação</w:t>
      </w:r>
      <w:r w:rsidR="00742093">
        <w:rPr>
          <w:rFonts w:ascii="Arial" w:hAnsi="Arial" w:cs="Arial"/>
          <w:sz w:val="24"/>
          <w:szCs w:val="24"/>
        </w:rPr>
        <w:t xml:space="preserve"> positiva</w:t>
      </w:r>
      <w:r>
        <w:rPr>
          <w:rFonts w:ascii="Arial" w:hAnsi="Arial" w:cs="Arial"/>
          <w:sz w:val="24"/>
          <w:szCs w:val="24"/>
        </w:rPr>
        <w:t xml:space="preserve"> </w:t>
      </w:r>
      <w:r w:rsidR="00742093">
        <w:rPr>
          <w:rFonts w:ascii="Arial" w:hAnsi="Arial" w:cs="Arial"/>
          <w:sz w:val="24"/>
          <w:szCs w:val="24"/>
        </w:rPr>
        <w:t xml:space="preserve">moderada </w:t>
      </w:r>
      <w:r>
        <w:rPr>
          <w:rFonts w:ascii="Arial" w:hAnsi="Arial" w:cs="Arial"/>
          <w:sz w:val="24"/>
          <w:szCs w:val="24"/>
        </w:rPr>
        <w:t xml:space="preserve">com </w:t>
      </w:r>
      <w:r w:rsidR="00BC238A">
        <w:rPr>
          <w:rFonts w:ascii="Arial" w:hAnsi="Arial" w:cs="Arial"/>
          <w:sz w:val="24"/>
          <w:szCs w:val="24"/>
        </w:rPr>
        <w:t xml:space="preserve">os </w:t>
      </w:r>
      <w:r w:rsidR="00B470C7">
        <w:rPr>
          <w:rFonts w:ascii="Arial" w:hAnsi="Arial" w:cs="Arial"/>
          <w:sz w:val="24"/>
          <w:szCs w:val="24"/>
        </w:rPr>
        <w:t>sub</w:t>
      </w:r>
      <w:r w:rsidR="00BC238A">
        <w:rPr>
          <w:rFonts w:ascii="Arial" w:hAnsi="Arial" w:cs="Arial"/>
          <w:sz w:val="24"/>
          <w:szCs w:val="24"/>
        </w:rPr>
        <w:t>domínios</w:t>
      </w:r>
      <w:r>
        <w:rPr>
          <w:rFonts w:ascii="Arial" w:hAnsi="Arial" w:cs="Arial"/>
          <w:sz w:val="24"/>
          <w:szCs w:val="24"/>
        </w:rPr>
        <w:t xml:space="preserve">: </w:t>
      </w:r>
      <w:r w:rsidR="000406EB">
        <w:rPr>
          <w:rFonts w:ascii="Arial" w:hAnsi="Arial" w:cs="Arial"/>
          <w:sz w:val="24"/>
          <w:szCs w:val="24"/>
        </w:rPr>
        <w:t>autocuidado</w:t>
      </w:r>
      <w:r w:rsidR="00742093">
        <w:rPr>
          <w:rFonts w:ascii="Arial" w:hAnsi="Arial" w:cs="Arial"/>
          <w:sz w:val="24"/>
          <w:szCs w:val="24"/>
        </w:rPr>
        <w:t>,</w:t>
      </w:r>
      <w:r w:rsidR="002540DE">
        <w:rPr>
          <w:rFonts w:ascii="Arial" w:hAnsi="Arial" w:cs="Arial"/>
          <w:sz w:val="24"/>
          <w:szCs w:val="24"/>
        </w:rPr>
        <w:t xml:space="preserve"> r=0,60</w:t>
      </w:r>
      <w:r w:rsidR="00742093">
        <w:rPr>
          <w:rFonts w:ascii="Arial" w:hAnsi="Arial" w:cs="Arial"/>
          <w:sz w:val="24"/>
          <w:szCs w:val="24"/>
        </w:rPr>
        <w:t xml:space="preserve"> (p=0,001); transferência</w:t>
      </w:r>
      <w:r w:rsidR="001210CF">
        <w:rPr>
          <w:rFonts w:ascii="Arial" w:hAnsi="Arial" w:cs="Arial"/>
          <w:sz w:val="24"/>
          <w:szCs w:val="24"/>
        </w:rPr>
        <w:t>s</w:t>
      </w:r>
      <w:r w:rsidR="00742093">
        <w:rPr>
          <w:rFonts w:ascii="Arial" w:hAnsi="Arial" w:cs="Arial"/>
          <w:sz w:val="24"/>
          <w:szCs w:val="24"/>
        </w:rPr>
        <w:t xml:space="preserve">, </w:t>
      </w:r>
      <w:r w:rsidR="002540DE">
        <w:rPr>
          <w:rFonts w:ascii="Arial" w:hAnsi="Arial" w:cs="Arial"/>
          <w:sz w:val="24"/>
          <w:szCs w:val="24"/>
        </w:rPr>
        <w:t>r=0,51</w:t>
      </w:r>
      <w:r w:rsidR="00742093">
        <w:rPr>
          <w:rFonts w:ascii="Arial" w:hAnsi="Arial" w:cs="Arial"/>
          <w:sz w:val="24"/>
          <w:szCs w:val="24"/>
        </w:rPr>
        <w:t xml:space="preserve"> (</w:t>
      </w:r>
      <w:r>
        <w:rPr>
          <w:rFonts w:ascii="Arial" w:hAnsi="Arial" w:cs="Arial"/>
          <w:sz w:val="24"/>
          <w:szCs w:val="24"/>
        </w:rPr>
        <w:t>p=0,008)</w:t>
      </w:r>
      <w:r w:rsidR="00742093">
        <w:rPr>
          <w:rFonts w:ascii="Arial" w:hAnsi="Arial" w:cs="Arial"/>
          <w:sz w:val="24"/>
          <w:szCs w:val="24"/>
        </w:rPr>
        <w:t>;</w:t>
      </w:r>
      <w:r>
        <w:rPr>
          <w:rFonts w:ascii="Arial" w:hAnsi="Arial" w:cs="Arial"/>
          <w:sz w:val="24"/>
          <w:szCs w:val="24"/>
        </w:rPr>
        <w:t xml:space="preserve"> e locomoç</w:t>
      </w:r>
      <w:r w:rsidR="002540DE">
        <w:rPr>
          <w:rFonts w:ascii="Arial" w:hAnsi="Arial" w:cs="Arial"/>
          <w:sz w:val="24"/>
          <w:szCs w:val="24"/>
        </w:rPr>
        <w:t>ão</w:t>
      </w:r>
      <w:r w:rsidR="00742093">
        <w:rPr>
          <w:rFonts w:ascii="Arial" w:hAnsi="Arial" w:cs="Arial"/>
          <w:sz w:val="24"/>
          <w:szCs w:val="24"/>
        </w:rPr>
        <w:t>,</w:t>
      </w:r>
      <w:r>
        <w:rPr>
          <w:rFonts w:ascii="Arial" w:hAnsi="Arial" w:cs="Arial"/>
          <w:sz w:val="24"/>
          <w:szCs w:val="24"/>
        </w:rPr>
        <w:t xml:space="preserve"> r=0,63 </w:t>
      </w:r>
      <w:r w:rsidR="00742093">
        <w:rPr>
          <w:rFonts w:ascii="Arial" w:hAnsi="Arial" w:cs="Arial"/>
          <w:sz w:val="24"/>
          <w:szCs w:val="24"/>
        </w:rPr>
        <w:t>(</w:t>
      </w:r>
      <w:r>
        <w:rPr>
          <w:rFonts w:ascii="Arial" w:hAnsi="Arial" w:cs="Arial"/>
          <w:sz w:val="24"/>
          <w:szCs w:val="24"/>
        </w:rPr>
        <w:t>p=0,001). No domínio cognit</w:t>
      </w:r>
      <w:r w:rsidR="00955ED7">
        <w:rPr>
          <w:rFonts w:ascii="Arial" w:hAnsi="Arial" w:cs="Arial"/>
          <w:sz w:val="24"/>
          <w:szCs w:val="24"/>
        </w:rPr>
        <w:t>ivo da MIF, a capacidade física</w:t>
      </w:r>
      <w:r w:rsidR="00742093">
        <w:rPr>
          <w:rFonts w:ascii="Arial" w:hAnsi="Arial" w:cs="Arial"/>
          <w:sz w:val="24"/>
          <w:szCs w:val="24"/>
        </w:rPr>
        <w:t xml:space="preserve"> </w:t>
      </w:r>
      <w:r w:rsidR="00116F25">
        <w:rPr>
          <w:rFonts w:ascii="Arial" w:hAnsi="Arial" w:cs="Arial"/>
          <w:sz w:val="24"/>
          <w:szCs w:val="24"/>
        </w:rPr>
        <w:t>apresentou correlação</w:t>
      </w:r>
      <w:r w:rsidR="009E0938">
        <w:rPr>
          <w:rFonts w:ascii="Arial" w:hAnsi="Arial" w:cs="Arial"/>
          <w:sz w:val="24"/>
          <w:szCs w:val="24"/>
        </w:rPr>
        <w:t xml:space="preserve"> fraca</w:t>
      </w:r>
      <w:r w:rsidR="00116F25">
        <w:rPr>
          <w:rFonts w:ascii="Arial" w:hAnsi="Arial" w:cs="Arial"/>
          <w:sz w:val="24"/>
          <w:szCs w:val="24"/>
        </w:rPr>
        <w:t xml:space="preserve"> com a cognição social, r=0,49</w:t>
      </w:r>
      <w:r w:rsidR="00742093">
        <w:rPr>
          <w:rFonts w:ascii="Arial" w:hAnsi="Arial" w:cs="Arial"/>
          <w:sz w:val="24"/>
          <w:szCs w:val="24"/>
        </w:rPr>
        <w:t xml:space="preserve"> (</w:t>
      </w:r>
      <w:r>
        <w:rPr>
          <w:rFonts w:ascii="Arial" w:hAnsi="Arial" w:cs="Arial"/>
          <w:sz w:val="24"/>
          <w:szCs w:val="24"/>
        </w:rPr>
        <w:t>p=0,01)</w:t>
      </w:r>
      <w:r w:rsidR="009322EA">
        <w:rPr>
          <w:rFonts w:ascii="Arial" w:hAnsi="Arial" w:cs="Arial"/>
          <w:sz w:val="24"/>
          <w:szCs w:val="24"/>
        </w:rPr>
        <w:t xml:space="preserve"> (tabela 4)</w:t>
      </w:r>
      <w:r>
        <w:rPr>
          <w:rFonts w:ascii="Arial" w:hAnsi="Arial" w:cs="Arial"/>
          <w:sz w:val="24"/>
          <w:szCs w:val="24"/>
        </w:rPr>
        <w:t>.</w:t>
      </w:r>
    </w:p>
    <w:p w:rsidR="0000012A" w:rsidRDefault="0000012A" w:rsidP="0000012A">
      <w:pPr>
        <w:spacing w:after="0" w:line="360" w:lineRule="auto"/>
        <w:jc w:val="both"/>
        <w:rPr>
          <w:rFonts w:ascii="Arial" w:hAnsi="Arial" w:cs="Arial"/>
          <w:sz w:val="24"/>
          <w:szCs w:val="24"/>
        </w:rPr>
      </w:pPr>
    </w:p>
    <w:p w:rsidR="00C74E98" w:rsidRDefault="00C74E98" w:rsidP="00BB471B">
      <w:pPr>
        <w:spacing w:after="0" w:line="360" w:lineRule="auto"/>
        <w:jc w:val="both"/>
        <w:rPr>
          <w:rFonts w:ascii="Arial" w:hAnsi="Arial" w:cs="Arial"/>
          <w:sz w:val="24"/>
          <w:szCs w:val="24"/>
        </w:rPr>
      </w:pPr>
      <w:r w:rsidRPr="0000012A">
        <w:rPr>
          <w:rFonts w:ascii="Arial" w:hAnsi="Arial" w:cs="Arial"/>
          <w:sz w:val="24"/>
          <w:szCs w:val="24"/>
        </w:rPr>
        <w:t>No modelo de análise multivariada de regressão linear, o efeito da MIF na capacidade f</w:t>
      </w:r>
      <w:r w:rsidR="007944E0" w:rsidRPr="0000012A">
        <w:rPr>
          <w:rFonts w:ascii="Arial" w:hAnsi="Arial" w:cs="Arial"/>
          <w:sz w:val="24"/>
          <w:szCs w:val="24"/>
        </w:rPr>
        <w:t>ísica</w:t>
      </w:r>
      <w:r w:rsidR="00E86A8C">
        <w:rPr>
          <w:rFonts w:ascii="Arial" w:hAnsi="Arial" w:cs="Arial"/>
          <w:sz w:val="24"/>
          <w:szCs w:val="24"/>
        </w:rPr>
        <w:t>,</w:t>
      </w:r>
      <w:r w:rsidR="005A5771">
        <w:rPr>
          <w:rFonts w:ascii="Arial" w:hAnsi="Arial" w:cs="Arial"/>
          <w:sz w:val="24"/>
          <w:szCs w:val="24"/>
        </w:rPr>
        <w:t xml:space="preserve"> ajustado para os </w:t>
      </w:r>
      <w:r w:rsidR="00BC4121">
        <w:rPr>
          <w:rFonts w:ascii="Arial" w:hAnsi="Arial" w:cs="Arial"/>
          <w:sz w:val="24"/>
          <w:szCs w:val="24"/>
        </w:rPr>
        <w:t>sub</w:t>
      </w:r>
      <w:r w:rsidRPr="0000012A">
        <w:rPr>
          <w:rFonts w:ascii="Arial" w:hAnsi="Arial" w:cs="Arial"/>
          <w:sz w:val="24"/>
          <w:szCs w:val="24"/>
        </w:rPr>
        <w:t>domínios</w:t>
      </w:r>
      <w:r w:rsidR="003A44A4" w:rsidRPr="0000012A">
        <w:rPr>
          <w:rFonts w:ascii="Arial" w:hAnsi="Arial" w:cs="Arial"/>
          <w:sz w:val="24"/>
          <w:szCs w:val="24"/>
        </w:rPr>
        <w:t xml:space="preserve"> </w:t>
      </w:r>
      <w:r w:rsidR="00BC4121">
        <w:rPr>
          <w:rFonts w:ascii="Arial" w:hAnsi="Arial" w:cs="Arial"/>
          <w:sz w:val="24"/>
          <w:szCs w:val="24"/>
        </w:rPr>
        <w:t>autocuidado, transferências, locomoção e cognição social</w:t>
      </w:r>
      <w:r w:rsidR="00E86A8C">
        <w:rPr>
          <w:rFonts w:ascii="Arial" w:hAnsi="Arial" w:cs="Arial"/>
          <w:sz w:val="24"/>
          <w:szCs w:val="24"/>
        </w:rPr>
        <w:t>,</w:t>
      </w:r>
      <w:r w:rsidR="00754B07">
        <w:rPr>
          <w:rFonts w:ascii="Arial" w:hAnsi="Arial" w:cs="Arial"/>
          <w:sz w:val="24"/>
          <w:szCs w:val="24"/>
        </w:rPr>
        <w:t xml:space="preserve"> evidenciou que apenas o </w:t>
      </w:r>
      <w:r w:rsidR="00BC4121">
        <w:rPr>
          <w:rFonts w:ascii="Arial" w:hAnsi="Arial" w:cs="Arial"/>
          <w:sz w:val="24"/>
          <w:szCs w:val="24"/>
        </w:rPr>
        <w:t>sub</w:t>
      </w:r>
      <w:r w:rsidRPr="0000012A">
        <w:rPr>
          <w:rFonts w:ascii="Arial" w:hAnsi="Arial" w:cs="Arial"/>
          <w:sz w:val="24"/>
          <w:szCs w:val="24"/>
        </w:rPr>
        <w:t xml:space="preserve">domínio </w:t>
      </w:r>
      <w:r w:rsidR="00BC4121">
        <w:rPr>
          <w:rFonts w:ascii="Arial" w:hAnsi="Arial" w:cs="Arial"/>
          <w:sz w:val="24"/>
          <w:szCs w:val="24"/>
        </w:rPr>
        <w:t>locomoção</w:t>
      </w:r>
      <w:r w:rsidRPr="0000012A">
        <w:rPr>
          <w:rFonts w:ascii="Arial" w:hAnsi="Arial" w:cs="Arial"/>
          <w:sz w:val="24"/>
          <w:szCs w:val="24"/>
        </w:rPr>
        <w:t xml:space="preserve"> permaneceu </w:t>
      </w:r>
      <w:r w:rsidR="00D512BA">
        <w:rPr>
          <w:rFonts w:ascii="Arial" w:hAnsi="Arial" w:cs="Arial"/>
          <w:sz w:val="24"/>
          <w:szCs w:val="24"/>
        </w:rPr>
        <w:t xml:space="preserve">significativamente associado à </w:t>
      </w:r>
      <w:r w:rsidR="007944E0" w:rsidRPr="0000012A">
        <w:rPr>
          <w:rFonts w:ascii="Arial" w:hAnsi="Arial" w:cs="Arial"/>
          <w:sz w:val="24"/>
          <w:szCs w:val="24"/>
        </w:rPr>
        <w:t>capacidade física</w:t>
      </w:r>
      <w:r w:rsidR="00D512BA">
        <w:rPr>
          <w:rFonts w:ascii="Arial" w:hAnsi="Arial" w:cs="Arial"/>
          <w:sz w:val="24"/>
          <w:szCs w:val="24"/>
        </w:rPr>
        <w:t xml:space="preserve"> – </w:t>
      </w:r>
      <w:r w:rsidR="0024395D" w:rsidRPr="0000012A">
        <w:rPr>
          <w:rFonts w:ascii="Arial" w:hAnsi="Arial" w:cs="Arial"/>
          <w:sz w:val="24"/>
          <w:szCs w:val="24"/>
        </w:rPr>
        <w:t>PedsQL</w:t>
      </w:r>
      <w:r w:rsidR="0024395D" w:rsidRPr="0000012A">
        <w:rPr>
          <w:rFonts w:ascii="Arial" w:hAnsi="Arial" w:cs="Arial"/>
          <w:sz w:val="24"/>
          <w:szCs w:val="24"/>
          <w:vertAlign w:val="superscript"/>
        </w:rPr>
        <w:t>TM</w:t>
      </w:r>
      <w:r w:rsidR="0024395D" w:rsidRPr="0000012A">
        <w:rPr>
          <w:rFonts w:ascii="Arial" w:hAnsi="Arial" w:cs="Arial"/>
          <w:sz w:val="24"/>
          <w:szCs w:val="24"/>
        </w:rPr>
        <w:t xml:space="preserve"> 4.0</w:t>
      </w:r>
      <w:r w:rsidRPr="0000012A">
        <w:rPr>
          <w:rFonts w:ascii="Arial" w:hAnsi="Arial" w:cs="Arial"/>
          <w:sz w:val="24"/>
          <w:szCs w:val="24"/>
        </w:rPr>
        <w:t xml:space="preserve"> </w:t>
      </w:r>
      <w:r w:rsidRPr="0000012A">
        <w:rPr>
          <w:rFonts w:ascii="Arial" w:hAnsi="Arial" w:cs="Arial"/>
          <w:sz w:val="24"/>
          <w:szCs w:val="24"/>
        </w:rPr>
        <w:lastRenderedPageBreak/>
        <w:t>(p</w:t>
      </w:r>
      <w:r w:rsidR="00E86A8C">
        <w:rPr>
          <w:rFonts w:ascii="Arial" w:hAnsi="Arial" w:cs="Arial"/>
          <w:sz w:val="24"/>
          <w:szCs w:val="24"/>
        </w:rPr>
        <w:t>&lt;</w:t>
      </w:r>
      <w:r w:rsidRPr="0000012A">
        <w:rPr>
          <w:rFonts w:ascii="Arial" w:hAnsi="Arial" w:cs="Arial"/>
          <w:sz w:val="24"/>
          <w:szCs w:val="24"/>
        </w:rPr>
        <w:t>0,01).</w:t>
      </w:r>
      <w:r w:rsidR="00034643" w:rsidRPr="0000012A">
        <w:rPr>
          <w:rFonts w:ascii="Arial" w:hAnsi="Arial" w:cs="Arial"/>
          <w:sz w:val="24"/>
          <w:szCs w:val="24"/>
        </w:rPr>
        <w:t xml:space="preserve"> </w:t>
      </w:r>
      <w:r w:rsidR="00BC4121">
        <w:rPr>
          <w:rFonts w:ascii="Arial" w:hAnsi="Arial" w:cs="Arial"/>
          <w:sz w:val="24"/>
          <w:szCs w:val="24"/>
        </w:rPr>
        <w:t>39,7</w:t>
      </w:r>
      <w:r w:rsidR="001A37BB" w:rsidRPr="0000012A">
        <w:rPr>
          <w:rFonts w:ascii="Arial" w:hAnsi="Arial" w:cs="Arial"/>
          <w:sz w:val="24"/>
          <w:szCs w:val="24"/>
        </w:rPr>
        <w:t>%</w:t>
      </w:r>
      <w:r w:rsidR="00C3312F" w:rsidRPr="0000012A">
        <w:rPr>
          <w:rFonts w:ascii="Arial" w:hAnsi="Arial" w:cs="Arial"/>
          <w:sz w:val="24"/>
          <w:szCs w:val="24"/>
        </w:rPr>
        <w:t xml:space="preserve"> da vari</w:t>
      </w:r>
      <w:r w:rsidR="00E81CB8">
        <w:rPr>
          <w:rFonts w:ascii="Arial" w:hAnsi="Arial" w:cs="Arial"/>
          <w:sz w:val="24"/>
          <w:szCs w:val="24"/>
        </w:rPr>
        <w:t>abilidade da capacidade física se deve à</w:t>
      </w:r>
      <w:r w:rsidR="006F453C">
        <w:rPr>
          <w:rFonts w:ascii="Arial" w:hAnsi="Arial" w:cs="Arial"/>
          <w:sz w:val="24"/>
          <w:szCs w:val="24"/>
        </w:rPr>
        <w:t xml:space="preserve"> variável</w:t>
      </w:r>
      <w:r w:rsidR="00C3312F" w:rsidRPr="0000012A">
        <w:rPr>
          <w:rFonts w:ascii="Arial" w:hAnsi="Arial" w:cs="Arial"/>
          <w:sz w:val="24"/>
          <w:szCs w:val="24"/>
        </w:rPr>
        <w:t xml:space="preserve"> </w:t>
      </w:r>
      <w:r w:rsidR="00BC4121">
        <w:rPr>
          <w:rFonts w:ascii="Arial" w:hAnsi="Arial" w:cs="Arial"/>
          <w:sz w:val="24"/>
          <w:szCs w:val="24"/>
        </w:rPr>
        <w:t>locomoção</w:t>
      </w:r>
      <w:r w:rsidR="00C04200">
        <w:rPr>
          <w:rFonts w:ascii="Arial" w:hAnsi="Arial" w:cs="Arial"/>
          <w:sz w:val="24"/>
          <w:szCs w:val="24"/>
        </w:rPr>
        <w:t>;</w:t>
      </w:r>
      <w:r w:rsidR="00C3312F" w:rsidRPr="0000012A">
        <w:rPr>
          <w:rFonts w:ascii="Arial" w:hAnsi="Arial" w:cs="Arial"/>
          <w:sz w:val="24"/>
          <w:szCs w:val="24"/>
        </w:rPr>
        <w:t xml:space="preserve"> 6</w:t>
      </w:r>
      <w:r w:rsidR="00BC4121">
        <w:rPr>
          <w:rFonts w:ascii="Arial" w:hAnsi="Arial" w:cs="Arial"/>
          <w:sz w:val="24"/>
          <w:szCs w:val="24"/>
        </w:rPr>
        <w:t>0</w:t>
      </w:r>
      <w:r w:rsidR="001D67EC">
        <w:rPr>
          <w:rFonts w:ascii="Arial" w:hAnsi="Arial" w:cs="Arial"/>
          <w:sz w:val="24"/>
          <w:szCs w:val="24"/>
        </w:rPr>
        <w:t>,</w:t>
      </w:r>
      <w:r w:rsidR="00BC4121">
        <w:rPr>
          <w:rFonts w:ascii="Arial" w:hAnsi="Arial" w:cs="Arial"/>
          <w:sz w:val="24"/>
          <w:szCs w:val="24"/>
        </w:rPr>
        <w:t>3</w:t>
      </w:r>
      <w:r w:rsidR="00C3312F" w:rsidRPr="0000012A">
        <w:rPr>
          <w:rFonts w:ascii="Arial" w:hAnsi="Arial" w:cs="Arial"/>
          <w:sz w:val="24"/>
          <w:szCs w:val="24"/>
        </w:rPr>
        <w:t>%</w:t>
      </w:r>
      <w:r w:rsidR="00E353F9">
        <w:rPr>
          <w:rFonts w:ascii="Arial" w:hAnsi="Arial" w:cs="Arial"/>
          <w:sz w:val="24"/>
          <w:szCs w:val="24"/>
        </w:rPr>
        <w:t xml:space="preserve"> são</w:t>
      </w:r>
      <w:r w:rsidR="0000012A" w:rsidRPr="0000012A">
        <w:rPr>
          <w:rFonts w:ascii="Arial" w:hAnsi="Arial" w:cs="Arial"/>
          <w:sz w:val="24"/>
          <w:szCs w:val="24"/>
        </w:rPr>
        <w:t xml:space="preserve"> explicado</w:t>
      </w:r>
      <w:r w:rsidR="00E353F9">
        <w:rPr>
          <w:rFonts w:ascii="Arial" w:hAnsi="Arial" w:cs="Arial"/>
          <w:sz w:val="24"/>
          <w:szCs w:val="24"/>
        </w:rPr>
        <w:t>s</w:t>
      </w:r>
      <w:r w:rsidR="0000012A" w:rsidRPr="0000012A">
        <w:rPr>
          <w:rFonts w:ascii="Arial" w:hAnsi="Arial" w:cs="Arial"/>
          <w:sz w:val="24"/>
          <w:szCs w:val="24"/>
        </w:rPr>
        <w:t xml:space="preserve"> por outras variáveis não contempladas</w:t>
      </w:r>
      <w:r w:rsidR="006F453C">
        <w:rPr>
          <w:rFonts w:ascii="Arial" w:hAnsi="Arial" w:cs="Arial"/>
          <w:sz w:val="24"/>
          <w:szCs w:val="24"/>
        </w:rPr>
        <w:t xml:space="preserve"> neste estudo</w:t>
      </w:r>
      <w:r w:rsidR="00E86A8C">
        <w:rPr>
          <w:rFonts w:ascii="Arial" w:hAnsi="Arial" w:cs="Arial"/>
          <w:sz w:val="24"/>
          <w:szCs w:val="24"/>
        </w:rPr>
        <w:t>.</w:t>
      </w:r>
      <w:r w:rsidR="00BC4121">
        <w:rPr>
          <w:rFonts w:ascii="Arial" w:hAnsi="Arial" w:cs="Arial"/>
          <w:sz w:val="24"/>
          <w:szCs w:val="24"/>
        </w:rPr>
        <w:t xml:space="preserve"> Os domínios motor e cognitivo não foram inseridos na análise multivariada para evitar o fenômeno da multicolinearidade.</w:t>
      </w:r>
    </w:p>
    <w:p w:rsidR="00C74E98" w:rsidRDefault="00C74E98" w:rsidP="00B4438F">
      <w:pPr>
        <w:spacing w:after="0" w:line="360" w:lineRule="auto"/>
        <w:jc w:val="both"/>
        <w:rPr>
          <w:rFonts w:ascii="Arial" w:hAnsi="Arial" w:cs="Arial"/>
          <w:sz w:val="24"/>
          <w:szCs w:val="24"/>
        </w:rPr>
      </w:pPr>
    </w:p>
    <w:p w:rsidR="00357AC1" w:rsidRDefault="00860520" w:rsidP="00860520">
      <w:pPr>
        <w:tabs>
          <w:tab w:val="left" w:pos="7200"/>
        </w:tabs>
        <w:spacing w:after="0" w:line="360" w:lineRule="auto"/>
        <w:jc w:val="both"/>
        <w:rPr>
          <w:rFonts w:ascii="Arial" w:hAnsi="Arial" w:cs="Arial"/>
          <w:sz w:val="24"/>
          <w:szCs w:val="24"/>
        </w:rPr>
      </w:pPr>
      <w:r>
        <w:rPr>
          <w:rFonts w:ascii="Arial" w:hAnsi="Arial" w:cs="Arial"/>
          <w:sz w:val="24"/>
          <w:szCs w:val="24"/>
        </w:rPr>
        <w:tab/>
      </w:r>
    </w:p>
    <w:p w:rsidR="00357AC1" w:rsidRDefault="00357AC1" w:rsidP="00B4438F">
      <w:pPr>
        <w:spacing w:after="0" w:line="360" w:lineRule="auto"/>
        <w:jc w:val="both"/>
        <w:rPr>
          <w:rFonts w:ascii="Arial" w:hAnsi="Arial" w:cs="Arial"/>
          <w:sz w:val="24"/>
          <w:szCs w:val="24"/>
        </w:rPr>
      </w:pPr>
    </w:p>
    <w:p w:rsidR="00357AC1" w:rsidRDefault="00357AC1" w:rsidP="00B4438F">
      <w:pPr>
        <w:spacing w:after="0" w:line="360" w:lineRule="auto"/>
        <w:jc w:val="both"/>
        <w:rPr>
          <w:rFonts w:ascii="Arial" w:hAnsi="Arial" w:cs="Arial"/>
          <w:sz w:val="24"/>
          <w:szCs w:val="24"/>
        </w:rPr>
      </w:pPr>
    </w:p>
    <w:p w:rsidR="00357AC1" w:rsidRDefault="00357AC1" w:rsidP="00B4438F">
      <w:pPr>
        <w:spacing w:after="0" w:line="360" w:lineRule="auto"/>
        <w:jc w:val="both"/>
        <w:rPr>
          <w:rFonts w:ascii="Arial" w:hAnsi="Arial" w:cs="Arial"/>
          <w:sz w:val="24"/>
          <w:szCs w:val="24"/>
        </w:rPr>
      </w:pPr>
    </w:p>
    <w:p w:rsidR="00357AC1" w:rsidRDefault="00357AC1" w:rsidP="00B4438F">
      <w:pPr>
        <w:spacing w:after="0" w:line="360" w:lineRule="auto"/>
        <w:jc w:val="both"/>
        <w:rPr>
          <w:rFonts w:ascii="Arial" w:hAnsi="Arial" w:cs="Arial"/>
          <w:sz w:val="24"/>
          <w:szCs w:val="24"/>
        </w:rPr>
      </w:pPr>
    </w:p>
    <w:p w:rsidR="00357AC1" w:rsidRDefault="00357AC1" w:rsidP="00B4438F">
      <w:pPr>
        <w:spacing w:after="0" w:line="360" w:lineRule="auto"/>
        <w:jc w:val="both"/>
        <w:rPr>
          <w:rFonts w:ascii="Arial" w:hAnsi="Arial" w:cs="Arial"/>
          <w:sz w:val="24"/>
          <w:szCs w:val="24"/>
        </w:rPr>
      </w:pPr>
    </w:p>
    <w:p w:rsidR="00357AC1" w:rsidRDefault="00357AC1" w:rsidP="00B4438F">
      <w:pPr>
        <w:spacing w:after="0" w:line="360" w:lineRule="auto"/>
        <w:jc w:val="both"/>
        <w:rPr>
          <w:rFonts w:ascii="Arial" w:hAnsi="Arial" w:cs="Arial"/>
          <w:sz w:val="24"/>
          <w:szCs w:val="24"/>
        </w:rPr>
      </w:pPr>
    </w:p>
    <w:p w:rsidR="00357AC1" w:rsidRDefault="00357AC1" w:rsidP="00B4438F">
      <w:pPr>
        <w:spacing w:after="0" w:line="360" w:lineRule="auto"/>
        <w:jc w:val="both"/>
        <w:rPr>
          <w:rFonts w:ascii="Arial" w:hAnsi="Arial" w:cs="Arial"/>
          <w:sz w:val="24"/>
          <w:szCs w:val="24"/>
        </w:rPr>
      </w:pPr>
    </w:p>
    <w:p w:rsidR="00357AC1" w:rsidRDefault="00357AC1" w:rsidP="00B4438F">
      <w:pPr>
        <w:spacing w:after="0" w:line="360" w:lineRule="auto"/>
        <w:jc w:val="both"/>
        <w:rPr>
          <w:rFonts w:ascii="Arial" w:hAnsi="Arial" w:cs="Arial"/>
          <w:sz w:val="24"/>
          <w:szCs w:val="24"/>
        </w:rPr>
      </w:pPr>
    </w:p>
    <w:p w:rsidR="00357AC1" w:rsidRDefault="00357AC1" w:rsidP="00B4438F">
      <w:pPr>
        <w:spacing w:after="0" w:line="360" w:lineRule="auto"/>
        <w:jc w:val="both"/>
        <w:rPr>
          <w:rFonts w:ascii="Arial" w:hAnsi="Arial" w:cs="Arial"/>
          <w:sz w:val="24"/>
          <w:szCs w:val="24"/>
        </w:rPr>
      </w:pPr>
    </w:p>
    <w:p w:rsidR="00357AC1" w:rsidRDefault="00357AC1" w:rsidP="00B4438F">
      <w:pPr>
        <w:spacing w:after="0" w:line="360" w:lineRule="auto"/>
        <w:jc w:val="both"/>
        <w:rPr>
          <w:rFonts w:ascii="Arial" w:hAnsi="Arial" w:cs="Arial"/>
          <w:sz w:val="24"/>
          <w:szCs w:val="24"/>
        </w:rPr>
      </w:pPr>
    </w:p>
    <w:p w:rsidR="00357AC1" w:rsidRDefault="00357AC1" w:rsidP="00B4438F">
      <w:pPr>
        <w:spacing w:after="0" w:line="360" w:lineRule="auto"/>
        <w:jc w:val="both"/>
        <w:rPr>
          <w:rFonts w:ascii="Arial" w:hAnsi="Arial" w:cs="Arial"/>
          <w:sz w:val="24"/>
          <w:szCs w:val="24"/>
        </w:rPr>
      </w:pPr>
    </w:p>
    <w:p w:rsidR="00357AC1" w:rsidRDefault="00357AC1" w:rsidP="00B4438F">
      <w:pPr>
        <w:spacing w:after="0" w:line="360" w:lineRule="auto"/>
        <w:jc w:val="both"/>
        <w:rPr>
          <w:rFonts w:ascii="Arial" w:hAnsi="Arial" w:cs="Arial"/>
          <w:sz w:val="24"/>
          <w:szCs w:val="24"/>
        </w:rPr>
      </w:pPr>
    </w:p>
    <w:p w:rsidR="00357AC1" w:rsidRDefault="00357AC1" w:rsidP="00B4438F">
      <w:pPr>
        <w:spacing w:after="0" w:line="360" w:lineRule="auto"/>
        <w:jc w:val="both"/>
        <w:rPr>
          <w:rFonts w:ascii="Arial" w:hAnsi="Arial" w:cs="Arial"/>
          <w:sz w:val="24"/>
          <w:szCs w:val="24"/>
        </w:rPr>
      </w:pPr>
    </w:p>
    <w:p w:rsidR="00357AC1" w:rsidRDefault="00357AC1" w:rsidP="00B4438F">
      <w:pPr>
        <w:spacing w:after="0" w:line="360" w:lineRule="auto"/>
        <w:jc w:val="both"/>
        <w:rPr>
          <w:rFonts w:ascii="Arial" w:hAnsi="Arial" w:cs="Arial"/>
          <w:sz w:val="24"/>
          <w:szCs w:val="24"/>
        </w:rPr>
      </w:pPr>
    </w:p>
    <w:p w:rsidR="00357AC1" w:rsidRDefault="00357AC1" w:rsidP="00B4438F">
      <w:pPr>
        <w:spacing w:after="0" w:line="360" w:lineRule="auto"/>
        <w:jc w:val="both"/>
        <w:rPr>
          <w:rFonts w:ascii="Arial" w:hAnsi="Arial" w:cs="Arial"/>
          <w:sz w:val="24"/>
          <w:szCs w:val="24"/>
        </w:rPr>
      </w:pPr>
    </w:p>
    <w:p w:rsidR="00357AC1" w:rsidRDefault="00357AC1" w:rsidP="00B4438F">
      <w:pPr>
        <w:spacing w:after="0" w:line="360" w:lineRule="auto"/>
        <w:jc w:val="both"/>
        <w:rPr>
          <w:rFonts w:ascii="Arial" w:hAnsi="Arial" w:cs="Arial"/>
          <w:sz w:val="24"/>
          <w:szCs w:val="24"/>
        </w:rPr>
      </w:pPr>
    </w:p>
    <w:p w:rsidR="00357AC1" w:rsidRDefault="00357AC1" w:rsidP="00B4438F">
      <w:pPr>
        <w:spacing w:after="0" w:line="360" w:lineRule="auto"/>
        <w:jc w:val="both"/>
        <w:rPr>
          <w:rFonts w:ascii="Arial" w:hAnsi="Arial" w:cs="Arial"/>
          <w:sz w:val="24"/>
          <w:szCs w:val="24"/>
        </w:rPr>
      </w:pPr>
    </w:p>
    <w:p w:rsidR="00357AC1" w:rsidRDefault="00357AC1" w:rsidP="00B4438F">
      <w:pPr>
        <w:spacing w:after="0" w:line="360" w:lineRule="auto"/>
        <w:jc w:val="both"/>
        <w:rPr>
          <w:rFonts w:ascii="Arial" w:hAnsi="Arial" w:cs="Arial"/>
          <w:sz w:val="24"/>
          <w:szCs w:val="24"/>
        </w:rPr>
      </w:pPr>
    </w:p>
    <w:p w:rsidR="00357AC1" w:rsidRDefault="00357AC1" w:rsidP="00B4438F">
      <w:pPr>
        <w:spacing w:after="0" w:line="360" w:lineRule="auto"/>
        <w:jc w:val="both"/>
        <w:rPr>
          <w:rFonts w:ascii="Arial" w:hAnsi="Arial" w:cs="Arial"/>
          <w:sz w:val="24"/>
          <w:szCs w:val="24"/>
        </w:rPr>
      </w:pPr>
    </w:p>
    <w:p w:rsidR="00FF26D8" w:rsidRDefault="00FF26D8" w:rsidP="00B4438F">
      <w:pPr>
        <w:spacing w:after="0" w:line="360" w:lineRule="auto"/>
        <w:jc w:val="both"/>
        <w:rPr>
          <w:rFonts w:ascii="Arial" w:hAnsi="Arial" w:cs="Arial"/>
          <w:sz w:val="24"/>
          <w:szCs w:val="24"/>
        </w:rPr>
      </w:pPr>
    </w:p>
    <w:p w:rsidR="00FF26D8" w:rsidRDefault="00FF26D8" w:rsidP="00B4438F">
      <w:pPr>
        <w:spacing w:after="0" w:line="360" w:lineRule="auto"/>
        <w:jc w:val="both"/>
        <w:rPr>
          <w:rFonts w:ascii="Arial" w:hAnsi="Arial" w:cs="Arial"/>
          <w:sz w:val="24"/>
          <w:szCs w:val="24"/>
        </w:rPr>
      </w:pPr>
    </w:p>
    <w:p w:rsidR="00FF26D8" w:rsidRDefault="00FF26D8" w:rsidP="00B4438F">
      <w:pPr>
        <w:spacing w:after="0" w:line="360" w:lineRule="auto"/>
        <w:jc w:val="both"/>
        <w:rPr>
          <w:rFonts w:ascii="Arial" w:hAnsi="Arial" w:cs="Arial"/>
          <w:sz w:val="24"/>
          <w:szCs w:val="24"/>
        </w:rPr>
      </w:pPr>
    </w:p>
    <w:p w:rsidR="00FF26D8" w:rsidRDefault="00FF26D8" w:rsidP="00B4438F">
      <w:pPr>
        <w:spacing w:after="0" w:line="360" w:lineRule="auto"/>
        <w:jc w:val="both"/>
        <w:rPr>
          <w:rFonts w:ascii="Arial" w:hAnsi="Arial" w:cs="Arial"/>
          <w:sz w:val="24"/>
          <w:szCs w:val="24"/>
        </w:rPr>
      </w:pPr>
    </w:p>
    <w:p w:rsidR="00FF26D8" w:rsidRDefault="00FF26D8" w:rsidP="00B4438F">
      <w:pPr>
        <w:spacing w:after="0" w:line="360" w:lineRule="auto"/>
        <w:jc w:val="both"/>
        <w:rPr>
          <w:rFonts w:ascii="Arial" w:hAnsi="Arial" w:cs="Arial"/>
          <w:sz w:val="24"/>
          <w:szCs w:val="24"/>
        </w:rPr>
      </w:pPr>
    </w:p>
    <w:p w:rsidR="00E36C35" w:rsidRDefault="00E36C35" w:rsidP="00B4438F">
      <w:pPr>
        <w:spacing w:after="0" w:line="360" w:lineRule="auto"/>
        <w:jc w:val="both"/>
        <w:rPr>
          <w:rFonts w:ascii="Arial" w:hAnsi="Arial" w:cs="Arial"/>
          <w:sz w:val="24"/>
          <w:szCs w:val="24"/>
        </w:rPr>
        <w:sectPr w:rsidR="00E36C35" w:rsidSect="00845167">
          <w:headerReference w:type="default" r:id="rId26"/>
          <w:pgSz w:w="11906" w:h="16838" w:code="9"/>
          <w:pgMar w:top="1701" w:right="1134" w:bottom="1134" w:left="1701" w:header="1134" w:footer="709" w:gutter="0"/>
          <w:pgNumType w:start="15"/>
          <w:cols w:space="708"/>
          <w:docGrid w:linePitch="360"/>
        </w:sectPr>
      </w:pPr>
    </w:p>
    <w:bookmarkStart w:id="71" w:name="_Toc496543270"/>
    <w:bookmarkStart w:id="72" w:name="_Toc496553543"/>
    <w:p w:rsidR="007A1E7F" w:rsidRDefault="00283E6D" w:rsidP="007A1E7F">
      <w:pPr>
        <w:pStyle w:val="EstiloDissertao"/>
        <w:ind w:right="140"/>
      </w:pPr>
      <w:r>
        <w:rPr>
          <w:noProof/>
          <w:lang w:eastAsia="pt-BR"/>
        </w:rPr>
        <w:lastRenderedPageBreak/>
        <mc:AlternateContent>
          <mc:Choice Requires="wps">
            <w:drawing>
              <wp:anchor distT="0" distB="0" distL="114300" distR="114300" simplePos="0" relativeHeight="251781120" behindDoc="0" locked="0" layoutInCell="1" allowOverlap="1" wp14:anchorId="518D2B43" wp14:editId="2FC19071">
                <wp:simplePos x="0" y="0"/>
                <wp:positionH relativeFrom="column">
                  <wp:posOffset>8540750</wp:posOffset>
                </wp:positionH>
                <wp:positionV relativeFrom="paragraph">
                  <wp:posOffset>-349723</wp:posOffset>
                </wp:positionV>
                <wp:extent cx="499302" cy="223284"/>
                <wp:effectExtent l="0" t="0" r="0" b="5715"/>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02" cy="223284"/>
                        </a:xfrm>
                        <a:prstGeom prst="rect">
                          <a:avLst/>
                        </a:prstGeom>
                        <a:solidFill>
                          <a:schemeClr val="bg1"/>
                        </a:solidFill>
                        <a:ln w="9525">
                          <a:noFill/>
                          <a:miter lim="800000"/>
                          <a:headEnd/>
                          <a:tailEnd/>
                        </a:ln>
                      </wps:spPr>
                      <wps:txbx>
                        <w:txbxContent>
                          <w:p w:rsidR="00B421DD" w:rsidRDefault="00B421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8D2B43" id="_x0000_s1033" type="#_x0000_t202" style="position:absolute;left:0;text-align:left;margin-left:672.5pt;margin-top:-27.55pt;width:39.3pt;height:17.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" fillcolor="white [3212]" stroked="f">
                <v:textbox>
                  <w:txbxContent>
                    <w:p w:rsidR="00986394" w:rsidRDefault="00986394"/>
                  </w:txbxContent>
                </v:textbox>
              </v:shape>
            </w:pict>
          </mc:Fallback>
        </mc:AlternateContent>
      </w:r>
      <w:r w:rsidR="007A1E7F" w:rsidRPr="007A1E7F">
        <w:rPr>
          <w:b/>
        </w:rPr>
        <w:t xml:space="preserve">Tabela </w:t>
      </w:r>
      <w:r w:rsidR="007A1E7F" w:rsidRPr="007A1E7F">
        <w:rPr>
          <w:b/>
        </w:rPr>
        <w:fldChar w:fldCharType="begin"/>
      </w:r>
      <w:r w:rsidR="007A1E7F" w:rsidRPr="007A1E7F">
        <w:rPr>
          <w:b/>
        </w:rPr>
        <w:instrText xml:space="preserve"> SEQ Tabela \* ARABIC </w:instrText>
      </w:r>
      <w:r w:rsidR="007A1E7F" w:rsidRPr="007A1E7F">
        <w:rPr>
          <w:b/>
        </w:rPr>
        <w:fldChar w:fldCharType="separate"/>
      </w:r>
      <w:r w:rsidR="005E2BE9">
        <w:rPr>
          <w:b/>
          <w:noProof/>
        </w:rPr>
        <w:t>6</w:t>
      </w:r>
      <w:r w:rsidR="007A1E7F" w:rsidRPr="007A1E7F">
        <w:rPr>
          <w:b/>
        </w:rPr>
        <w:fldChar w:fldCharType="end"/>
      </w:r>
      <w:r w:rsidR="007A1E7F" w:rsidRPr="007A1E7F">
        <w:rPr>
          <w:b/>
        </w:rPr>
        <w:t xml:space="preserve"> –</w:t>
      </w:r>
      <w:r w:rsidR="007A1E7F" w:rsidRPr="00184B43">
        <w:t xml:space="preserve"> Correlação entre a medida de independência funcional (dimensões da escala MIF) e a QVRS (domínios do instrumento PedsQL</w:t>
      </w:r>
      <w:r w:rsidR="007A1E7F" w:rsidRPr="006250B3">
        <w:rPr>
          <w:vertAlign w:val="superscript"/>
        </w:rPr>
        <w:t>TM</w:t>
      </w:r>
      <w:r w:rsidR="007A1E7F" w:rsidRPr="00184B43">
        <w:t xml:space="preserve"> 4.0)</w:t>
      </w:r>
      <w:r w:rsidR="006B2E78">
        <w:t xml:space="preserve"> das crianças e adolescentes acompanhados no ambulatório de ortopedia do HSI, </w:t>
      </w:r>
      <w:r w:rsidR="005906C7" w:rsidRPr="008160C5">
        <w:t xml:space="preserve">no período de </w:t>
      </w:r>
      <w:r w:rsidR="005906C7">
        <w:t>janeiro de 2012</w:t>
      </w:r>
      <w:r w:rsidR="005906C7" w:rsidRPr="008160C5">
        <w:t xml:space="preserve"> a </w:t>
      </w:r>
      <w:r w:rsidR="005906C7">
        <w:t>outubro d</w:t>
      </w:r>
      <w:r w:rsidR="005906C7" w:rsidRPr="008160C5">
        <w:t>e 201</w:t>
      </w:r>
      <w:r w:rsidR="005906C7">
        <w:t>4</w:t>
      </w:r>
      <w:r w:rsidR="007A1E7F" w:rsidRPr="00184B43">
        <w:t>.</w:t>
      </w:r>
      <w:bookmarkEnd w:id="71"/>
      <w:bookmarkEnd w:id="72"/>
    </w:p>
    <w:tbl>
      <w:tblPr>
        <w:tblStyle w:val="Tabelacomgrade"/>
        <w:tblW w:w="13900" w:type="dxa"/>
        <w:jc w:val="center"/>
        <w:tblLook w:val="04A0" w:firstRow="1" w:lastRow="0" w:firstColumn="1" w:lastColumn="0" w:noHBand="0" w:noVBand="1"/>
      </w:tblPr>
      <w:tblGrid>
        <w:gridCol w:w="3488"/>
        <w:gridCol w:w="1880"/>
        <w:gridCol w:w="1788"/>
        <w:gridCol w:w="1682"/>
        <w:gridCol w:w="1590"/>
        <w:gridCol w:w="1735"/>
        <w:gridCol w:w="1737"/>
      </w:tblGrid>
      <w:tr w:rsidR="00E36C35" w:rsidTr="00E36C35">
        <w:trPr>
          <w:trHeight w:val="158"/>
          <w:jc w:val="center"/>
        </w:trPr>
        <w:tc>
          <w:tcPr>
            <w:tcW w:w="3488" w:type="dxa"/>
            <w:vMerge w:val="restart"/>
            <w:tcBorders>
              <w:left w:val="nil"/>
              <w:right w:val="nil"/>
            </w:tcBorders>
          </w:tcPr>
          <w:p w:rsidR="00E36C35" w:rsidRDefault="00E36C35" w:rsidP="00986394">
            <w:pPr>
              <w:tabs>
                <w:tab w:val="left" w:pos="8789"/>
              </w:tabs>
              <w:ind w:right="140"/>
              <w:jc w:val="center"/>
              <w:rPr>
                <w:rFonts w:ascii="Arial" w:hAnsi="Arial" w:cs="Arial"/>
                <w:b/>
                <w:sz w:val="20"/>
                <w:szCs w:val="24"/>
              </w:rPr>
            </w:pPr>
          </w:p>
          <w:p w:rsidR="00E36C35" w:rsidRDefault="00E36C35" w:rsidP="00986394">
            <w:pPr>
              <w:tabs>
                <w:tab w:val="left" w:pos="8789"/>
              </w:tabs>
              <w:ind w:right="140"/>
              <w:jc w:val="center"/>
              <w:rPr>
                <w:rFonts w:ascii="Arial" w:hAnsi="Arial" w:cs="Arial"/>
                <w:b/>
                <w:sz w:val="20"/>
                <w:szCs w:val="24"/>
              </w:rPr>
            </w:pPr>
          </w:p>
          <w:p w:rsidR="00E36C35" w:rsidRPr="00532C41" w:rsidRDefault="00E36C35" w:rsidP="00986394">
            <w:pPr>
              <w:tabs>
                <w:tab w:val="left" w:pos="8789"/>
              </w:tabs>
              <w:ind w:right="140"/>
              <w:jc w:val="center"/>
              <w:rPr>
                <w:rFonts w:ascii="Arial" w:hAnsi="Arial" w:cs="Arial"/>
                <w:b/>
                <w:sz w:val="20"/>
                <w:szCs w:val="24"/>
              </w:rPr>
            </w:pPr>
            <w:r w:rsidRPr="00532C41">
              <w:rPr>
                <w:rFonts w:ascii="Arial" w:hAnsi="Arial" w:cs="Arial"/>
                <w:b/>
                <w:sz w:val="20"/>
                <w:szCs w:val="24"/>
              </w:rPr>
              <w:t>Dimensões da MIF</w:t>
            </w:r>
          </w:p>
        </w:tc>
        <w:tc>
          <w:tcPr>
            <w:tcW w:w="10412" w:type="dxa"/>
            <w:gridSpan w:val="6"/>
            <w:tcBorders>
              <w:left w:val="nil"/>
              <w:right w:val="nil"/>
            </w:tcBorders>
          </w:tcPr>
          <w:p w:rsidR="00E36C35" w:rsidRPr="00532C41" w:rsidRDefault="00E36C35" w:rsidP="00986394">
            <w:pPr>
              <w:tabs>
                <w:tab w:val="left" w:pos="8789"/>
              </w:tabs>
              <w:ind w:right="140"/>
              <w:jc w:val="center"/>
              <w:rPr>
                <w:rFonts w:ascii="Arial" w:hAnsi="Arial" w:cs="Arial"/>
                <w:b/>
                <w:sz w:val="20"/>
                <w:szCs w:val="24"/>
              </w:rPr>
            </w:pPr>
            <w:r w:rsidRPr="00532C41">
              <w:rPr>
                <w:rFonts w:ascii="Arial" w:hAnsi="Arial" w:cs="Arial"/>
                <w:b/>
                <w:sz w:val="20"/>
                <w:szCs w:val="24"/>
              </w:rPr>
              <w:t>Domínios do PedsQL</w:t>
            </w:r>
            <w:r w:rsidRPr="00532C41">
              <w:rPr>
                <w:rFonts w:ascii="Arial" w:hAnsi="Arial" w:cs="Arial"/>
                <w:b/>
                <w:sz w:val="20"/>
                <w:szCs w:val="24"/>
                <w:vertAlign w:val="superscript"/>
              </w:rPr>
              <w:t>TM</w:t>
            </w:r>
            <w:r w:rsidRPr="00532C41">
              <w:rPr>
                <w:rFonts w:ascii="Arial" w:hAnsi="Arial" w:cs="Arial"/>
                <w:b/>
                <w:sz w:val="20"/>
                <w:szCs w:val="24"/>
              </w:rPr>
              <w:t xml:space="preserve"> 4.0</w:t>
            </w:r>
          </w:p>
        </w:tc>
      </w:tr>
      <w:tr w:rsidR="00E36C35" w:rsidTr="00E36C35">
        <w:trPr>
          <w:trHeight w:val="810"/>
          <w:jc w:val="center"/>
        </w:trPr>
        <w:tc>
          <w:tcPr>
            <w:tcW w:w="3488" w:type="dxa"/>
            <w:vMerge/>
            <w:tcBorders>
              <w:left w:val="nil"/>
              <w:right w:val="nil"/>
            </w:tcBorders>
          </w:tcPr>
          <w:p w:rsidR="00E36C35" w:rsidRPr="00532C41" w:rsidRDefault="00E36C35" w:rsidP="00986394">
            <w:pPr>
              <w:tabs>
                <w:tab w:val="left" w:pos="8789"/>
              </w:tabs>
              <w:ind w:right="140"/>
              <w:jc w:val="both"/>
              <w:rPr>
                <w:rFonts w:ascii="Arial" w:hAnsi="Arial" w:cs="Arial"/>
                <w:b/>
                <w:sz w:val="20"/>
                <w:szCs w:val="24"/>
              </w:rPr>
            </w:pPr>
          </w:p>
        </w:tc>
        <w:tc>
          <w:tcPr>
            <w:tcW w:w="1880" w:type="dxa"/>
            <w:tcBorders>
              <w:left w:val="nil"/>
              <w:right w:val="nil"/>
            </w:tcBorders>
          </w:tcPr>
          <w:p w:rsidR="00E36C35" w:rsidRPr="00532C41" w:rsidRDefault="00E36C35" w:rsidP="00986394">
            <w:pPr>
              <w:tabs>
                <w:tab w:val="left" w:pos="8789"/>
              </w:tabs>
              <w:ind w:right="140"/>
              <w:jc w:val="center"/>
              <w:rPr>
                <w:rFonts w:ascii="Arial" w:hAnsi="Arial" w:cs="Arial"/>
                <w:b/>
                <w:sz w:val="20"/>
                <w:szCs w:val="24"/>
              </w:rPr>
            </w:pPr>
            <w:r w:rsidRPr="00532C41">
              <w:rPr>
                <w:rFonts w:ascii="Arial" w:hAnsi="Arial" w:cs="Arial"/>
                <w:b/>
                <w:sz w:val="20"/>
                <w:szCs w:val="24"/>
              </w:rPr>
              <w:t>Capacidade física</w:t>
            </w:r>
          </w:p>
        </w:tc>
        <w:tc>
          <w:tcPr>
            <w:tcW w:w="1788" w:type="dxa"/>
            <w:tcBorders>
              <w:left w:val="nil"/>
              <w:right w:val="nil"/>
            </w:tcBorders>
          </w:tcPr>
          <w:p w:rsidR="00E36C35" w:rsidRPr="00532C41" w:rsidRDefault="00E36C35" w:rsidP="00986394">
            <w:pPr>
              <w:tabs>
                <w:tab w:val="left" w:pos="8789"/>
              </w:tabs>
              <w:ind w:right="140"/>
              <w:jc w:val="center"/>
              <w:rPr>
                <w:rFonts w:ascii="Arial" w:hAnsi="Arial" w:cs="Arial"/>
                <w:b/>
                <w:sz w:val="20"/>
                <w:szCs w:val="24"/>
              </w:rPr>
            </w:pPr>
            <w:r w:rsidRPr="00532C41">
              <w:rPr>
                <w:rFonts w:ascii="Arial" w:hAnsi="Arial" w:cs="Arial"/>
                <w:b/>
                <w:sz w:val="20"/>
                <w:szCs w:val="24"/>
              </w:rPr>
              <w:t>Aspectos emocionais</w:t>
            </w:r>
          </w:p>
        </w:tc>
        <w:tc>
          <w:tcPr>
            <w:tcW w:w="1682" w:type="dxa"/>
            <w:tcBorders>
              <w:left w:val="nil"/>
              <w:right w:val="nil"/>
            </w:tcBorders>
          </w:tcPr>
          <w:p w:rsidR="00E36C35" w:rsidRPr="00532C41" w:rsidRDefault="00E36C35" w:rsidP="00986394">
            <w:pPr>
              <w:tabs>
                <w:tab w:val="left" w:pos="8789"/>
              </w:tabs>
              <w:ind w:right="140"/>
              <w:jc w:val="center"/>
              <w:rPr>
                <w:rFonts w:ascii="Arial" w:hAnsi="Arial" w:cs="Arial"/>
                <w:b/>
                <w:sz w:val="20"/>
                <w:szCs w:val="24"/>
              </w:rPr>
            </w:pPr>
            <w:r w:rsidRPr="00532C41">
              <w:rPr>
                <w:rFonts w:ascii="Arial" w:hAnsi="Arial" w:cs="Arial"/>
                <w:b/>
                <w:sz w:val="20"/>
                <w:szCs w:val="24"/>
              </w:rPr>
              <w:t>Aspectos sociais</w:t>
            </w:r>
          </w:p>
        </w:tc>
        <w:tc>
          <w:tcPr>
            <w:tcW w:w="1590" w:type="dxa"/>
            <w:tcBorders>
              <w:left w:val="nil"/>
              <w:right w:val="nil"/>
            </w:tcBorders>
          </w:tcPr>
          <w:p w:rsidR="00E36C35" w:rsidRPr="00532C41" w:rsidRDefault="00E36C35" w:rsidP="00986394">
            <w:pPr>
              <w:tabs>
                <w:tab w:val="left" w:pos="8789"/>
              </w:tabs>
              <w:ind w:right="140"/>
              <w:jc w:val="center"/>
              <w:rPr>
                <w:rFonts w:ascii="Arial" w:hAnsi="Arial" w:cs="Arial"/>
                <w:b/>
                <w:sz w:val="20"/>
                <w:szCs w:val="24"/>
              </w:rPr>
            </w:pPr>
            <w:r w:rsidRPr="00532C41">
              <w:rPr>
                <w:rFonts w:ascii="Arial" w:hAnsi="Arial" w:cs="Arial"/>
                <w:b/>
                <w:sz w:val="20"/>
                <w:szCs w:val="24"/>
              </w:rPr>
              <w:t>Atividades escolares</w:t>
            </w:r>
          </w:p>
        </w:tc>
        <w:tc>
          <w:tcPr>
            <w:tcW w:w="1735" w:type="dxa"/>
            <w:tcBorders>
              <w:left w:val="nil"/>
              <w:right w:val="nil"/>
            </w:tcBorders>
          </w:tcPr>
          <w:p w:rsidR="00E36C35" w:rsidRPr="00532C41" w:rsidRDefault="00E36C35" w:rsidP="00986394">
            <w:pPr>
              <w:tabs>
                <w:tab w:val="left" w:pos="8789"/>
              </w:tabs>
              <w:ind w:right="140"/>
              <w:jc w:val="center"/>
              <w:rPr>
                <w:rFonts w:ascii="Arial" w:hAnsi="Arial" w:cs="Arial"/>
                <w:b/>
                <w:sz w:val="20"/>
                <w:szCs w:val="24"/>
              </w:rPr>
            </w:pPr>
            <w:r w:rsidRPr="00532C41">
              <w:rPr>
                <w:rFonts w:ascii="Arial" w:hAnsi="Arial" w:cs="Arial"/>
                <w:b/>
                <w:sz w:val="20"/>
                <w:szCs w:val="24"/>
              </w:rPr>
              <w:t>Saúde psicossocial</w:t>
            </w:r>
          </w:p>
        </w:tc>
        <w:tc>
          <w:tcPr>
            <w:tcW w:w="1737" w:type="dxa"/>
            <w:tcBorders>
              <w:left w:val="nil"/>
              <w:right w:val="nil"/>
            </w:tcBorders>
          </w:tcPr>
          <w:p w:rsidR="00E36C35" w:rsidRPr="00532C41" w:rsidRDefault="00E36C35" w:rsidP="00986394">
            <w:pPr>
              <w:tabs>
                <w:tab w:val="left" w:pos="8789"/>
              </w:tabs>
              <w:ind w:right="140"/>
              <w:jc w:val="center"/>
              <w:rPr>
                <w:rFonts w:ascii="Arial" w:hAnsi="Arial" w:cs="Arial"/>
                <w:b/>
                <w:sz w:val="20"/>
                <w:szCs w:val="24"/>
              </w:rPr>
            </w:pPr>
            <w:r>
              <w:rPr>
                <w:rFonts w:ascii="Arial" w:hAnsi="Arial" w:cs="Arial"/>
                <w:b/>
                <w:sz w:val="20"/>
                <w:szCs w:val="24"/>
              </w:rPr>
              <w:t>Escore total</w:t>
            </w:r>
          </w:p>
        </w:tc>
      </w:tr>
      <w:tr w:rsidR="00E36C35" w:rsidTr="00E36C35">
        <w:trPr>
          <w:trHeight w:val="352"/>
          <w:jc w:val="center"/>
        </w:trPr>
        <w:tc>
          <w:tcPr>
            <w:tcW w:w="3488" w:type="dxa"/>
            <w:vMerge/>
            <w:tcBorders>
              <w:left w:val="nil"/>
              <w:bottom w:val="single" w:sz="4" w:space="0" w:color="auto"/>
              <w:right w:val="nil"/>
            </w:tcBorders>
          </w:tcPr>
          <w:p w:rsidR="00E36C35" w:rsidRPr="00532C41" w:rsidRDefault="00E36C35" w:rsidP="00986394">
            <w:pPr>
              <w:tabs>
                <w:tab w:val="left" w:pos="8789"/>
              </w:tabs>
              <w:ind w:right="140"/>
              <w:jc w:val="both"/>
              <w:rPr>
                <w:rFonts w:ascii="Arial" w:hAnsi="Arial" w:cs="Arial"/>
                <w:b/>
                <w:sz w:val="20"/>
                <w:szCs w:val="24"/>
              </w:rPr>
            </w:pPr>
          </w:p>
        </w:tc>
        <w:tc>
          <w:tcPr>
            <w:tcW w:w="1880" w:type="dxa"/>
            <w:tcBorders>
              <w:left w:val="nil"/>
              <w:bottom w:val="single" w:sz="4" w:space="0" w:color="auto"/>
              <w:right w:val="nil"/>
            </w:tcBorders>
          </w:tcPr>
          <w:p w:rsidR="00E36C35" w:rsidRPr="00532C41" w:rsidRDefault="00E36C35" w:rsidP="00986394">
            <w:pPr>
              <w:tabs>
                <w:tab w:val="left" w:pos="8789"/>
              </w:tabs>
              <w:ind w:right="140"/>
              <w:jc w:val="center"/>
              <w:rPr>
                <w:rFonts w:ascii="Arial" w:hAnsi="Arial" w:cs="Arial"/>
                <w:b/>
                <w:sz w:val="20"/>
                <w:szCs w:val="24"/>
              </w:rPr>
            </w:pPr>
            <w:r>
              <w:rPr>
                <w:rFonts w:ascii="Arial" w:hAnsi="Arial" w:cs="Arial"/>
                <w:b/>
                <w:sz w:val="20"/>
                <w:szCs w:val="24"/>
              </w:rPr>
              <w:t>r (p)</w:t>
            </w:r>
          </w:p>
        </w:tc>
        <w:tc>
          <w:tcPr>
            <w:tcW w:w="1788" w:type="dxa"/>
            <w:tcBorders>
              <w:left w:val="nil"/>
              <w:bottom w:val="single" w:sz="4" w:space="0" w:color="auto"/>
              <w:right w:val="nil"/>
            </w:tcBorders>
          </w:tcPr>
          <w:p w:rsidR="00E36C35" w:rsidRDefault="00E36C35" w:rsidP="00986394">
            <w:pPr>
              <w:jc w:val="center"/>
            </w:pPr>
            <w:r w:rsidRPr="006777CF">
              <w:rPr>
                <w:rFonts w:ascii="Arial" w:hAnsi="Arial" w:cs="Arial"/>
                <w:b/>
                <w:sz w:val="20"/>
                <w:szCs w:val="24"/>
              </w:rPr>
              <w:t>r (p)</w:t>
            </w:r>
          </w:p>
        </w:tc>
        <w:tc>
          <w:tcPr>
            <w:tcW w:w="1682" w:type="dxa"/>
            <w:tcBorders>
              <w:left w:val="nil"/>
              <w:bottom w:val="single" w:sz="4" w:space="0" w:color="auto"/>
              <w:right w:val="nil"/>
            </w:tcBorders>
          </w:tcPr>
          <w:p w:rsidR="00E36C35" w:rsidRDefault="00E36C35" w:rsidP="00986394">
            <w:pPr>
              <w:jc w:val="center"/>
            </w:pPr>
            <w:r w:rsidRPr="006777CF">
              <w:rPr>
                <w:rFonts w:ascii="Arial" w:hAnsi="Arial" w:cs="Arial"/>
                <w:b/>
                <w:sz w:val="20"/>
                <w:szCs w:val="24"/>
              </w:rPr>
              <w:t>r (p)</w:t>
            </w:r>
          </w:p>
        </w:tc>
        <w:tc>
          <w:tcPr>
            <w:tcW w:w="1590" w:type="dxa"/>
            <w:tcBorders>
              <w:left w:val="nil"/>
              <w:bottom w:val="single" w:sz="4" w:space="0" w:color="auto"/>
              <w:right w:val="nil"/>
            </w:tcBorders>
          </w:tcPr>
          <w:p w:rsidR="00E36C35" w:rsidRDefault="00E36C35" w:rsidP="00986394">
            <w:pPr>
              <w:jc w:val="center"/>
            </w:pPr>
            <w:r w:rsidRPr="006777CF">
              <w:rPr>
                <w:rFonts w:ascii="Arial" w:hAnsi="Arial" w:cs="Arial"/>
                <w:b/>
                <w:sz w:val="20"/>
                <w:szCs w:val="24"/>
              </w:rPr>
              <w:t>r (p)</w:t>
            </w:r>
          </w:p>
        </w:tc>
        <w:tc>
          <w:tcPr>
            <w:tcW w:w="1735" w:type="dxa"/>
            <w:tcBorders>
              <w:left w:val="nil"/>
              <w:bottom w:val="single" w:sz="4" w:space="0" w:color="auto"/>
              <w:right w:val="nil"/>
            </w:tcBorders>
          </w:tcPr>
          <w:p w:rsidR="00E36C35" w:rsidRDefault="00E36C35" w:rsidP="00986394">
            <w:pPr>
              <w:jc w:val="center"/>
            </w:pPr>
            <w:r w:rsidRPr="006777CF">
              <w:rPr>
                <w:rFonts w:ascii="Arial" w:hAnsi="Arial" w:cs="Arial"/>
                <w:b/>
                <w:sz w:val="20"/>
                <w:szCs w:val="24"/>
              </w:rPr>
              <w:t>r (p)</w:t>
            </w:r>
          </w:p>
        </w:tc>
        <w:tc>
          <w:tcPr>
            <w:tcW w:w="1737" w:type="dxa"/>
            <w:tcBorders>
              <w:left w:val="nil"/>
              <w:bottom w:val="single" w:sz="4" w:space="0" w:color="auto"/>
              <w:right w:val="nil"/>
            </w:tcBorders>
          </w:tcPr>
          <w:p w:rsidR="00E36C35" w:rsidRDefault="00E36C35" w:rsidP="00986394">
            <w:pPr>
              <w:jc w:val="center"/>
            </w:pPr>
            <w:r w:rsidRPr="006777CF">
              <w:rPr>
                <w:rFonts w:ascii="Arial" w:hAnsi="Arial" w:cs="Arial"/>
                <w:b/>
                <w:sz w:val="20"/>
                <w:szCs w:val="24"/>
              </w:rPr>
              <w:t>r (p)</w:t>
            </w:r>
          </w:p>
        </w:tc>
      </w:tr>
      <w:tr w:rsidR="00E36C35" w:rsidTr="00E36C35">
        <w:trPr>
          <w:trHeight w:val="274"/>
          <w:jc w:val="center"/>
        </w:trPr>
        <w:tc>
          <w:tcPr>
            <w:tcW w:w="3488" w:type="dxa"/>
            <w:tcBorders>
              <w:left w:val="nil"/>
              <w:bottom w:val="nil"/>
              <w:right w:val="nil"/>
            </w:tcBorders>
          </w:tcPr>
          <w:p w:rsidR="00E36C35" w:rsidRPr="00532C41" w:rsidRDefault="00E36C35" w:rsidP="00986394">
            <w:pPr>
              <w:tabs>
                <w:tab w:val="left" w:pos="8789"/>
              </w:tabs>
              <w:ind w:right="140"/>
              <w:jc w:val="both"/>
              <w:rPr>
                <w:rFonts w:ascii="Arial" w:hAnsi="Arial" w:cs="Arial"/>
                <w:b/>
                <w:sz w:val="20"/>
                <w:szCs w:val="24"/>
              </w:rPr>
            </w:pPr>
            <w:r>
              <w:rPr>
                <w:rFonts w:ascii="Arial" w:hAnsi="Arial" w:cs="Arial"/>
                <w:b/>
                <w:sz w:val="20"/>
                <w:szCs w:val="24"/>
              </w:rPr>
              <w:t>Escore total</w:t>
            </w:r>
          </w:p>
        </w:tc>
        <w:tc>
          <w:tcPr>
            <w:tcW w:w="1880" w:type="dxa"/>
            <w:tcBorders>
              <w:left w:val="nil"/>
              <w:bottom w:val="nil"/>
              <w:right w:val="nil"/>
            </w:tcBorders>
          </w:tcPr>
          <w:p w:rsidR="00E36C35" w:rsidRDefault="00E36C35" w:rsidP="00986394">
            <w:pPr>
              <w:tabs>
                <w:tab w:val="left" w:pos="8789"/>
              </w:tabs>
              <w:ind w:right="140"/>
              <w:jc w:val="center"/>
              <w:rPr>
                <w:rFonts w:ascii="Arial" w:hAnsi="Arial" w:cs="Arial"/>
                <w:sz w:val="20"/>
                <w:szCs w:val="24"/>
              </w:rPr>
            </w:pPr>
          </w:p>
        </w:tc>
        <w:tc>
          <w:tcPr>
            <w:tcW w:w="1788" w:type="dxa"/>
            <w:tcBorders>
              <w:left w:val="nil"/>
              <w:bottom w:val="nil"/>
              <w:right w:val="nil"/>
            </w:tcBorders>
          </w:tcPr>
          <w:p w:rsidR="00E36C35" w:rsidRDefault="00E36C35" w:rsidP="00986394">
            <w:pPr>
              <w:tabs>
                <w:tab w:val="left" w:pos="8789"/>
              </w:tabs>
              <w:ind w:right="140"/>
              <w:jc w:val="both"/>
              <w:rPr>
                <w:rFonts w:ascii="Arial" w:hAnsi="Arial" w:cs="Arial"/>
                <w:sz w:val="20"/>
                <w:szCs w:val="24"/>
              </w:rPr>
            </w:pPr>
          </w:p>
        </w:tc>
        <w:tc>
          <w:tcPr>
            <w:tcW w:w="1682" w:type="dxa"/>
            <w:tcBorders>
              <w:left w:val="nil"/>
              <w:bottom w:val="nil"/>
              <w:right w:val="nil"/>
            </w:tcBorders>
          </w:tcPr>
          <w:p w:rsidR="00E36C35" w:rsidRDefault="00E36C35" w:rsidP="00986394">
            <w:pPr>
              <w:tabs>
                <w:tab w:val="left" w:pos="8789"/>
              </w:tabs>
              <w:ind w:right="140"/>
              <w:jc w:val="both"/>
              <w:rPr>
                <w:rFonts w:ascii="Arial" w:hAnsi="Arial" w:cs="Arial"/>
                <w:sz w:val="20"/>
                <w:szCs w:val="24"/>
              </w:rPr>
            </w:pPr>
          </w:p>
        </w:tc>
        <w:tc>
          <w:tcPr>
            <w:tcW w:w="1590" w:type="dxa"/>
            <w:tcBorders>
              <w:left w:val="nil"/>
              <w:bottom w:val="nil"/>
              <w:right w:val="nil"/>
            </w:tcBorders>
          </w:tcPr>
          <w:p w:rsidR="00E36C35" w:rsidRDefault="00E36C35" w:rsidP="00986394">
            <w:pPr>
              <w:tabs>
                <w:tab w:val="left" w:pos="8789"/>
              </w:tabs>
              <w:ind w:right="140"/>
              <w:jc w:val="both"/>
              <w:rPr>
                <w:rFonts w:ascii="Arial" w:hAnsi="Arial" w:cs="Arial"/>
                <w:sz w:val="20"/>
                <w:szCs w:val="24"/>
              </w:rPr>
            </w:pPr>
          </w:p>
        </w:tc>
        <w:tc>
          <w:tcPr>
            <w:tcW w:w="1735" w:type="dxa"/>
            <w:tcBorders>
              <w:left w:val="nil"/>
              <w:bottom w:val="nil"/>
              <w:right w:val="nil"/>
            </w:tcBorders>
          </w:tcPr>
          <w:p w:rsidR="00E36C35" w:rsidRDefault="00E36C35" w:rsidP="00986394">
            <w:pPr>
              <w:tabs>
                <w:tab w:val="left" w:pos="8789"/>
              </w:tabs>
              <w:ind w:right="140"/>
              <w:jc w:val="both"/>
              <w:rPr>
                <w:rFonts w:ascii="Arial" w:hAnsi="Arial" w:cs="Arial"/>
                <w:sz w:val="20"/>
                <w:szCs w:val="24"/>
              </w:rPr>
            </w:pPr>
          </w:p>
        </w:tc>
        <w:tc>
          <w:tcPr>
            <w:tcW w:w="1737" w:type="dxa"/>
            <w:tcBorders>
              <w:left w:val="nil"/>
              <w:bottom w:val="nil"/>
              <w:right w:val="nil"/>
            </w:tcBorders>
          </w:tcPr>
          <w:p w:rsidR="00E36C35" w:rsidRDefault="00E36C35" w:rsidP="00986394">
            <w:pPr>
              <w:tabs>
                <w:tab w:val="left" w:pos="8789"/>
              </w:tabs>
              <w:ind w:right="140"/>
              <w:jc w:val="center"/>
              <w:rPr>
                <w:rFonts w:ascii="Arial" w:hAnsi="Arial" w:cs="Arial"/>
                <w:sz w:val="20"/>
                <w:szCs w:val="24"/>
              </w:rPr>
            </w:pPr>
            <w:r>
              <w:rPr>
                <w:rFonts w:ascii="Arial" w:hAnsi="Arial" w:cs="Arial"/>
                <w:sz w:val="20"/>
                <w:szCs w:val="24"/>
              </w:rPr>
              <w:t>0,52 (0,007)*</w:t>
            </w:r>
          </w:p>
        </w:tc>
      </w:tr>
      <w:tr w:rsidR="00E36C35" w:rsidTr="00E36C35">
        <w:trPr>
          <w:trHeight w:val="294"/>
          <w:jc w:val="center"/>
        </w:trPr>
        <w:tc>
          <w:tcPr>
            <w:tcW w:w="3488" w:type="dxa"/>
            <w:tcBorders>
              <w:top w:val="nil"/>
              <w:left w:val="nil"/>
              <w:bottom w:val="nil"/>
              <w:right w:val="nil"/>
            </w:tcBorders>
          </w:tcPr>
          <w:p w:rsidR="00E36C35" w:rsidRPr="00532C41" w:rsidRDefault="00E36C35" w:rsidP="00986394">
            <w:pPr>
              <w:tabs>
                <w:tab w:val="left" w:pos="8789"/>
              </w:tabs>
              <w:ind w:right="140"/>
              <w:jc w:val="both"/>
              <w:rPr>
                <w:rFonts w:ascii="Arial" w:hAnsi="Arial" w:cs="Arial"/>
                <w:b/>
                <w:sz w:val="20"/>
                <w:szCs w:val="24"/>
              </w:rPr>
            </w:pPr>
            <w:r w:rsidRPr="00532C41">
              <w:rPr>
                <w:rFonts w:ascii="Arial" w:hAnsi="Arial" w:cs="Arial"/>
                <w:b/>
                <w:sz w:val="20"/>
                <w:szCs w:val="24"/>
              </w:rPr>
              <w:t>Domínio motor</w:t>
            </w:r>
          </w:p>
        </w:tc>
        <w:tc>
          <w:tcPr>
            <w:tcW w:w="1880" w:type="dxa"/>
            <w:tcBorders>
              <w:top w:val="nil"/>
              <w:left w:val="nil"/>
              <w:bottom w:val="nil"/>
              <w:right w:val="nil"/>
            </w:tcBorders>
          </w:tcPr>
          <w:p w:rsidR="00E36C35" w:rsidRDefault="00E36C35" w:rsidP="00986394">
            <w:pPr>
              <w:tabs>
                <w:tab w:val="left" w:pos="8789"/>
              </w:tabs>
              <w:ind w:right="140" w:firstLine="266"/>
              <w:jc w:val="both"/>
              <w:rPr>
                <w:rFonts w:ascii="Arial" w:hAnsi="Arial" w:cs="Arial"/>
                <w:sz w:val="20"/>
                <w:szCs w:val="24"/>
              </w:rPr>
            </w:pPr>
            <w:r>
              <w:rPr>
                <w:rFonts w:ascii="Arial" w:hAnsi="Arial" w:cs="Arial"/>
                <w:sz w:val="20"/>
                <w:szCs w:val="24"/>
              </w:rPr>
              <w:t>0,60 (0,001) *</w:t>
            </w:r>
          </w:p>
        </w:tc>
        <w:tc>
          <w:tcPr>
            <w:tcW w:w="1788" w:type="dxa"/>
            <w:tcBorders>
              <w:top w:val="nil"/>
              <w:left w:val="nil"/>
              <w:bottom w:val="nil"/>
              <w:right w:val="nil"/>
            </w:tcBorders>
          </w:tcPr>
          <w:p w:rsidR="00E36C35" w:rsidRDefault="00E36C35" w:rsidP="00986394">
            <w:pPr>
              <w:tabs>
                <w:tab w:val="left" w:pos="8789"/>
              </w:tabs>
              <w:ind w:left="175" w:right="140"/>
              <w:jc w:val="both"/>
              <w:rPr>
                <w:rFonts w:ascii="Arial" w:hAnsi="Arial" w:cs="Arial"/>
                <w:sz w:val="20"/>
                <w:szCs w:val="24"/>
              </w:rPr>
            </w:pPr>
            <w:r>
              <w:rPr>
                <w:rFonts w:ascii="Arial" w:hAnsi="Arial" w:cs="Arial"/>
                <w:sz w:val="20"/>
                <w:szCs w:val="24"/>
              </w:rPr>
              <w:t>0,08 (0,69)</w:t>
            </w:r>
          </w:p>
        </w:tc>
        <w:tc>
          <w:tcPr>
            <w:tcW w:w="1682" w:type="dxa"/>
            <w:tcBorders>
              <w:top w:val="nil"/>
              <w:left w:val="nil"/>
              <w:bottom w:val="nil"/>
              <w:right w:val="nil"/>
            </w:tcBorders>
          </w:tcPr>
          <w:p w:rsidR="00E36C35" w:rsidRDefault="00E36C35" w:rsidP="00986394">
            <w:pPr>
              <w:tabs>
                <w:tab w:val="left" w:pos="8789"/>
              </w:tabs>
              <w:ind w:right="140" w:firstLine="123"/>
              <w:jc w:val="both"/>
              <w:rPr>
                <w:rFonts w:ascii="Arial" w:hAnsi="Arial" w:cs="Arial"/>
                <w:sz w:val="20"/>
                <w:szCs w:val="24"/>
              </w:rPr>
            </w:pPr>
            <w:r>
              <w:rPr>
                <w:rFonts w:ascii="Arial" w:hAnsi="Arial" w:cs="Arial"/>
                <w:sz w:val="20"/>
                <w:szCs w:val="24"/>
              </w:rPr>
              <w:t>0,16 (0,42)</w:t>
            </w:r>
          </w:p>
        </w:tc>
        <w:tc>
          <w:tcPr>
            <w:tcW w:w="1590" w:type="dxa"/>
            <w:tcBorders>
              <w:top w:val="nil"/>
              <w:left w:val="nil"/>
              <w:bottom w:val="nil"/>
              <w:right w:val="nil"/>
            </w:tcBorders>
          </w:tcPr>
          <w:p w:rsidR="00E36C35" w:rsidRDefault="00E36C35" w:rsidP="00986394">
            <w:pPr>
              <w:tabs>
                <w:tab w:val="left" w:pos="8789"/>
              </w:tabs>
              <w:ind w:right="140" w:firstLine="65"/>
              <w:jc w:val="both"/>
              <w:rPr>
                <w:rFonts w:ascii="Arial" w:hAnsi="Arial" w:cs="Arial"/>
                <w:sz w:val="20"/>
                <w:szCs w:val="24"/>
              </w:rPr>
            </w:pPr>
            <w:r>
              <w:rPr>
                <w:rFonts w:ascii="Arial" w:hAnsi="Arial" w:cs="Arial"/>
                <w:sz w:val="20"/>
                <w:szCs w:val="24"/>
              </w:rPr>
              <w:t>0,30 (0,13)</w:t>
            </w:r>
          </w:p>
        </w:tc>
        <w:tc>
          <w:tcPr>
            <w:tcW w:w="1735" w:type="dxa"/>
            <w:tcBorders>
              <w:top w:val="nil"/>
              <w:left w:val="nil"/>
              <w:bottom w:val="nil"/>
              <w:right w:val="nil"/>
            </w:tcBorders>
          </w:tcPr>
          <w:p w:rsidR="00E36C35" w:rsidRDefault="00E36C35" w:rsidP="00986394">
            <w:pPr>
              <w:tabs>
                <w:tab w:val="left" w:pos="8789"/>
              </w:tabs>
              <w:ind w:right="140" w:firstLine="34"/>
              <w:jc w:val="both"/>
              <w:rPr>
                <w:rFonts w:ascii="Arial" w:hAnsi="Arial" w:cs="Arial"/>
                <w:sz w:val="20"/>
                <w:szCs w:val="24"/>
              </w:rPr>
            </w:pPr>
            <w:r>
              <w:rPr>
                <w:rFonts w:ascii="Arial" w:hAnsi="Arial" w:cs="Arial"/>
                <w:sz w:val="20"/>
                <w:szCs w:val="24"/>
              </w:rPr>
              <w:t>0,27 (0,19)</w:t>
            </w:r>
          </w:p>
        </w:tc>
        <w:tc>
          <w:tcPr>
            <w:tcW w:w="1737" w:type="dxa"/>
            <w:tcBorders>
              <w:top w:val="nil"/>
              <w:left w:val="nil"/>
              <w:bottom w:val="nil"/>
              <w:right w:val="nil"/>
            </w:tcBorders>
          </w:tcPr>
          <w:p w:rsidR="00E36C35" w:rsidRDefault="00E36C35" w:rsidP="00986394">
            <w:pPr>
              <w:tabs>
                <w:tab w:val="left" w:pos="8789"/>
              </w:tabs>
              <w:ind w:right="140"/>
              <w:jc w:val="center"/>
              <w:rPr>
                <w:rFonts w:ascii="Arial" w:hAnsi="Arial" w:cs="Arial"/>
                <w:sz w:val="20"/>
                <w:szCs w:val="24"/>
              </w:rPr>
            </w:pPr>
          </w:p>
        </w:tc>
      </w:tr>
      <w:tr w:rsidR="00E36C35" w:rsidTr="00E36C35">
        <w:trPr>
          <w:trHeight w:val="294"/>
          <w:jc w:val="center"/>
        </w:trPr>
        <w:tc>
          <w:tcPr>
            <w:tcW w:w="3488" w:type="dxa"/>
            <w:tcBorders>
              <w:top w:val="nil"/>
              <w:left w:val="nil"/>
              <w:bottom w:val="nil"/>
              <w:right w:val="nil"/>
            </w:tcBorders>
          </w:tcPr>
          <w:p w:rsidR="00E36C35" w:rsidRDefault="00E36C35" w:rsidP="00986394">
            <w:pPr>
              <w:tabs>
                <w:tab w:val="left" w:pos="8789"/>
              </w:tabs>
              <w:ind w:left="284" w:right="140"/>
              <w:jc w:val="both"/>
              <w:rPr>
                <w:rFonts w:ascii="Arial" w:hAnsi="Arial" w:cs="Arial"/>
                <w:sz w:val="20"/>
                <w:szCs w:val="24"/>
              </w:rPr>
            </w:pPr>
            <w:r>
              <w:rPr>
                <w:rFonts w:ascii="Arial" w:hAnsi="Arial" w:cs="Arial"/>
                <w:sz w:val="20"/>
                <w:szCs w:val="24"/>
              </w:rPr>
              <w:t>Autocuidado</w:t>
            </w:r>
          </w:p>
        </w:tc>
        <w:tc>
          <w:tcPr>
            <w:tcW w:w="1880" w:type="dxa"/>
            <w:tcBorders>
              <w:top w:val="nil"/>
              <w:left w:val="nil"/>
              <w:bottom w:val="nil"/>
              <w:right w:val="nil"/>
            </w:tcBorders>
          </w:tcPr>
          <w:p w:rsidR="00E36C35" w:rsidRDefault="00E36C35" w:rsidP="00986394">
            <w:pPr>
              <w:tabs>
                <w:tab w:val="left" w:pos="8789"/>
              </w:tabs>
              <w:ind w:right="140" w:firstLine="266"/>
              <w:jc w:val="both"/>
              <w:rPr>
                <w:rFonts w:ascii="Arial" w:hAnsi="Arial" w:cs="Arial"/>
                <w:sz w:val="20"/>
                <w:szCs w:val="24"/>
              </w:rPr>
            </w:pPr>
            <w:r>
              <w:rPr>
                <w:rFonts w:ascii="Arial" w:hAnsi="Arial" w:cs="Arial"/>
                <w:sz w:val="20"/>
                <w:szCs w:val="24"/>
              </w:rPr>
              <w:t>0,60 (0,001) *</w:t>
            </w:r>
          </w:p>
        </w:tc>
        <w:tc>
          <w:tcPr>
            <w:tcW w:w="1788" w:type="dxa"/>
            <w:tcBorders>
              <w:top w:val="nil"/>
              <w:left w:val="nil"/>
              <w:bottom w:val="nil"/>
              <w:right w:val="nil"/>
            </w:tcBorders>
          </w:tcPr>
          <w:p w:rsidR="00E36C35" w:rsidRDefault="00E36C35" w:rsidP="00986394">
            <w:pPr>
              <w:tabs>
                <w:tab w:val="left" w:pos="8789"/>
              </w:tabs>
              <w:ind w:left="175" w:right="140"/>
              <w:jc w:val="both"/>
              <w:rPr>
                <w:rFonts w:ascii="Arial" w:hAnsi="Arial" w:cs="Arial"/>
                <w:sz w:val="20"/>
                <w:szCs w:val="24"/>
              </w:rPr>
            </w:pPr>
            <w:r>
              <w:rPr>
                <w:rFonts w:ascii="Arial" w:hAnsi="Arial" w:cs="Arial"/>
                <w:sz w:val="20"/>
                <w:szCs w:val="24"/>
              </w:rPr>
              <w:t>0,25 (0,21)</w:t>
            </w:r>
          </w:p>
        </w:tc>
        <w:tc>
          <w:tcPr>
            <w:tcW w:w="1682" w:type="dxa"/>
            <w:tcBorders>
              <w:top w:val="nil"/>
              <w:left w:val="nil"/>
              <w:bottom w:val="nil"/>
              <w:right w:val="nil"/>
            </w:tcBorders>
          </w:tcPr>
          <w:p w:rsidR="00E36C35" w:rsidRDefault="00E36C35" w:rsidP="00986394">
            <w:pPr>
              <w:tabs>
                <w:tab w:val="left" w:pos="8789"/>
              </w:tabs>
              <w:ind w:right="140" w:firstLine="123"/>
              <w:jc w:val="both"/>
              <w:rPr>
                <w:rFonts w:ascii="Arial" w:hAnsi="Arial" w:cs="Arial"/>
                <w:sz w:val="20"/>
                <w:szCs w:val="24"/>
              </w:rPr>
            </w:pPr>
            <w:r>
              <w:rPr>
                <w:rFonts w:ascii="Arial" w:hAnsi="Arial" w:cs="Arial"/>
                <w:sz w:val="20"/>
                <w:szCs w:val="24"/>
              </w:rPr>
              <w:t>0,10 (0,63)</w:t>
            </w:r>
          </w:p>
        </w:tc>
        <w:tc>
          <w:tcPr>
            <w:tcW w:w="1590" w:type="dxa"/>
            <w:tcBorders>
              <w:top w:val="nil"/>
              <w:left w:val="nil"/>
              <w:bottom w:val="nil"/>
              <w:right w:val="nil"/>
            </w:tcBorders>
          </w:tcPr>
          <w:p w:rsidR="00E36C35" w:rsidRDefault="00E36C35" w:rsidP="00986394">
            <w:pPr>
              <w:tabs>
                <w:tab w:val="left" w:pos="8789"/>
              </w:tabs>
              <w:ind w:right="140" w:firstLine="65"/>
              <w:jc w:val="both"/>
              <w:rPr>
                <w:rFonts w:ascii="Arial" w:hAnsi="Arial" w:cs="Arial"/>
                <w:sz w:val="20"/>
                <w:szCs w:val="24"/>
              </w:rPr>
            </w:pPr>
            <w:r>
              <w:rPr>
                <w:rFonts w:ascii="Arial" w:hAnsi="Arial" w:cs="Arial"/>
                <w:sz w:val="20"/>
                <w:szCs w:val="24"/>
              </w:rPr>
              <w:t>0,29 (0,14)</w:t>
            </w:r>
          </w:p>
        </w:tc>
        <w:tc>
          <w:tcPr>
            <w:tcW w:w="1735" w:type="dxa"/>
            <w:tcBorders>
              <w:top w:val="nil"/>
              <w:left w:val="nil"/>
              <w:bottom w:val="nil"/>
              <w:right w:val="nil"/>
            </w:tcBorders>
          </w:tcPr>
          <w:p w:rsidR="00E36C35" w:rsidRDefault="00E36C35" w:rsidP="00986394">
            <w:pPr>
              <w:tabs>
                <w:tab w:val="left" w:pos="8789"/>
              </w:tabs>
              <w:ind w:right="140" w:firstLine="34"/>
              <w:jc w:val="both"/>
              <w:rPr>
                <w:rFonts w:ascii="Arial" w:hAnsi="Arial" w:cs="Arial"/>
                <w:sz w:val="20"/>
                <w:szCs w:val="24"/>
              </w:rPr>
            </w:pPr>
            <w:r>
              <w:rPr>
                <w:rFonts w:ascii="Arial" w:hAnsi="Arial" w:cs="Arial"/>
                <w:sz w:val="20"/>
                <w:szCs w:val="24"/>
              </w:rPr>
              <w:t>0,31 (0,12)</w:t>
            </w:r>
          </w:p>
        </w:tc>
        <w:tc>
          <w:tcPr>
            <w:tcW w:w="1737" w:type="dxa"/>
            <w:tcBorders>
              <w:top w:val="nil"/>
              <w:left w:val="nil"/>
              <w:bottom w:val="nil"/>
              <w:right w:val="nil"/>
            </w:tcBorders>
          </w:tcPr>
          <w:p w:rsidR="00E36C35" w:rsidRDefault="00E36C35" w:rsidP="00986394">
            <w:pPr>
              <w:tabs>
                <w:tab w:val="left" w:pos="8789"/>
              </w:tabs>
              <w:ind w:right="140"/>
              <w:jc w:val="center"/>
              <w:rPr>
                <w:rFonts w:ascii="Arial" w:hAnsi="Arial" w:cs="Arial"/>
                <w:sz w:val="20"/>
                <w:szCs w:val="24"/>
              </w:rPr>
            </w:pPr>
          </w:p>
        </w:tc>
      </w:tr>
      <w:tr w:rsidR="00E36C35" w:rsidTr="00E36C35">
        <w:trPr>
          <w:trHeight w:val="274"/>
          <w:jc w:val="center"/>
        </w:trPr>
        <w:tc>
          <w:tcPr>
            <w:tcW w:w="3488" w:type="dxa"/>
            <w:tcBorders>
              <w:top w:val="nil"/>
              <w:left w:val="nil"/>
              <w:bottom w:val="nil"/>
              <w:right w:val="nil"/>
            </w:tcBorders>
          </w:tcPr>
          <w:p w:rsidR="00E36C35" w:rsidRDefault="00E36C35" w:rsidP="00986394">
            <w:pPr>
              <w:tabs>
                <w:tab w:val="left" w:pos="8789"/>
              </w:tabs>
              <w:ind w:left="284" w:right="140"/>
              <w:jc w:val="both"/>
              <w:rPr>
                <w:rFonts w:ascii="Arial" w:hAnsi="Arial" w:cs="Arial"/>
                <w:sz w:val="20"/>
                <w:szCs w:val="24"/>
              </w:rPr>
            </w:pPr>
            <w:r w:rsidRPr="00A4536C">
              <w:rPr>
                <w:rFonts w:ascii="Arial" w:hAnsi="Arial" w:cs="Arial"/>
                <w:sz w:val="20"/>
                <w:szCs w:val="24"/>
              </w:rPr>
              <w:t>Controle de esfíncter</w:t>
            </w:r>
            <w:r w:rsidRPr="00A4536C">
              <w:rPr>
                <w:rFonts w:ascii="Arial" w:hAnsi="Arial" w:cs="Arial"/>
                <w:sz w:val="20"/>
                <w:szCs w:val="24"/>
                <w:vertAlign w:val="superscript"/>
              </w:rPr>
              <w:t>‡</w:t>
            </w:r>
          </w:p>
        </w:tc>
        <w:tc>
          <w:tcPr>
            <w:tcW w:w="1880" w:type="dxa"/>
            <w:tcBorders>
              <w:top w:val="nil"/>
              <w:left w:val="nil"/>
              <w:bottom w:val="nil"/>
              <w:right w:val="nil"/>
            </w:tcBorders>
          </w:tcPr>
          <w:p w:rsidR="00E36C35" w:rsidRDefault="00E36C35" w:rsidP="00986394">
            <w:pPr>
              <w:tabs>
                <w:tab w:val="left" w:pos="8789"/>
              </w:tabs>
              <w:ind w:right="140" w:firstLine="266"/>
              <w:jc w:val="both"/>
              <w:rPr>
                <w:rFonts w:ascii="Arial" w:hAnsi="Arial" w:cs="Arial"/>
                <w:sz w:val="20"/>
                <w:szCs w:val="24"/>
              </w:rPr>
            </w:pPr>
            <w:r>
              <w:rPr>
                <w:rFonts w:ascii="Arial" w:hAnsi="Arial" w:cs="Arial"/>
                <w:sz w:val="20"/>
                <w:szCs w:val="24"/>
              </w:rPr>
              <w:t>0,08 (0,71)</w:t>
            </w:r>
          </w:p>
        </w:tc>
        <w:tc>
          <w:tcPr>
            <w:tcW w:w="1788" w:type="dxa"/>
            <w:tcBorders>
              <w:top w:val="nil"/>
              <w:left w:val="nil"/>
              <w:bottom w:val="nil"/>
              <w:right w:val="nil"/>
            </w:tcBorders>
          </w:tcPr>
          <w:p w:rsidR="00E36C35" w:rsidRDefault="00E36C35" w:rsidP="00986394">
            <w:pPr>
              <w:tabs>
                <w:tab w:val="left" w:pos="8789"/>
              </w:tabs>
              <w:ind w:left="175" w:right="140"/>
              <w:jc w:val="both"/>
              <w:rPr>
                <w:rFonts w:ascii="Arial" w:hAnsi="Arial" w:cs="Arial"/>
                <w:sz w:val="20"/>
                <w:szCs w:val="24"/>
              </w:rPr>
            </w:pPr>
            <w:r>
              <w:rPr>
                <w:rFonts w:ascii="Arial" w:hAnsi="Arial" w:cs="Arial"/>
                <w:sz w:val="20"/>
                <w:szCs w:val="24"/>
              </w:rPr>
              <w:t>0,02 (0,94)</w:t>
            </w:r>
          </w:p>
        </w:tc>
        <w:tc>
          <w:tcPr>
            <w:tcW w:w="1682" w:type="dxa"/>
            <w:tcBorders>
              <w:top w:val="nil"/>
              <w:left w:val="nil"/>
              <w:bottom w:val="nil"/>
              <w:right w:val="nil"/>
            </w:tcBorders>
          </w:tcPr>
          <w:p w:rsidR="00E36C35" w:rsidRDefault="00E36C35" w:rsidP="00986394">
            <w:pPr>
              <w:tabs>
                <w:tab w:val="left" w:pos="8789"/>
              </w:tabs>
              <w:ind w:left="-302" w:right="140" w:firstLine="425"/>
              <w:jc w:val="both"/>
              <w:rPr>
                <w:rFonts w:ascii="Arial" w:hAnsi="Arial" w:cs="Arial"/>
                <w:sz w:val="20"/>
                <w:szCs w:val="24"/>
              </w:rPr>
            </w:pPr>
            <w:r>
              <w:rPr>
                <w:rFonts w:ascii="Arial" w:hAnsi="Arial" w:cs="Arial"/>
                <w:sz w:val="20"/>
                <w:szCs w:val="24"/>
              </w:rPr>
              <w:t>-0,26 (0,16)</w:t>
            </w:r>
          </w:p>
        </w:tc>
        <w:tc>
          <w:tcPr>
            <w:tcW w:w="1590" w:type="dxa"/>
            <w:tcBorders>
              <w:top w:val="nil"/>
              <w:left w:val="nil"/>
              <w:bottom w:val="nil"/>
              <w:right w:val="nil"/>
            </w:tcBorders>
          </w:tcPr>
          <w:p w:rsidR="00E36C35" w:rsidRDefault="00E36C35" w:rsidP="00986394">
            <w:pPr>
              <w:tabs>
                <w:tab w:val="left" w:pos="8789"/>
              </w:tabs>
              <w:ind w:right="140" w:firstLine="65"/>
              <w:jc w:val="both"/>
              <w:rPr>
                <w:rFonts w:ascii="Arial" w:hAnsi="Arial" w:cs="Arial"/>
                <w:sz w:val="20"/>
                <w:szCs w:val="24"/>
              </w:rPr>
            </w:pPr>
            <w:r>
              <w:rPr>
                <w:rFonts w:ascii="Arial" w:hAnsi="Arial" w:cs="Arial"/>
                <w:sz w:val="20"/>
                <w:szCs w:val="24"/>
              </w:rPr>
              <w:t>-0,15 (0,46)</w:t>
            </w:r>
          </w:p>
        </w:tc>
        <w:tc>
          <w:tcPr>
            <w:tcW w:w="1735" w:type="dxa"/>
            <w:tcBorders>
              <w:top w:val="nil"/>
              <w:left w:val="nil"/>
              <w:bottom w:val="nil"/>
              <w:right w:val="nil"/>
            </w:tcBorders>
          </w:tcPr>
          <w:p w:rsidR="00E36C35" w:rsidRDefault="00E36C35" w:rsidP="00986394">
            <w:pPr>
              <w:tabs>
                <w:tab w:val="left" w:pos="8789"/>
              </w:tabs>
              <w:ind w:right="140" w:firstLine="34"/>
              <w:jc w:val="both"/>
              <w:rPr>
                <w:rFonts w:ascii="Arial" w:hAnsi="Arial" w:cs="Arial"/>
                <w:sz w:val="20"/>
                <w:szCs w:val="24"/>
              </w:rPr>
            </w:pPr>
            <w:r>
              <w:rPr>
                <w:rFonts w:ascii="Arial" w:hAnsi="Arial" w:cs="Arial"/>
                <w:sz w:val="20"/>
                <w:szCs w:val="24"/>
              </w:rPr>
              <w:t>-0,21 (0,30)</w:t>
            </w:r>
          </w:p>
        </w:tc>
        <w:tc>
          <w:tcPr>
            <w:tcW w:w="1737" w:type="dxa"/>
            <w:tcBorders>
              <w:top w:val="nil"/>
              <w:left w:val="nil"/>
              <w:bottom w:val="nil"/>
              <w:right w:val="nil"/>
            </w:tcBorders>
          </w:tcPr>
          <w:p w:rsidR="00E36C35" w:rsidRDefault="00E36C35" w:rsidP="00986394">
            <w:pPr>
              <w:tabs>
                <w:tab w:val="left" w:pos="8789"/>
              </w:tabs>
              <w:ind w:right="140"/>
              <w:jc w:val="center"/>
              <w:rPr>
                <w:rFonts w:ascii="Arial" w:hAnsi="Arial" w:cs="Arial"/>
                <w:sz w:val="20"/>
                <w:szCs w:val="24"/>
              </w:rPr>
            </w:pPr>
          </w:p>
        </w:tc>
      </w:tr>
      <w:tr w:rsidR="00E36C35" w:rsidTr="00E36C35">
        <w:trPr>
          <w:trHeight w:val="294"/>
          <w:jc w:val="center"/>
        </w:trPr>
        <w:tc>
          <w:tcPr>
            <w:tcW w:w="3488" w:type="dxa"/>
            <w:tcBorders>
              <w:top w:val="nil"/>
              <w:left w:val="nil"/>
              <w:bottom w:val="nil"/>
              <w:right w:val="nil"/>
            </w:tcBorders>
          </w:tcPr>
          <w:p w:rsidR="00E36C35" w:rsidRDefault="00E36C35" w:rsidP="00986394">
            <w:pPr>
              <w:tabs>
                <w:tab w:val="left" w:pos="8789"/>
              </w:tabs>
              <w:ind w:left="284" w:right="140"/>
              <w:jc w:val="both"/>
              <w:rPr>
                <w:rFonts w:ascii="Arial" w:hAnsi="Arial" w:cs="Arial"/>
                <w:sz w:val="20"/>
                <w:szCs w:val="24"/>
              </w:rPr>
            </w:pPr>
            <w:r>
              <w:rPr>
                <w:rFonts w:ascii="Arial" w:hAnsi="Arial" w:cs="Arial"/>
                <w:sz w:val="20"/>
                <w:szCs w:val="24"/>
              </w:rPr>
              <w:t>Transferências</w:t>
            </w:r>
          </w:p>
        </w:tc>
        <w:tc>
          <w:tcPr>
            <w:tcW w:w="1880" w:type="dxa"/>
            <w:tcBorders>
              <w:top w:val="nil"/>
              <w:left w:val="nil"/>
              <w:bottom w:val="nil"/>
              <w:right w:val="nil"/>
            </w:tcBorders>
          </w:tcPr>
          <w:p w:rsidR="00E36C35" w:rsidRDefault="00E36C35" w:rsidP="00986394">
            <w:pPr>
              <w:tabs>
                <w:tab w:val="left" w:pos="8789"/>
              </w:tabs>
              <w:ind w:right="140" w:firstLine="266"/>
              <w:jc w:val="both"/>
              <w:rPr>
                <w:rFonts w:ascii="Arial" w:hAnsi="Arial" w:cs="Arial"/>
                <w:sz w:val="20"/>
                <w:szCs w:val="24"/>
              </w:rPr>
            </w:pPr>
            <w:r>
              <w:rPr>
                <w:rFonts w:ascii="Arial" w:hAnsi="Arial" w:cs="Arial"/>
                <w:sz w:val="20"/>
                <w:szCs w:val="24"/>
              </w:rPr>
              <w:t>0,51 (0,008) *</w:t>
            </w:r>
          </w:p>
        </w:tc>
        <w:tc>
          <w:tcPr>
            <w:tcW w:w="1788" w:type="dxa"/>
            <w:tcBorders>
              <w:top w:val="nil"/>
              <w:left w:val="nil"/>
              <w:bottom w:val="nil"/>
              <w:right w:val="nil"/>
            </w:tcBorders>
          </w:tcPr>
          <w:p w:rsidR="00E36C35" w:rsidRDefault="00E36C35" w:rsidP="00986394">
            <w:pPr>
              <w:tabs>
                <w:tab w:val="left" w:pos="8789"/>
              </w:tabs>
              <w:ind w:left="175" w:right="140"/>
              <w:jc w:val="both"/>
              <w:rPr>
                <w:rFonts w:ascii="Arial" w:hAnsi="Arial" w:cs="Arial"/>
                <w:sz w:val="20"/>
                <w:szCs w:val="24"/>
              </w:rPr>
            </w:pPr>
            <w:r>
              <w:rPr>
                <w:rFonts w:ascii="Arial" w:hAnsi="Arial" w:cs="Arial"/>
                <w:sz w:val="20"/>
                <w:szCs w:val="24"/>
              </w:rPr>
              <w:t>-0,08 (0,68)</w:t>
            </w:r>
          </w:p>
        </w:tc>
        <w:tc>
          <w:tcPr>
            <w:tcW w:w="1682" w:type="dxa"/>
            <w:tcBorders>
              <w:top w:val="nil"/>
              <w:left w:val="nil"/>
              <w:bottom w:val="nil"/>
              <w:right w:val="nil"/>
            </w:tcBorders>
          </w:tcPr>
          <w:p w:rsidR="00E36C35" w:rsidRDefault="00E36C35" w:rsidP="00986394">
            <w:pPr>
              <w:tabs>
                <w:tab w:val="left" w:pos="8789"/>
              </w:tabs>
              <w:ind w:right="140" w:firstLine="123"/>
              <w:jc w:val="both"/>
              <w:rPr>
                <w:rFonts w:ascii="Arial" w:hAnsi="Arial" w:cs="Arial"/>
                <w:sz w:val="20"/>
                <w:szCs w:val="24"/>
              </w:rPr>
            </w:pPr>
            <w:r>
              <w:rPr>
                <w:rFonts w:ascii="Arial" w:hAnsi="Arial" w:cs="Arial"/>
                <w:sz w:val="20"/>
                <w:szCs w:val="24"/>
              </w:rPr>
              <w:t>0,16 (0,43)</w:t>
            </w:r>
          </w:p>
        </w:tc>
        <w:tc>
          <w:tcPr>
            <w:tcW w:w="1590" w:type="dxa"/>
            <w:tcBorders>
              <w:top w:val="nil"/>
              <w:left w:val="nil"/>
              <w:bottom w:val="nil"/>
              <w:right w:val="nil"/>
            </w:tcBorders>
          </w:tcPr>
          <w:p w:rsidR="00E36C35" w:rsidRDefault="00E36C35" w:rsidP="00986394">
            <w:pPr>
              <w:tabs>
                <w:tab w:val="left" w:pos="8789"/>
              </w:tabs>
              <w:ind w:right="140" w:firstLine="65"/>
              <w:jc w:val="both"/>
              <w:rPr>
                <w:rFonts w:ascii="Arial" w:hAnsi="Arial" w:cs="Arial"/>
                <w:sz w:val="20"/>
                <w:szCs w:val="24"/>
              </w:rPr>
            </w:pPr>
            <w:r>
              <w:rPr>
                <w:rFonts w:ascii="Arial" w:hAnsi="Arial" w:cs="Arial"/>
                <w:sz w:val="20"/>
                <w:szCs w:val="24"/>
              </w:rPr>
              <w:t>0,27 (0,18)</w:t>
            </w:r>
          </w:p>
        </w:tc>
        <w:tc>
          <w:tcPr>
            <w:tcW w:w="1735" w:type="dxa"/>
            <w:tcBorders>
              <w:top w:val="nil"/>
              <w:left w:val="nil"/>
              <w:bottom w:val="nil"/>
              <w:right w:val="nil"/>
            </w:tcBorders>
          </w:tcPr>
          <w:p w:rsidR="00E36C35" w:rsidRDefault="00E36C35" w:rsidP="00986394">
            <w:pPr>
              <w:tabs>
                <w:tab w:val="left" w:pos="8789"/>
              </w:tabs>
              <w:ind w:right="140" w:firstLine="34"/>
              <w:jc w:val="both"/>
              <w:rPr>
                <w:rFonts w:ascii="Arial" w:hAnsi="Arial" w:cs="Arial"/>
                <w:sz w:val="20"/>
                <w:szCs w:val="24"/>
              </w:rPr>
            </w:pPr>
            <w:r>
              <w:rPr>
                <w:rFonts w:ascii="Arial" w:hAnsi="Arial" w:cs="Arial"/>
                <w:sz w:val="20"/>
                <w:szCs w:val="24"/>
              </w:rPr>
              <w:t>0,17 (0,40)</w:t>
            </w:r>
          </w:p>
        </w:tc>
        <w:tc>
          <w:tcPr>
            <w:tcW w:w="1737" w:type="dxa"/>
            <w:tcBorders>
              <w:top w:val="nil"/>
              <w:left w:val="nil"/>
              <w:bottom w:val="nil"/>
              <w:right w:val="nil"/>
            </w:tcBorders>
          </w:tcPr>
          <w:p w:rsidR="00E36C35" w:rsidRDefault="00E36C35" w:rsidP="00986394">
            <w:pPr>
              <w:tabs>
                <w:tab w:val="left" w:pos="8789"/>
              </w:tabs>
              <w:ind w:right="140"/>
              <w:jc w:val="center"/>
              <w:rPr>
                <w:rFonts w:ascii="Arial" w:hAnsi="Arial" w:cs="Arial"/>
                <w:sz w:val="20"/>
                <w:szCs w:val="24"/>
              </w:rPr>
            </w:pPr>
          </w:p>
        </w:tc>
      </w:tr>
      <w:tr w:rsidR="00E36C35" w:rsidTr="00E36C35">
        <w:trPr>
          <w:trHeight w:val="294"/>
          <w:jc w:val="center"/>
        </w:trPr>
        <w:tc>
          <w:tcPr>
            <w:tcW w:w="3488" w:type="dxa"/>
            <w:tcBorders>
              <w:top w:val="nil"/>
              <w:left w:val="nil"/>
              <w:bottom w:val="nil"/>
              <w:right w:val="nil"/>
            </w:tcBorders>
          </w:tcPr>
          <w:p w:rsidR="00E36C35" w:rsidRDefault="00E36C35" w:rsidP="00986394">
            <w:pPr>
              <w:tabs>
                <w:tab w:val="left" w:pos="8789"/>
              </w:tabs>
              <w:ind w:left="284" w:right="140"/>
              <w:jc w:val="both"/>
              <w:rPr>
                <w:rFonts w:ascii="Arial" w:hAnsi="Arial" w:cs="Arial"/>
                <w:sz w:val="20"/>
                <w:szCs w:val="24"/>
              </w:rPr>
            </w:pPr>
            <w:r>
              <w:rPr>
                <w:rFonts w:ascii="Arial" w:hAnsi="Arial" w:cs="Arial"/>
                <w:sz w:val="20"/>
                <w:szCs w:val="24"/>
              </w:rPr>
              <w:t>Locomoção</w:t>
            </w:r>
          </w:p>
        </w:tc>
        <w:tc>
          <w:tcPr>
            <w:tcW w:w="1880" w:type="dxa"/>
            <w:tcBorders>
              <w:top w:val="nil"/>
              <w:left w:val="nil"/>
              <w:bottom w:val="nil"/>
              <w:right w:val="nil"/>
            </w:tcBorders>
          </w:tcPr>
          <w:p w:rsidR="00E36C35" w:rsidRDefault="00E36C35" w:rsidP="00986394">
            <w:pPr>
              <w:tabs>
                <w:tab w:val="left" w:pos="8789"/>
              </w:tabs>
              <w:ind w:right="140" w:firstLine="266"/>
              <w:jc w:val="both"/>
              <w:rPr>
                <w:rFonts w:ascii="Arial" w:hAnsi="Arial" w:cs="Arial"/>
                <w:sz w:val="20"/>
                <w:szCs w:val="24"/>
              </w:rPr>
            </w:pPr>
            <w:r>
              <w:rPr>
                <w:rFonts w:ascii="Arial" w:hAnsi="Arial" w:cs="Arial"/>
                <w:sz w:val="20"/>
                <w:szCs w:val="24"/>
              </w:rPr>
              <w:t>0,63 (0,001) *</w:t>
            </w:r>
          </w:p>
        </w:tc>
        <w:tc>
          <w:tcPr>
            <w:tcW w:w="1788" w:type="dxa"/>
            <w:tcBorders>
              <w:top w:val="nil"/>
              <w:left w:val="nil"/>
              <w:bottom w:val="nil"/>
              <w:right w:val="nil"/>
            </w:tcBorders>
          </w:tcPr>
          <w:p w:rsidR="00E36C35" w:rsidRDefault="00E36C35" w:rsidP="00986394">
            <w:pPr>
              <w:tabs>
                <w:tab w:val="left" w:pos="8789"/>
              </w:tabs>
              <w:ind w:left="175" w:right="140"/>
              <w:jc w:val="both"/>
              <w:rPr>
                <w:rFonts w:ascii="Arial" w:hAnsi="Arial" w:cs="Arial"/>
                <w:sz w:val="20"/>
                <w:szCs w:val="24"/>
              </w:rPr>
            </w:pPr>
            <w:r>
              <w:rPr>
                <w:rFonts w:ascii="Arial" w:hAnsi="Arial" w:cs="Arial"/>
                <w:sz w:val="20"/>
                <w:szCs w:val="24"/>
              </w:rPr>
              <w:t>0,12 (0,56)</w:t>
            </w:r>
          </w:p>
        </w:tc>
        <w:tc>
          <w:tcPr>
            <w:tcW w:w="1682" w:type="dxa"/>
            <w:tcBorders>
              <w:top w:val="nil"/>
              <w:left w:val="nil"/>
              <w:bottom w:val="nil"/>
              <w:right w:val="nil"/>
            </w:tcBorders>
          </w:tcPr>
          <w:p w:rsidR="00E36C35" w:rsidRDefault="00E36C35" w:rsidP="00986394">
            <w:pPr>
              <w:tabs>
                <w:tab w:val="left" w:pos="8789"/>
              </w:tabs>
              <w:ind w:right="140" w:firstLine="123"/>
              <w:jc w:val="both"/>
              <w:rPr>
                <w:rFonts w:ascii="Arial" w:hAnsi="Arial" w:cs="Arial"/>
                <w:sz w:val="20"/>
                <w:szCs w:val="24"/>
              </w:rPr>
            </w:pPr>
            <w:r>
              <w:rPr>
                <w:rFonts w:ascii="Arial" w:hAnsi="Arial" w:cs="Arial"/>
                <w:sz w:val="20"/>
                <w:szCs w:val="24"/>
              </w:rPr>
              <w:t>0,24 (0,23)</w:t>
            </w:r>
          </w:p>
        </w:tc>
        <w:tc>
          <w:tcPr>
            <w:tcW w:w="1590" w:type="dxa"/>
            <w:tcBorders>
              <w:top w:val="nil"/>
              <w:left w:val="nil"/>
              <w:bottom w:val="nil"/>
              <w:right w:val="nil"/>
            </w:tcBorders>
          </w:tcPr>
          <w:p w:rsidR="00E36C35" w:rsidRDefault="00E36C35" w:rsidP="00986394">
            <w:pPr>
              <w:tabs>
                <w:tab w:val="left" w:pos="8789"/>
              </w:tabs>
              <w:ind w:right="140" w:firstLine="65"/>
              <w:jc w:val="both"/>
              <w:rPr>
                <w:rFonts w:ascii="Arial" w:hAnsi="Arial" w:cs="Arial"/>
                <w:sz w:val="20"/>
                <w:szCs w:val="24"/>
              </w:rPr>
            </w:pPr>
            <w:r>
              <w:rPr>
                <w:rFonts w:ascii="Arial" w:hAnsi="Arial" w:cs="Arial"/>
                <w:sz w:val="20"/>
                <w:szCs w:val="24"/>
              </w:rPr>
              <w:t>0,29 (0,15)</w:t>
            </w:r>
          </w:p>
        </w:tc>
        <w:tc>
          <w:tcPr>
            <w:tcW w:w="1735" w:type="dxa"/>
            <w:tcBorders>
              <w:top w:val="nil"/>
              <w:left w:val="nil"/>
              <w:bottom w:val="nil"/>
              <w:right w:val="nil"/>
            </w:tcBorders>
          </w:tcPr>
          <w:p w:rsidR="00E36C35" w:rsidRDefault="00E36C35" w:rsidP="00986394">
            <w:pPr>
              <w:tabs>
                <w:tab w:val="left" w:pos="8789"/>
              </w:tabs>
              <w:ind w:right="140" w:firstLine="34"/>
              <w:jc w:val="both"/>
              <w:rPr>
                <w:rFonts w:ascii="Arial" w:hAnsi="Arial" w:cs="Arial"/>
                <w:sz w:val="20"/>
                <w:szCs w:val="24"/>
              </w:rPr>
            </w:pPr>
            <w:r>
              <w:rPr>
                <w:rFonts w:ascii="Arial" w:hAnsi="Arial" w:cs="Arial"/>
                <w:sz w:val="20"/>
                <w:szCs w:val="24"/>
              </w:rPr>
              <w:t>0,32 (0,12)</w:t>
            </w:r>
          </w:p>
        </w:tc>
        <w:tc>
          <w:tcPr>
            <w:tcW w:w="1737" w:type="dxa"/>
            <w:tcBorders>
              <w:top w:val="nil"/>
              <w:left w:val="nil"/>
              <w:bottom w:val="nil"/>
              <w:right w:val="nil"/>
            </w:tcBorders>
          </w:tcPr>
          <w:p w:rsidR="00E36C35" w:rsidRDefault="00E36C35" w:rsidP="00986394">
            <w:pPr>
              <w:tabs>
                <w:tab w:val="left" w:pos="8789"/>
              </w:tabs>
              <w:ind w:right="140"/>
              <w:jc w:val="center"/>
              <w:rPr>
                <w:rFonts w:ascii="Arial" w:hAnsi="Arial" w:cs="Arial"/>
                <w:sz w:val="20"/>
                <w:szCs w:val="24"/>
              </w:rPr>
            </w:pPr>
          </w:p>
        </w:tc>
      </w:tr>
      <w:tr w:rsidR="00E36C35" w:rsidTr="00E36C35">
        <w:trPr>
          <w:trHeight w:val="294"/>
          <w:jc w:val="center"/>
        </w:trPr>
        <w:tc>
          <w:tcPr>
            <w:tcW w:w="3488" w:type="dxa"/>
            <w:tcBorders>
              <w:top w:val="nil"/>
              <w:left w:val="nil"/>
              <w:bottom w:val="nil"/>
              <w:right w:val="nil"/>
            </w:tcBorders>
          </w:tcPr>
          <w:p w:rsidR="00E36C35" w:rsidRPr="00532C41" w:rsidRDefault="00E36C35" w:rsidP="00986394">
            <w:pPr>
              <w:tabs>
                <w:tab w:val="left" w:pos="8789"/>
              </w:tabs>
              <w:ind w:right="140"/>
              <w:jc w:val="both"/>
              <w:rPr>
                <w:rFonts w:ascii="Arial" w:hAnsi="Arial" w:cs="Arial"/>
                <w:b/>
                <w:sz w:val="20"/>
                <w:szCs w:val="24"/>
              </w:rPr>
            </w:pPr>
            <w:r w:rsidRPr="00532C41">
              <w:rPr>
                <w:rFonts w:ascii="Arial" w:hAnsi="Arial" w:cs="Arial"/>
                <w:b/>
                <w:sz w:val="20"/>
                <w:szCs w:val="24"/>
              </w:rPr>
              <w:t>Domínio cognitivo</w:t>
            </w:r>
          </w:p>
        </w:tc>
        <w:tc>
          <w:tcPr>
            <w:tcW w:w="1880" w:type="dxa"/>
            <w:tcBorders>
              <w:top w:val="nil"/>
              <w:left w:val="nil"/>
              <w:bottom w:val="nil"/>
              <w:right w:val="nil"/>
            </w:tcBorders>
          </w:tcPr>
          <w:p w:rsidR="00E36C35" w:rsidRDefault="00E36C35" w:rsidP="00986394">
            <w:pPr>
              <w:tabs>
                <w:tab w:val="left" w:pos="8789"/>
              </w:tabs>
              <w:ind w:right="140" w:firstLine="266"/>
              <w:jc w:val="both"/>
              <w:rPr>
                <w:rFonts w:ascii="Arial" w:hAnsi="Arial" w:cs="Arial"/>
                <w:sz w:val="20"/>
                <w:szCs w:val="24"/>
              </w:rPr>
            </w:pPr>
            <w:r>
              <w:rPr>
                <w:rFonts w:ascii="Arial" w:hAnsi="Arial" w:cs="Arial"/>
                <w:sz w:val="20"/>
                <w:szCs w:val="24"/>
              </w:rPr>
              <w:t>0,40 (0,04) *</w:t>
            </w:r>
          </w:p>
        </w:tc>
        <w:tc>
          <w:tcPr>
            <w:tcW w:w="1788" w:type="dxa"/>
            <w:tcBorders>
              <w:top w:val="nil"/>
              <w:left w:val="nil"/>
              <w:bottom w:val="nil"/>
              <w:right w:val="nil"/>
            </w:tcBorders>
          </w:tcPr>
          <w:p w:rsidR="00E36C35" w:rsidRDefault="00E36C35" w:rsidP="00986394">
            <w:pPr>
              <w:tabs>
                <w:tab w:val="left" w:pos="8789"/>
              </w:tabs>
              <w:ind w:left="175" w:right="140"/>
              <w:jc w:val="both"/>
              <w:rPr>
                <w:rFonts w:ascii="Arial" w:hAnsi="Arial" w:cs="Arial"/>
                <w:sz w:val="20"/>
                <w:szCs w:val="24"/>
              </w:rPr>
            </w:pPr>
            <w:r>
              <w:rPr>
                <w:rFonts w:ascii="Arial" w:hAnsi="Arial" w:cs="Arial"/>
                <w:sz w:val="20"/>
                <w:szCs w:val="24"/>
              </w:rPr>
              <w:t>0,05 (0,80)</w:t>
            </w:r>
          </w:p>
        </w:tc>
        <w:tc>
          <w:tcPr>
            <w:tcW w:w="1682" w:type="dxa"/>
            <w:tcBorders>
              <w:top w:val="nil"/>
              <w:left w:val="nil"/>
              <w:bottom w:val="nil"/>
              <w:right w:val="nil"/>
            </w:tcBorders>
          </w:tcPr>
          <w:p w:rsidR="00E36C35" w:rsidRDefault="00E36C35" w:rsidP="00986394">
            <w:pPr>
              <w:tabs>
                <w:tab w:val="left" w:pos="8789"/>
              </w:tabs>
              <w:ind w:right="140" w:firstLine="123"/>
              <w:jc w:val="both"/>
              <w:rPr>
                <w:rFonts w:ascii="Arial" w:hAnsi="Arial" w:cs="Arial"/>
                <w:sz w:val="20"/>
                <w:szCs w:val="24"/>
              </w:rPr>
            </w:pPr>
            <w:r>
              <w:rPr>
                <w:rFonts w:ascii="Arial" w:hAnsi="Arial" w:cs="Arial"/>
                <w:sz w:val="20"/>
                <w:szCs w:val="24"/>
              </w:rPr>
              <w:t>0,19 (0,35)</w:t>
            </w:r>
          </w:p>
        </w:tc>
        <w:tc>
          <w:tcPr>
            <w:tcW w:w="1590" w:type="dxa"/>
            <w:tcBorders>
              <w:top w:val="nil"/>
              <w:left w:val="nil"/>
              <w:bottom w:val="nil"/>
              <w:right w:val="nil"/>
            </w:tcBorders>
          </w:tcPr>
          <w:p w:rsidR="00E36C35" w:rsidRDefault="00E36C35" w:rsidP="00986394">
            <w:pPr>
              <w:tabs>
                <w:tab w:val="left" w:pos="8789"/>
              </w:tabs>
              <w:ind w:right="140" w:firstLine="65"/>
              <w:jc w:val="both"/>
              <w:rPr>
                <w:rFonts w:ascii="Arial" w:hAnsi="Arial" w:cs="Arial"/>
                <w:sz w:val="20"/>
                <w:szCs w:val="24"/>
              </w:rPr>
            </w:pPr>
            <w:r>
              <w:rPr>
                <w:rFonts w:ascii="Arial" w:hAnsi="Arial" w:cs="Arial"/>
                <w:sz w:val="20"/>
                <w:szCs w:val="24"/>
              </w:rPr>
              <w:t>0,25 (0,21)</w:t>
            </w:r>
          </w:p>
        </w:tc>
        <w:tc>
          <w:tcPr>
            <w:tcW w:w="1735" w:type="dxa"/>
            <w:tcBorders>
              <w:top w:val="nil"/>
              <w:left w:val="nil"/>
              <w:bottom w:val="nil"/>
              <w:right w:val="nil"/>
            </w:tcBorders>
          </w:tcPr>
          <w:p w:rsidR="00E36C35" w:rsidRDefault="00E36C35" w:rsidP="00986394">
            <w:pPr>
              <w:tabs>
                <w:tab w:val="left" w:pos="8789"/>
              </w:tabs>
              <w:ind w:right="140" w:firstLine="34"/>
              <w:jc w:val="both"/>
              <w:rPr>
                <w:rFonts w:ascii="Arial" w:hAnsi="Arial" w:cs="Arial"/>
                <w:sz w:val="20"/>
                <w:szCs w:val="24"/>
              </w:rPr>
            </w:pPr>
            <w:r>
              <w:rPr>
                <w:rFonts w:ascii="Arial" w:hAnsi="Arial" w:cs="Arial"/>
                <w:sz w:val="20"/>
                <w:szCs w:val="24"/>
              </w:rPr>
              <w:t>0,24 (0,23)</w:t>
            </w:r>
          </w:p>
        </w:tc>
        <w:tc>
          <w:tcPr>
            <w:tcW w:w="1737" w:type="dxa"/>
            <w:tcBorders>
              <w:top w:val="nil"/>
              <w:left w:val="nil"/>
              <w:bottom w:val="nil"/>
              <w:right w:val="nil"/>
            </w:tcBorders>
          </w:tcPr>
          <w:p w:rsidR="00E36C35" w:rsidRDefault="00E36C35" w:rsidP="00986394">
            <w:pPr>
              <w:tabs>
                <w:tab w:val="left" w:pos="8789"/>
              </w:tabs>
              <w:ind w:right="140"/>
              <w:jc w:val="center"/>
              <w:rPr>
                <w:rFonts w:ascii="Arial" w:hAnsi="Arial" w:cs="Arial"/>
                <w:sz w:val="20"/>
                <w:szCs w:val="24"/>
              </w:rPr>
            </w:pPr>
          </w:p>
        </w:tc>
      </w:tr>
      <w:tr w:rsidR="00E36C35" w:rsidTr="00E36C35">
        <w:trPr>
          <w:trHeight w:val="274"/>
          <w:jc w:val="center"/>
        </w:trPr>
        <w:tc>
          <w:tcPr>
            <w:tcW w:w="3488" w:type="dxa"/>
            <w:tcBorders>
              <w:top w:val="nil"/>
              <w:left w:val="nil"/>
              <w:bottom w:val="nil"/>
              <w:right w:val="nil"/>
            </w:tcBorders>
          </w:tcPr>
          <w:p w:rsidR="00E36C35" w:rsidRDefault="00E36C35" w:rsidP="00986394">
            <w:pPr>
              <w:tabs>
                <w:tab w:val="left" w:pos="8789"/>
              </w:tabs>
              <w:ind w:left="284" w:right="140"/>
              <w:jc w:val="both"/>
              <w:rPr>
                <w:rFonts w:ascii="Arial" w:hAnsi="Arial" w:cs="Arial"/>
                <w:sz w:val="20"/>
                <w:szCs w:val="24"/>
              </w:rPr>
            </w:pPr>
            <w:r w:rsidRPr="00A4536C">
              <w:rPr>
                <w:rFonts w:ascii="Arial" w:hAnsi="Arial" w:cs="Arial"/>
                <w:sz w:val="20"/>
                <w:szCs w:val="24"/>
              </w:rPr>
              <w:t>Comunicação</w:t>
            </w:r>
            <w:r w:rsidRPr="00A4536C">
              <w:rPr>
                <w:rFonts w:ascii="Arial" w:hAnsi="Arial" w:cs="Arial"/>
                <w:sz w:val="20"/>
                <w:szCs w:val="24"/>
                <w:vertAlign w:val="superscript"/>
              </w:rPr>
              <w:t>‡</w:t>
            </w:r>
          </w:p>
        </w:tc>
        <w:tc>
          <w:tcPr>
            <w:tcW w:w="1880" w:type="dxa"/>
            <w:tcBorders>
              <w:top w:val="nil"/>
              <w:left w:val="nil"/>
              <w:bottom w:val="nil"/>
              <w:right w:val="nil"/>
            </w:tcBorders>
          </w:tcPr>
          <w:p w:rsidR="00E36C35" w:rsidRDefault="00E36C35" w:rsidP="00986394">
            <w:pPr>
              <w:tabs>
                <w:tab w:val="left" w:pos="8789"/>
              </w:tabs>
              <w:ind w:right="140" w:firstLine="266"/>
              <w:jc w:val="both"/>
              <w:rPr>
                <w:rFonts w:ascii="Arial" w:hAnsi="Arial" w:cs="Arial"/>
                <w:sz w:val="20"/>
                <w:szCs w:val="24"/>
              </w:rPr>
            </w:pPr>
            <w:r>
              <w:rPr>
                <w:rFonts w:ascii="Arial" w:hAnsi="Arial" w:cs="Arial"/>
                <w:sz w:val="20"/>
                <w:szCs w:val="24"/>
              </w:rPr>
              <w:t>0,26 (0,19)</w:t>
            </w:r>
          </w:p>
        </w:tc>
        <w:tc>
          <w:tcPr>
            <w:tcW w:w="1788" w:type="dxa"/>
            <w:tcBorders>
              <w:top w:val="nil"/>
              <w:left w:val="nil"/>
              <w:bottom w:val="nil"/>
              <w:right w:val="nil"/>
            </w:tcBorders>
          </w:tcPr>
          <w:p w:rsidR="00E36C35" w:rsidRDefault="00E36C35" w:rsidP="00986394">
            <w:pPr>
              <w:tabs>
                <w:tab w:val="left" w:pos="8789"/>
              </w:tabs>
              <w:ind w:left="175" w:right="140"/>
              <w:jc w:val="both"/>
              <w:rPr>
                <w:rFonts w:ascii="Arial" w:hAnsi="Arial" w:cs="Arial"/>
                <w:sz w:val="20"/>
                <w:szCs w:val="24"/>
              </w:rPr>
            </w:pPr>
            <w:r>
              <w:rPr>
                <w:rFonts w:ascii="Arial" w:hAnsi="Arial" w:cs="Arial"/>
                <w:sz w:val="20"/>
                <w:szCs w:val="24"/>
              </w:rPr>
              <w:t>0,26 (0,20)</w:t>
            </w:r>
          </w:p>
        </w:tc>
        <w:tc>
          <w:tcPr>
            <w:tcW w:w="1682" w:type="dxa"/>
            <w:tcBorders>
              <w:top w:val="nil"/>
              <w:left w:val="nil"/>
              <w:bottom w:val="nil"/>
              <w:right w:val="nil"/>
            </w:tcBorders>
          </w:tcPr>
          <w:p w:rsidR="00E36C35" w:rsidRDefault="00E36C35" w:rsidP="00986394">
            <w:pPr>
              <w:tabs>
                <w:tab w:val="left" w:pos="8789"/>
              </w:tabs>
              <w:ind w:right="140" w:firstLine="123"/>
              <w:jc w:val="both"/>
              <w:rPr>
                <w:rFonts w:ascii="Arial" w:hAnsi="Arial" w:cs="Arial"/>
                <w:sz w:val="20"/>
                <w:szCs w:val="24"/>
              </w:rPr>
            </w:pPr>
            <w:r>
              <w:rPr>
                <w:rFonts w:ascii="Arial" w:hAnsi="Arial" w:cs="Arial"/>
                <w:sz w:val="20"/>
                <w:szCs w:val="24"/>
              </w:rPr>
              <w:t>-0,13 (0,51)</w:t>
            </w:r>
          </w:p>
        </w:tc>
        <w:tc>
          <w:tcPr>
            <w:tcW w:w="1590" w:type="dxa"/>
            <w:tcBorders>
              <w:top w:val="nil"/>
              <w:left w:val="nil"/>
              <w:bottom w:val="nil"/>
              <w:right w:val="nil"/>
            </w:tcBorders>
          </w:tcPr>
          <w:p w:rsidR="00E36C35" w:rsidRDefault="00E36C35" w:rsidP="00986394">
            <w:pPr>
              <w:tabs>
                <w:tab w:val="left" w:pos="8789"/>
              </w:tabs>
              <w:ind w:right="140" w:firstLine="65"/>
              <w:jc w:val="both"/>
              <w:rPr>
                <w:rFonts w:ascii="Arial" w:hAnsi="Arial" w:cs="Arial"/>
                <w:sz w:val="20"/>
                <w:szCs w:val="24"/>
              </w:rPr>
            </w:pPr>
            <w:r>
              <w:rPr>
                <w:rFonts w:ascii="Arial" w:hAnsi="Arial" w:cs="Arial"/>
                <w:sz w:val="20"/>
                <w:szCs w:val="24"/>
              </w:rPr>
              <w:t>0,23 (0,26)</w:t>
            </w:r>
          </w:p>
        </w:tc>
        <w:tc>
          <w:tcPr>
            <w:tcW w:w="1735" w:type="dxa"/>
            <w:tcBorders>
              <w:top w:val="nil"/>
              <w:left w:val="nil"/>
              <w:bottom w:val="nil"/>
              <w:right w:val="nil"/>
            </w:tcBorders>
          </w:tcPr>
          <w:p w:rsidR="00E36C35" w:rsidRDefault="00E36C35" w:rsidP="00986394">
            <w:pPr>
              <w:tabs>
                <w:tab w:val="left" w:pos="8789"/>
              </w:tabs>
              <w:ind w:right="140" w:firstLine="34"/>
              <w:jc w:val="both"/>
              <w:rPr>
                <w:rFonts w:ascii="Arial" w:hAnsi="Arial" w:cs="Arial"/>
                <w:sz w:val="20"/>
                <w:szCs w:val="24"/>
              </w:rPr>
            </w:pPr>
            <w:r>
              <w:rPr>
                <w:rFonts w:ascii="Arial" w:hAnsi="Arial" w:cs="Arial"/>
                <w:sz w:val="20"/>
                <w:szCs w:val="24"/>
              </w:rPr>
              <w:t>0,13 (0,52)</w:t>
            </w:r>
          </w:p>
        </w:tc>
        <w:tc>
          <w:tcPr>
            <w:tcW w:w="1737" w:type="dxa"/>
            <w:tcBorders>
              <w:top w:val="nil"/>
              <w:left w:val="nil"/>
              <w:bottom w:val="nil"/>
              <w:right w:val="nil"/>
            </w:tcBorders>
          </w:tcPr>
          <w:p w:rsidR="00E36C35" w:rsidRDefault="00E36C35" w:rsidP="00986394">
            <w:pPr>
              <w:tabs>
                <w:tab w:val="left" w:pos="8789"/>
              </w:tabs>
              <w:ind w:right="140"/>
              <w:jc w:val="center"/>
              <w:rPr>
                <w:rFonts w:ascii="Arial" w:hAnsi="Arial" w:cs="Arial"/>
                <w:sz w:val="20"/>
                <w:szCs w:val="24"/>
              </w:rPr>
            </w:pPr>
          </w:p>
        </w:tc>
      </w:tr>
      <w:tr w:rsidR="00E36C35" w:rsidTr="00E36C35">
        <w:trPr>
          <w:trHeight w:val="316"/>
          <w:jc w:val="center"/>
        </w:trPr>
        <w:tc>
          <w:tcPr>
            <w:tcW w:w="3488" w:type="dxa"/>
            <w:tcBorders>
              <w:top w:val="nil"/>
              <w:left w:val="nil"/>
              <w:right w:val="nil"/>
            </w:tcBorders>
          </w:tcPr>
          <w:p w:rsidR="00E36C35" w:rsidRDefault="00E36C35" w:rsidP="00986394">
            <w:pPr>
              <w:tabs>
                <w:tab w:val="left" w:pos="8789"/>
              </w:tabs>
              <w:ind w:left="284" w:right="140"/>
              <w:jc w:val="both"/>
              <w:rPr>
                <w:rFonts w:ascii="Arial" w:hAnsi="Arial" w:cs="Arial"/>
                <w:sz w:val="20"/>
                <w:szCs w:val="24"/>
              </w:rPr>
            </w:pPr>
            <w:r>
              <w:rPr>
                <w:rFonts w:ascii="Arial" w:hAnsi="Arial" w:cs="Arial"/>
                <w:sz w:val="20"/>
                <w:szCs w:val="24"/>
              </w:rPr>
              <w:t>Cognição social</w:t>
            </w:r>
          </w:p>
        </w:tc>
        <w:tc>
          <w:tcPr>
            <w:tcW w:w="1880" w:type="dxa"/>
            <w:tcBorders>
              <w:top w:val="nil"/>
              <w:left w:val="nil"/>
              <w:right w:val="nil"/>
            </w:tcBorders>
          </w:tcPr>
          <w:p w:rsidR="00E36C35" w:rsidRDefault="00E36C35" w:rsidP="00986394">
            <w:pPr>
              <w:tabs>
                <w:tab w:val="left" w:pos="8789"/>
              </w:tabs>
              <w:ind w:right="140" w:firstLine="266"/>
              <w:jc w:val="both"/>
              <w:rPr>
                <w:rFonts w:ascii="Arial" w:hAnsi="Arial" w:cs="Arial"/>
                <w:sz w:val="20"/>
                <w:szCs w:val="24"/>
              </w:rPr>
            </w:pPr>
            <w:r>
              <w:rPr>
                <w:rFonts w:ascii="Arial" w:hAnsi="Arial" w:cs="Arial"/>
                <w:sz w:val="20"/>
                <w:szCs w:val="24"/>
              </w:rPr>
              <w:t>0,49 (0,01)*</w:t>
            </w:r>
          </w:p>
        </w:tc>
        <w:tc>
          <w:tcPr>
            <w:tcW w:w="1788" w:type="dxa"/>
            <w:tcBorders>
              <w:top w:val="nil"/>
              <w:left w:val="nil"/>
              <w:right w:val="nil"/>
            </w:tcBorders>
          </w:tcPr>
          <w:p w:rsidR="00E36C35" w:rsidRDefault="00E36C35" w:rsidP="00986394">
            <w:pPr>
              <w:tabs>
                <w:tab w:val="left" w:pos="8789"/>
              </w:tabs>
              <w:ind w:left="175" w:right="140"/>
              <w:jc w:val="both"/>
              <w:rPr>
                <w:rFonts w:ascii="Arial" w:hAnsi="Arial" w:cs="Arial"/>
                <w:sz w:val="20"/>
                <w:szCs w:val="24"/>
              </w:rPr>
            </w:pPr>
            <w:r>
              <w:rPr>
                <w:rFonts w:ascii="Arial" w:hAnsi="Arial" w:cs="Arial"/>
                <w:sz w:val="20"/>
                <w:szCs w:val="24"/>
              </w:rPr>
              <w:t>0,09 (0,64)</w:t>
            </w:r>
          </w:p>
        </w:tc>
        <w:tc>
          <w:tcPr>
            <w:tcW w:w="1682" w:type="dxa"/>
            <w:tcBorders>
              <w:top w:val="nil"/>
              <w:left w:val="nil"/>
              <w:right w:val="nil"/>
            </w:tcBorders>
          </w:tcPr>
          <w:p w:rsidR="00E36C35" w:rsidRDefault="00E36C35" w:rsidP="00986394">
            <w:pPr>
              <w:tabs>
                <w:tab w:val="left" w:pos="8789"/>
              </w:tabs>
              <w:ind w:right="140" w:firstLine="123"/>
              <w:jc w:val="both"/>
              <w:rPr>
                <w:rFonts w:ascii="Arial" w:hAnsi="Arial" w:cs="Arial"/>
                <w:sz w:val="20"/>
                <w:szCs w:val="24"/>
              </w:rPr>
            </w:pPr>
            <w:r>
              <w:rPr>
                <w:rFonts w:ascii="Arial" w:hAnsi="Arial" w:cs="Arial"/>
                <w:sz w:val="20"/>
                <w:szCs w:val="24"/>
              </w:rPr>
              <w:t>0,27 (0,18)</w:t>
            </w:r>
          </w:p>
        </w:tc>
        <w:tc>
          <w:tcPr>
            <w:tcW w:w="1590" w:type="dxa"/>
            <w:tcBorders>
              <w:top w:val="nil"/>
              <w:left w:val="nil"/>
              <w:right w:val="nil"/>
            </w:tcBorders>
          </w:tcPr>
          <w:p w:rsidR="00E36C35" w:rsidRDefault="00E36C35" w:rsidP="00986394">
            <w:pPr>
              <w:tabs>
                <w:tab w:val="left" w:pos="8789"/>
              </w:tabs>
              <w:ind w:right="140" w:firstLine="65"/>
              <w:jc w:val="both"/>
              <w:rPr>
                <w:rFonts w:ascii="Arial" w:hAnsi="Arial" w:cs="Arial"/>
                <w:sz w:val="20"/>
                <w:szCs w:val="24"/>
              </w:rPr>
            </w:pPr>
            <w:r>
              <w:rPr>
                <w:rFonts w:ascii="Arial" w:hAnsi="Arial" w:cs="Arial"/>
                <w:sz w:val="20"/>
                <w:szCs w:val="24"/>
              </w:rPr>
              <w:t>0,26 (0,20)</w:t>
            </w:r>
          </w:p>
        </w:tc>
        <w:tc>
          <w:tcPr>
            <w:tcW w:w="1735" w:type="dxa"/>
            <w:tcBorders>
              <w:top w:val="nil"/>
              <w:left w:val="nil"/>
              <w:right w:val="nil"/>
            </w:tcBorders>
          </w:tcPr>
          <w:p w:rsidR="00E36C35" w:rsidRDefault="00E36C35" w:rsidP="00986394">
            <w:pPr>
              <w:tabs>
                <w:tab w:val="left" w:pos="8789"/>
              </w:tabs>
              <w:ind w:right="140" w:firstLine="34"/>
              <w:jc w:val="both"/>
              <w:rPr>
                <w:rFonts w:ascii="Arial" w:hAnsi="Arial" w:cs="Arial"/>
                <w:sz w:val="20"/>
                <w:szCs w:val="24"/>
              </w:rPr>
            </w:pPr>
            <w:r>
              <w:rPr>
                <w:rFonts w:ascii="Arial" w:hAnsi="Arial" w:cs="Arial"/>
                <w:sz w:val="20"/>
                <w:szCs w:val="24"/>
              </w:rPr>
              <w:t>0,30 (0,13)</w:t>
            </w:r>
          </w:p>
        </w:tc>
        <w:tc>
          <w:tcPr>
            <w:tcW w:w="1737" w:type="dxa"/>
            <w:tcBorders>
              <w:top w:val="nil"/>
              <w:left w:val="nil"/>
              <w:right w:val="nil"/>
            </w:tcBorders>
          </w:tcPr>
          <w:p w:rsidR="00E36C35" w:rsidRDefault="00E36C35" w:rsidP="00986394">
            <w:pPr>
              <w:tabs>
                <w:tab w:val="left" w:pos="8789"/>
              </w:tabs>
              <w:ind w:right="140"/>
              <w:jc w:val="center"/>
              <w:rPr>
                <w:rFonts w:ascii="Arial" w:hAnsi="Arial" w:cs="Arial"/>
                <w:sz w:val="20"/>
                <w:szCs w:val="24"/>
              </w:rPr>
            </w:pPr>
          </w:p>
        </w:tc>
      </w:tr>
    </w:tbl>
    <w:p w:rsidR="00495075" w:rsidRDefault="00E36C35" w:rsidP="00702859">
      <w:pPr>
        <w:spacing w:after="0" w:line="240" w:lineRule="auto"/>
        <w:ind w:right="140"/>
        <w:jc w:val="both"/>
        <w:rPr>
          <w:rFonts w:ascii="Arial" w:hAnsi="Arial" w:cs="Arial"/>
          <w:sz w:val="24"/>
          <w:szCs w:val="24"/>
        </w:rPr>
      </w:pPr>
      <w:r w:rsidRPr="007F5AC2">
        <w:rPr>
          <w:rFonts w:ascii="Arial" w:hAnsi="Arial" w:cs="Arial"/>
          <w:sz w:val="20"/>
        </w:rPr>
        <w:t xml:space="preserve">Legenda: </w:t>
      </w:r>
      <w:r>
        <w:rPr>
          <w:rFonts w:ascii="Arial" w:hAnsi="Arial" w:cs="Arial"/>
          <w:sz w:val="20"/>
        </w:rPr>
        <w:t>HSI – Hospital Santa Izabel; MIF – Medida de independência funcional;</w:t>
      </w:r>
      <w:r w:rsidR="00A05C81">
        <w:rPr>
          <w:rFonts w:ascii="Arial" w:hAnsi="Arial" w:cs="Arial"/>
          <w:sz w:val="20"/>
        </w:rPr>
        <w:t xml:space="preserve"> QVRS – Qualidade de vida relacionada à saúde;</w:t>
      </w:r>
      <w:r>
        <w:rPr>
          <w:rFonts w:ascii="Arial" w:hAnsi="Arial" w:cs="Arial"/>
          <w:sz w:val="20"/>
        </w:rPr>
        <w:t xml:space="preserve"> p – valor de p (Teste de correlação de </w:t>
      </w:r>
      <w:r w:rsidRPr="003D5C7E">
        <w:rPr>
          <w:rFonts w:ascii="Arial" w:hAnsi="Arial" w:cs="Arial"/>
          <w:i/>
          <w:sz w:val="20"/>
        </w:rPr>
        <w:t>Pearson</w:t>
      </w:r>
      <w:r>
        <w:rPr>
          <w:rFonts w:ascii="Arial" w:hAnsi="Arial" w:cs="Arial"/>
          <w:sz w:val="20"/>
        </w:rPr>
        <w:t xml:space="preserve">); r – valor do coeficiente de correlação de </w:t>
      </w:r>
      <w:r w:rsidRPr="003D5C7E">
        <w:rPr>
          <w:rFonts w:ascii="Arial" w:hAnsi="Arial" w:cs="Arial"/>
          <w:i/>
          <w:sz w:val="20"/>
        </w:rPr>
        <w:t>Pearson</w:t>
      </w:r>
      <w:r>
        <w:rPr>
          <w:rFonts w:ascii="Arial" w:hAnsi="Arial" w:cs="Arial"/>
          <w:sz w:val="20"/>
        </w:rPr>
        <w:t xml:space="preserve">; </w:t>
      </w:r>
      <w:r w:rsidRPr="00E15B98">
        <w:rPr>
          <w:rFonts w:ascii="Arial" w:hAnsi="Arial" w:cs="Arial"/>
          <w:sz w:val="20"/>
          <w:vertAlign w:val="superscript"/>
        </w:rPr>
        <w:t>‡</w:t>
      </w:r>
      <w:r>
        <w:rPr>
          <w:rFonts w:ascii="Arial" w:hAnsi="Arial" w:cs="Arial"/>
          <w:sz w:val="20"/>
          <w:szCs w:val="20"/>
        </w:rPr>
        <w:t xml:space="preserve"> </w:t>
      </w:r>
      <w:r>
        <w:rPr>
          <w:rFonts w:ascii="Arial" w:hAnsi="Arial" w:cs="Arial"/>
          <w:sz w:val="20"/>
        </w:rPr>
        <w:t>–</w:t>
      </w:r>
      <w:r>
        <w:rPr>
          <w:rFonts w:ascii="Arial" w:hAnsi="Arial" w:cs="Arial"/>
          <w:sz w:val="20"/>
          <w:szCs w:val="20"/>
        </w:rPr>
        <w:t xml:space="preserve"> Teste de correlação de </w:t>
      </w:r>
      <w:r w:rsidRPr="003D5C7E">
        <w:rPr>
          <w:rFonts w:ascii="Arial" w:hAnsi="Arial" w:cs="Arial"/>
          <w:i/>
          <w:sz w:val="20"/>
          <w:szCs w:val="20"/>
        </w:rPr>
        <w:t>Spearman</w:t>
      </w:r>
      <w:r>
        <w:rPr>
          <w:rFonts w:ascii="Arial" w:hAnsi="Arial" w:cs="Arial"/>
          <w:sz w:val="20"/>
          <w:szCs w:val="20"/>
        </w:rPr>
        <w:t xml:space="preserve">; * </w:t>
      </w:r>
      <w:r>
        <w:rPr>
          <w:rFonts w:ascii="Arial" w:hAnsi="Arial" w:cs="Arial"/>
          <w:sz w:val="20"/>
        </w:rPr>
        <w:t>–</w:t>
      </w:r>
      <w:r>
        <w:rPr>
          <w:rFonts w:ascii="Arial" w:hAnsi="Arial" w:cs="Arial"/>
          <w:sz w:val="20"/>
          <w:szCs w:val="20"/>
        </w:rPr>
        <w:t xml:space="preserve"> correlação significativa entre as variáveis (p&lt;0,05).</w:t>
      </w:r>
    </w:p>
    <w:p w:rsidR="00860520" w:rsidRDefault="00860520" w:rsidP="00A911AC">
      <w:pPr>
        <w:spacing w:after="0" w:line="360" w:lineRule="auto"/>
        <w:jc w:val="both"/>
        <w:rPr>
          <w:rFonts w:ascii="Arial" w:hAnsi="Arial" w:cs="Arial"/>
          <w:sz w:val="24"/>
          <w:szCs w:val="24"/>
        </w:rPr>
      </w:pPr>
    </w:p>
    <w:bookmarkStart w:id="73" w:name="_Toc496749618"/>
    <w:p w:rsidR="00E36C35" w:rsidRDefault="007173F8" w:rsidP="000E4ED3">
      <w:pPr>
        <w:pStyle w:val="Ttulo1"/>
        <w:sectPr w:rsidR="00E36C35" w:rsidSect="006212E2">
          <w:pgSz w:w="16838" w:h="11906" w:orient="landscape" w:code="9"/>
          <w:pgMar w:top="1701" w:right="1701" w:bottom="1134" w:left="1134" w:header="1134" w:footer="709" w:gutter="0"/>
          <w:pgNumType w:start="54"/>
          <w:cols w:space="708"/>
          <w:docGrid w:linePitch="360"/>
        </w:sectPr>
      </w:pPr>
      <w:r w:rsidRPr="008A5A8F">
        <w:rPr>
          <w:rFonts w:cs="Arial"/>
          <w:b w:val="0"/>
          <w:noProof/>
          <w:sz w:val="20"/>
          <w:szCs w:val="24"/>
        </w:rPr>
        <mc:AlternateContent>
          <mc:Choice Requires="wps">
            <w:drawing>
              <wp:anchor distT="0" distB="0" distL="114300" distR="114300" simplePos="0" relativeHeight="251783168" behindDoc="0" locked="0" layoutInCell="1" allowOverlap="1" wp14:anchorId="622ABDB1" wp14:editId="1CBC2876">
                <wp:simplePos x="0" y="0"/>
                <wp:positionH relativeFrom="column">
                  <wp:posOffset>8749503</wp:posOffset>
                </wp:positionH>
                <wp:positionV relativeFrom="paragraph">
                  <wp:posOffset>1694815</wp:posOffset>
                </wp:positionV>
                <wp:extent cx="563245" cy="467360"/>
                <wp:effectExtent l="0" t="0" r="8255" b="8890"/>
                <wp:wrapNone/>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467360"/>
                        </a:xfrm>
                        <a:prstGeom prst="rect">
                          <a:avLst/>
                        </a:prstGeom>
                        <a:solidFill>
                          <a:srgbClr val="FFFFFF"/>
                        </a:solidFill>
                        <a:ln w="9525">
                          <a:noFill/>
                          <a:miter lim="800000"/>
                          <a:headEnd/>
                          <a:tailEnd/>
                        </a:ln>
                      </wps:spPr>
                      <wps:txbx>
                        <w:txbxContent>
                          <w:p w:rsidR="00B421DD" w:rsidRPr="008A5A8F" w:rsidRDefault="00B421DD" w:rsidP="007173F8">
                            <w:pPr>
                              <w:jc w:val="center"/>
                              <w:rPr>
                                <w:rFonts w:ascii="Arial" w:hAnsi="Arial" w:cs="Arial"/>
                                <w:sz w:val="20"/>
                              </w:rPr>
                            </w:pPr>
                            <w:r>
                              <w:rPr>
                                <w:rFonts w:ascii="Arial" w:hAnsi="Arial" w:cs="Arial"/>
                                <w:sz w:val="20"/>
                              </w:rPr>
                              <w:t>54</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ABDB1" id="_x0000_s1034" type="#_x0000_t202" style="position:absolute;margin-left:688.95pt;margin-top:133.45pt;width:44.35pt;height:36.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" stroked="f">
                <v:textbox style="layout-flow:vertical">
                  <w:txbxContent>
                    <w:p w:rsidR="00986394" w:rsidRPr="008A5A8F" w:rsidRDefault="00986394" w:rsidP="007173F8">
                      <w:pPr>
                        <w:jc w:val="center"/>
                        <w:rPr>
                          <w:rFonts w:ascii="Arial" w:hAnsi="Arial" w:cs="Arial"/>
                          <w:sz w:val="20"/>
                        </w:rPr>
                      </w:pPr>
                      <w:r>
                        <w:rPr>
                          <w:rFonts w:ascii="Arial" w:hAnsi="Arial" w:cs="Arial"/>
                          <w:sz w:val="20"/>
                        </w:rPr>
                        <w:t>54</w:t>
                      </w:r>
                    </w:p>
                  </w:txbxContent>
                </v:textbox>
              </v:shape>
            </w:pict>
          </mc:Fallback>
        </mc:AlternateContent>
      </w:r>
    </w:p>
    <w:p w:rsidR="00EC6E74" w:rsidRPr="00EC6E74" w:rsidRDefault="00EC6E74" w:rsidP="000E4ED3">
      <w:pPr>
        <w:pStyle w:val="Ttulo1"/>
      </w:pPr>
      <w:r w:rsidRPr="00EC6E74">
        <w:lastRenderedPageBreak/>
        <w:t>6 DISCUSSÃO</w:t>
      </w:r>
      <w:bookmarkEnd w:id="73"/>
    </w:p>
    <w:p w:rsidR="00EC6E74" w:rsidRDefault="00EC6E74" w:rsidP="00D10ED3">
      <w:pPr>
        <w:tabs>
          <w:tab w:val="left" w:pos="1418"/>
          <w:tab w:val="left" w:pos="1560"/>
        </w:tabs>
        <w:spacing w:after="0" w:line="360" w:lineRule="auto"/>
        <w:rPr>
          <w:rFonts w:ascii="Arial" w:hAnsi="Arial" w:cs="Arial"/>
          <w:sz w:val="24"/>
        </w:rPr>
      </w:pPr>
    </w:p>
    <w:p w:rsidR="00EC6E74" w:rsidRPr="007E7F6A" w:rsidRDefault="007E7F6A" w:rsidP="00582961">
      <w:pPr>
        <w:pStyle w:val="Ttulo1"/>
      </w:pPr>
      <w:bookmarkStart w:id="74" w:name="_Toc496749619"/>
      <w:r w:rsidRPr="007E7F6A">
        <w:t>6.1 Discussão dos resultados</w:t>
      </w:r>
      <w:bookmarkEnd w:id="74"/>
    </w:p>
    <w:p w:rsidR="00EC6E74" w:rsidRDefault="00EC6E74" w:rsidP="00EC6E74">
      <w:pPr>
        <w:tabs>
          <w:tab w:val="left" w:pos="1418"/>
          <w:tab w:val="left" w:pos="1560"/>
        </w:tabs>
        <w:spacing w:after="0" w:line="360" w:lineRule="auto"/>
        <w:jc w:val="both"/>
        <w:rPr>
          <w:rFonts w:ascii="Arial" w:hAnsi="Arial" w:cs="Arial"/>
          <w:sz w:val="24"/>
        </w:rPr>
      </w:pPr>
    </w:p>
    <w:p w:rsidR="00A730CF" w:rsidRDefault="00A730CF" w:rsidP="00F03F60">
      <w:pPr>
        <w:tabs>
          <w:tab w:val="left" w:pos="1418"/>
          <w:tab w:val="left" w:pos="1560"/>
        </w:tabs>
        <w:spacing w:after="0" w:line="360" w:lineRule="auto"/>
        <w:jc w:val="both"/>
        <w:rPr>
          <w:rFonts w:ascii="Arial" w:hAnsi="Arial" w:cs="Arial"/>
          <w:sz w:val="24"/>
        </w:rPr>
      </w:pPr>
      <w:r>
        <w:rPr>
          <w:rFonts w:ascii="Arial" w:hAnsi="Arial" w:cs="Arial"/>
          <w:sz w:val="24"/>
        </w:rPr>
        <w:t xml:space="preserve">A presente pesquisa teve como objetivo verificar se existe correlação entre a independência funcional e a QVRS de pacientes </w:t>
      </w:r>
      <w:r w:rsidR="004F78A8">
        <w:rPr>
          <w:rFonts w:ascii="Arial" w:hAnsi="Arial" w:cs="Arial"/>
          <w:sz w:val="24"/>
        </w:rPr>
        <w:t xml:space="preserve">pediátricos </w:t>
      </w:r>
      <w:r>
        <w:rPr>
          <w:rFonts w:ascii="Arial" w:hAnsi="Arial" w:cs="Arial"/>
          <w:sz w:val="24"/>
        </w:rPr>
        <w:t>com mucopolissacaridose</w:t>
      </w:r>
      <w:r w:rsidR="00527168">
        <w:rPr>
          <w:rFonts w:ascii="Arial" w:hAnsi="Arial" w:cs="Arial"/>
          <w:sz w:val="24"/>
        </w:rPr>
        <w:t>s</w:t>
      </w:r>
      <w:r w:rsidR="004F78A8">
        <w:rPr>
          <w:rFonts w:ascii="Arial" w:hAnsi="Arial" w:cs="Arial"/>
          <w:sz w:val="24"/>
        </w:rPr>
        <w:t>,</w:t>
      </w:r>
      <w:r>
        <w:rPr>
          <w:rFonts w:ascii="Arial" w:hAnsi="Arial" w:cs="Arial"/>
          <w:sz w:val="24"/>
        </w:rPr>
        <w:t xml:space="preserve"> através de um estudo</w:t>
      </w:r>
      <w:r w:rsidR="004F78A8">
        <w:rPr>
          <w:rFonts w:ascii="Arial" w:hAnsi="Arial" w:cs="Arial"/>
          <w:sz w:val="24"/>
        </w:rPr>
        <w:t xml:space="preserve"> observacional,</w:t>
      </w:r>
      <w:r>
        <w:rPr>
          <w:rFonts w:ascii="Arial" w:hAnsi="Arial" w:cs="Arial"/>
          <w:sz w:val="24"/>
        </w:rPr>
        <w:t xml:space="preserve"> de corte transversal, visando contribuir para o embasamento de propostas terapêuticas na área de reabilitação</w:t>
      </w:r>
      <w:r w:rsidR="00BF0BD8">
        <w:rPr>
          <w:rFonts w:ascii="Arial" w:hAnsi="Arial" w:cs="Arial"/>
          <w:sz w:val="24"/>
        </w:rPr>
        <w:t>,</w:t>
      </w:r>
      <w:r>
        <w:rPr>
          <w:rFonts w:ascii="Arial" w:hAnsi="Arial" w:cs="Arial"/>
          <w:sz w:val="24"/>
        </w:rPr>
        <w:t xml:space="preserve"> a partir </w:t>
      </w:r>
      <w:r w:rsidR="00B71959">
        <w:rPr>
          <w:rFonts w:ascii="Arial" w:hAnsi="Arial" w:cs="Arial"/>
          <w:sz w:val="24"/>
        </w:rPr>
        <w:t xml:space="preserve">da identificação </w:t>
      </w:r>
      <w:r>
        <w:rPr>
          <w:rFonts w:ascii="Arial" w:hAnsi="Arial" w:cs="Arial"/>
          <w:sz w:val="24"/>
        </w:rPr>
        <w:t xml:space="preserve">das necessidades específicas desses indivíduos. </w:t>
      </w:r>
    </w:p>
    <w:p w:rsidR="00D10ED3" w:rsidRDefault="00D10ED3" w:rsidP="00F03F60">
      <w:pPr>
        <w:tabs>
          <w:tab w:val="left" w:pos="1418"/>
          <w:tab w:val="left" w:pos="1560"/>
        </w:tabs>
        <w:spacing w:after="0" w:line="360" w:lineRule="auto"/>
        <w:jc w:val="both"/>
        <w:rPr>
          <w:rFonts w:ascii="Arial" w:hAnsi="Arial" w:cs="Arial"/>
          <w:sz w:val="24"/>
        </w:rPr>
      </w:pPr>
    </w:p>
    <w:p w:rsidR="007773DC" w:rsidRDefault="006C4C8D" w:rsidP="00F03F60">
      <w:pPr>
        <w:tabs>
          <w:tab w:val="left" w:pos="1418"/>
          <w:tab w:val="left" w:pos="1560"/>
        </w:tabs>
        <w:spacing w:after="0" w:line="360" w:lineRule="auto"/>
        <w:jc w:val="both"/>
        <w:rPr>
          <w:rFonts w:ascii="Arial" w:hAnsi="Arial" w:cs="Arial"/>
          <w:sz w:val="24"/>
        </w:rPr>
      </w:pPr>
      <w:r>
        <w:rPr>
          <w:rFonts w:ascii="Arial" w:hAnsi="Arial" w:cs="Arial"/>
          <w:sz w:val="24"/>
        </w:rPr>
        <w:t>Considerando a população deste estudo, o</w:t>
      </w:r>
      <w:r w:rsidR="007773DC" w:rsidRPr="000C099B">
        <w:rPr>
          <w:rFonts w:ascii="Arial" w:hAnsi="Arial" w:cs="Arial"/>
          <w:sz w:val="24"/>
        </w:rPr>
        <w:t>s resultados indicaram correlação significativa entre as variáveis MIF e QVRS. Crianças e adolescentes com maior independência funcional apresentaram melhor qualidade de vida geral. Os resultados evidenciaram também que a MIF e a QVRS não tiveram associação com a idade e</w:t>
      </w:r>
      <w:r w:rsidR="00597024">
        <w:rPr>
          <w:rFonts w:ascii="Arial" w:hAnsi="Arial" w:cs="Arial"/>
          <w:sz w:val="24"/>
        </w:rPr>
        <w:t xml:space="preserve"> </w:t>
      </w:r>
      <w:r w:rsidR="007773DC" w:rsidRPr="000C099B">
        <w:rPr>
          <w:rFonts w:ascii="Arial" w:hAnsi="Arial" w:cs="Arial"/>
          <w:sz w:val="24"/>
        </w:rPr>
        <w:t>o sexo</w:t>
      </w:r>
      <w:r w:rsidR="00CB6085">
        <w:rPr>
          <w:rFonts w:ascii="Arial" w:hAnsi="Arial" w:cs="Arial"/>
          <w:sz w:val="24"/>
        </w:rPr>
        <w:t xml:space="preserve">. </w:t>
      </w:r>
      <w:r w:rsidR="007773DC" w:rsidRPr="000C099B">
        <w:rPr>
          <w:rFonts w:ascii="Arial" w:hAnsi="Arial" w:cs="Arial"/>
          <w:noProof/>
          <w:sz w:val="24"/>
          <w:szCs w:val="24"/>
          <w:lang w:eastAsia="pt-BR"/>
        </w:rPr>
        <w:t>E, n</w:t>
      </w:r>
      <w:r w:rsidR="007773DC" w:rsidRPr="000C099B">
        <w:rPr>
          <w:rFonts w:ascii="Arial" w:hAnsi="Arial" w:cs="Arial"/>
          <w:sz w:val="24"/>
        </w:rPr>
        <w:t>o que diz respeito às atividades avaliadas pela escala MIF, foi observada maior necessidade de assistência para a realização do autocuidado, indicando que, de forma geral, os participantes do nosso estudo apresentavam capacidade comprometida para realizar, de maneira independente, tarefas referentes à alimentação, higiene pessoal, banho, vestuário e utilização do vaso sanitário.</w:t>
      </w:r>
    </w:p>
    <w:p w:rsidR="000B4C9D" w:rsidRDefault="000B4C9D" w:rsidP="00F03F60">
      <w:pPr>
        <w:tabs>
          <w:tab w:val="left" w:pos="1418"/>
          <w:tab w:val="left" w:pos="1560"/>
        </w:tabs>
        <w:spacing w:after="0" w:line="360" w:lineRule="auto"/>
        <w:jc w:val="both"/>
        <w:rPr>
          <w:rFonts w:ascii="Arial" w:hAnsi="Arial" w:cs="Arial"/>
          <w:sz w:val="24"/>
        </w:rPr>
      </w:pPr>
    </w:p>
    <w:p w:rsidR="002E07BF" w:rsidRDefault="002E07BF" w:rsidP="00F03F60">
      <w:pPr>
        <w:tabs>
          <w:tab w:val="left" w:pos="1418"/>
          <w:tab w:val="left" w:pos="1560"/>
        </w:tabs>
        <w:spacing w:after="0" w:line="360" w:lineRule="auto"/>
        <w:jc w:val="both"/>
        <w:rPr>
          <w:rFonts w:ascii="Arial" w:hAnsi="Arial" w:cs="Arial"/>
          <w:sz w:val="24"/>
        </w:rPr>
      </w:pPr>
      <w:r>
        <w:rPr>
          <w:rFonts w:ascii="Arial" w:hAnsi="Arial" w:cs="Arial"/>
          <w:sz w:val="24"/>
        </w:rPr>
        <w:t>Diversas razões associadas à MPS podem ter colaborado com a condição de dependência funcional. É possível, por exemplo, que esses indivíduos tenham sido diagnosticados tardiamente. E, embora tivessem acompanhamento médico regular na á</w:t>
      </w:r>
      <w:r w:rsidR="000B4C9D">
        <w:rPr>
          <w:rFonts w:ascii="Arial" w:hAnsi="Arial" w:cs="Arial"/>
          <w:sz w:val="24"/>
        </w:rPr>
        <w:t>rea de ortopedia, provavelmente</w:t>
      </w:r>
      <w:r>
        <w:rPr>
          <w:rFonts w:ascii="Arial" w:hAnsi="Arial" w:cs="Arial"/>
          <w:sz w:val="24"/>
        </w:rPr>
        <w:t xml:space="preserve"> a sua participação em outros programas de reabilitação, ou em diferentes contextos que possam otimizar o desenvolvimento neuropsicomotor – incluindo a escola, seja inferior, comparada aos indivíduos que residem em cidades</w:t>
      </w:r>
      <w:r w:rsidR="000F79D6">
        <w:rPr>
          <w:rFonts w:ascii="Arial" w:hAnsi="Arial" w:cs="Arial"/>
          <w:sz w:val="24"/>
        </w:rPr>
        <w:t xml:space="preserve"> mais desenvolvidas. Acredita</w:t>
      </w:r>
      <w:r w:rsidR="00873FD7">
        <w:rPr>
          <w:rFonts w:ascii="Arial" w:hAnsi="Arial" w:cs="Arial"/>
          <w:sz w:val="24"/>
        </w:rPr>
        <w:t>mos</w:t>
      </w:r>
      <w:r>
        <w:rPr>
          <w:rFonts w:ascii="Arial" w:hAnsi="Arial" w:cs="Arial"/>
          <w:sz w:val="24"/>
        </w:rPr>
        <w:t xml:space="preserve"> que as crianças e adolescentes participantes deste estudo tenham</w:t>
      </w:r>
      <w:r w:rsidR="00E929C5">
        <w:rPr>
          <w:rFonts w:ascii="Arial" w:hAnsi="Arial" w:cs="Arial"/>
          <w:sz w:val="24"/>
        </w:rPr>
        <w:t>, portanto,</w:t>
      </w:r>
      <w:r>
        <w:rPr>
          <w:rFonts w:ascii="Arial" w:hAnsi="Arial" w:cs="Arial"/>
          <w:sz w:val="24"/>
        </w:rPr>
        <w:t xml:space="preserve"> dificuldades </w:t>
      </w:r>
      <w:r w:rsidR="001C4A1F">
        <w:rPr>
          <w:rFonts w:ascii="Arial" w:hAnsi="Arial" w:cs="Arial"/>
          <w:sz w:val="24"/>
        </w:rPr>
        <w:t>para</w:t>
      </w:r>
      <w:r>
        <w:rPr>
          <w:rFonts w:ascii="Arial" w:hAnsi="Arial" w:cs="Arial"/>
          <w:sz w:val="24"/>
        </w:rPr>
        <w:t xml:space="preserve"> acesso aos serviços de reabilitação</w:t>
      </w:r>
      <w:r w:rsidR="00797C66">
        <w:rPr>
          <w:rFonts w:ascii="Arial" w:hAnsi="Arial" w:cs="Arial"/>
          <w:sz w:val="24"/>
        </w:rPr>
        <w:t xml:space="preserve"> e</w:t>
      </w:r>
      <w:r w:rsidR="008F56EA">
        <w:rPr>
          <w:rFonts w:ascii="Arial" w:hAnsi="Arial" w:cs="Arial"/>
          <w:sz w:val="24"/>
        </w:rPr>
        <w:t xml:space="preserve"> estimulação</w:t>
      </w:r>
      <w:r>
        <w:rPr>
          <w:rFonts w:ascii="Arial" w:hAnsi="Arial" w:cs="Arial"/>
          <w:sz w:val="24"/>
        </w:rPr>
        <w:t xml:space="preserve"> p</w:t>
      </w:r>
      <w:r w:rsidR="00797C66">
        <w:rPr>
          <w:rFonts w:ascii="Arial" w:hAnsi="Arial" w:cs="Arial"/>
          <w:sz w:val="24"/>
        </w:rPr>
        <w:t xml:space="preserve">recoce nas cidades onde residem. Esta condição poderá contribuir </w:t>
      </w:r>
      <w:r>
        <w:rPr>
          <w:rFonts w:ascii="Arial" w:hAnsi="Arial" w:cs="Arial"/>
          <w:sz w:val="24"/>
        </w:rPr>
        <w:t>para a instalação mais rápida de deformidades e consequente agravo do comprometimento motor.</w:t>
      </w:r>
    </w:p>
    <w:p w:rsidR="00D10ED3" w:rsidRPr="00D62E26" w:rsidRDefault="00D10ED3" w:rsidP="00F03F60">
      <w:pPr>
        <w:tabs>
          <w:tab w:val="left" w:pos="1418"/>
          <w:tab w:val="left" w:pos="1560"/>
        </w:tabs>
        <w:spacing w:after="0" w:line="360" w:lineRule="auto"/>
        <w:jc w:val="both"/>
        <w:rPr>
          <w:rFonts w:ascii="Arial" w:hAnsi="Arial" w:cs="Arial"/>
          <w:sz w:val="24"/>
        </w:rPr>
      </w:pPr>
    </w:p>
    <w:p w:rsidR="001F4B75" w:rsidRDefault="00D62E26" w:rsidP="00F03F60">
      <w:pPr>
        <w:tabs>
          <w:tab w:val="left" w:pos="1418"/>
          <w:tab w:val="left" w:pos="1560"/>
        </w:tabs>
        <w:spacing w:after="0" w:line="360" w:lineRule="auto"/>
        <w:jc w:val="both"/>
        <w:rPr>
          <w:rFonts w:ascii="Arial" w:hAnsi="Arial" w:cs="Arial"/>
          <w:sz w:val="24"/>
        </w:rPr>
      </w:pPr>
      <w:r>
        <w:rPr>
          <w:rFonts w:ascii="Arial" w:hAnsi="Arial" w:cs="Arial"/>
          <w:sz w:val="24"/>
        </w:rPr>
        <w:lastRenderedPageBreak/>
        <w:t>A</w:t>
      </w:r>
      <w:r w:rsidR="00073AA4">
        <w:rPr>
          <w:rFonts w:ascii="Arial" w:hAnsi="Arial" w:cs="Arial"/>
          <w:sz w:val="24"/>
        </w:rPr>
        <w:t xml:space="preserve"> maior participação de pacientes oriundos de </w:t>
      </w:r>
      <w:r>
        <w:rPr>
          <w:rFonts w:ascii="Arial" w:hAnsi="Arial" w:cs="Arial"/>
          <w:sz w:val="24"/>
        </w:rPr>
        <w:t xml:space="preserve">cidades do interior do Estado da Bahia, </w:t>
      </w:r>
      <w:r w:rsidR="00C17984">
        <w:rPr>
          <w:rFonts w:ascii="Arial" w:hAnsi="Arial" w:cs="Arial"/>
          <w:sz w:val="24"/>
        </w:rPr>
        <w:t>com</w:t>
      </w:r>
      <w:r>
        <w:rPr>
          <w:rFonts w:ascii="Arial" w:hAnsi="Arial" w:cs="Arial"/>
          <w:sz w:val="24"/>
        </w:rPr>
        <w:t xml:space="preserve"> Índice de Desenvolvimento Humano (IDH) menor do que</w:t>
      </w:r>
      <w:r w:rsidR="00073AA4">
        <w:rPr>
          <w:rFonts w:ascii="Arial" w:hAnsi="Arial" w:cs="Arial"/>
          <w:sz w:val="24"/>
        </w:rPr>
        <w:t xml:space="preserve"> o</w:t>
      </w:r>
      <w:r>
        <w:rPr>
          <w:rFonts w:ascii="Arial" w:hAnsi="Arial" w:cs="Arial"/>
          <w:sz w:val="24"/>
        </w:rPr>
        <w:t xml:space="preserve"> de outras cidades situadas em regiões mais desenvolvidas</w:t>
      </w:r>
      <w:r w:rsidR="00AB519E">
        <w:rPr>
          <w:rFonts w:ascii="Arial" w:hAnsi="Arial" w:cs="Arial"/>
          <w:sz w:val="24"/>
        </w:rPr>
        <w:t xml:space="preserve"> do país</w:t>
      </w:r>
      <w:r w:rsidR="00E84B47">
        <w:rPr>
          <w:rFonts w:ascii="Arial" w:hAnsi="Arial" w:cs="Arial"/>
          <w:sz w:val="24"/>
        </w:rPr>
        <w:fldChar w:fldCharType="begin" w:fldLock="1"/>
      </w:r>
      <w:r w:rsidR="00195481">
        <w:rPr>
          <w:rFonts w:ascii="Arial" w:hAnsi="Arial" w:cs="Arial"/>
          <w:sz w:val="24"/>
        </w:rPr>
        <w:instrText>ADDIN CSL_CITATION { "citationItems" : [ { "id" : "ITEM-1", "itemData" : { "ISBN" : "9788588201309", "author" : [ { "dropping-particle" : "", "family" : "Souza Filho", "given" : "AM", "non-dropping-particle" : "", "parse-names" : false, "suffix" : "" }, { "dropping-particle" : "", "family" : "Natenzon", "given" : "SM", "non-dropping-particle" : "", "parse-names" : false, "suffix" : "" } ], "container-title" : "Pr\u00eamio atlas do desenvolvimento humano no Brasil: colet\u00e2nea de artigos", "edition" : "PNUD: IPEA", "id" : "ITEM-1", "issued" : { "date-parts" : [ [ "2015" ] ] }, "page" : "87-102", "publisher" : "Publicado pelo Programa das Na\u00e7\u00f5es Unidas para o Desenvolvimento, Instituto de Pesquisa Econ\u00f4mica Aplicada, Funda\u00e7\u00e3o Jo\u00e3o Pinheiro", "publisher-place" : "Bras\u00edlia", "title" : "Localizando o desenvolvimento humano: munic\u00edpios pobres multidimensionais no Brasil - 1991-2000-2010", "type" : "chapter" }, "uris" : [ "http://www.mendeley.com/documents/?uuid=2587c214-4137-4d51-87af-9cb0714c28b7" ] } ], "mendeley" : { "formattedCitation" : "&lt;sup&gt;102&lt;/sup&gt;", "plainTextFormattedCitation" : "102", "previouslyFormattedCitation" : "&lt;sup&gt;102&lt;/sup&gt;" }, "properties" : { "noteIndex" : 0 }, "schema" : "https://github.com/citation-style-language/schema/raw/master/csl-citation.json" }</w:instrText>
      </w:r>
      <w:r w:rsidR="00E84B47">
        <w:rPr>
          <w:rFonts w:ascii="Arial" w:hAnsi="Arial" w:cs="Arial"/>
          <w:sz w:val="24"/>
        </w:rPr>
        <w:fldChar w:fldCharType="separate"/>
      </w:r>
      <w:r w:rsidR="00412B48" w:rsidRPr="00412B48">
        <w:rPr>
          <w:rFonts w:ascii="Arial" w:hAnsi="Arial" w:cs="Arial"/>
          <w:noProof/>
          <w:sz w:val="24"/>
          <w:vertAlign w:val="superscript"/>
        </w:rPr>
        <w:t>102</w:t>
      </w:r>
      <w:r w:rsidR="00E84B47">
        <w:rPr>
          <w:rFonts w:ascii="Arial" w:hAnsi="Arial" w:cs="Arial"/>
          <w:sz w:val="24"/>
        </w:rPr>
        <w:fldChar w:fldCharType="end"/>
      </w:r>
      <w:r w:rsidR="00073AA4">
        <w:rPr>
          <w:rFonts w:ascii="Arial" w:hAnsi="Arial" w:cs="Arial"/>
          <w:sz w:val="24"/>
        </w:rPr>
        <w:t>, e a inclusão de indivíduos com idade inferior à mínima para ingresso na série pré-escolar (4 anos)</w:t>
      </w:r>
      <w:r w:rsidR="001B0DAC">
        <w:rPr>
          <w:rFonts w:ascii="Arial" w:hAnsi="Arial" w:cs="Arial"/>
          <w:sz w:val="24"/>
        </w:rPr>
        <w:fldChar w:fldCharType="begin" w:fldLock="1"/>
      </w:r>
      <w:r w:rsidR="00195481">
        <w:rPr>
          <w:rFonts w:ascii="Arial" w:hAnsi="Arial" w:cs="Arial"/>
          <w:sz w:val="24"/>
        </w:rPr>
        <w:instrText>ADDIN CSL_CITATION { "citationItems" : [ { "id" : "ITEM-1", "itemData" : { "id" : "ITEM-1", "issued" : { "date-parts" : [ [ "2012" ] ] }, "page" : "1-7", "publisher" : "Minist\u00e9rio da Educa\u00e7\u00e3o - Conselho Nacional de Educa\u00e7\u00e3o", "publisher-place" : "Brasil", "title" : "Nota t\u00e9cnica de esclarecimento sobre a matr\u00edcula de crian\u00e7as de 4 anos na educa\u00e7\u00e3o infantil e de 6 anos no ensino fundamental de 9 anos", "type" : "legislation" }, "uris" : [ "http://www.mendeley.com/documents/?uuid=aa73fa1b-1121-4dc4-b686-73260c79544f" ] } ], "mendeley" : { "formattedCitation" : "&lt;sup&gt;103&lt;/sup&gt;", "plainTextFormattedCitation" : "103", "previouslyFormattedCitation" : "&lt;sup&gt;103&lt;/sup&gt;" }, "properties" : { "noteIndex" : 0 }, "schema" : "https://github.com/citation-style-language/schema/raw/master/csl-citation.json" }</w:instrText>
      </w:r>
      <w:r w:rsidR="001B0DAC">
        <w:rPr>
          <w:rFonts w:ascii="Arial" w:hAnsi="Arial" w:cs="Arial"/>
          <w:sz w:val="24"/>
        </w:rPr>
        <w:fldChar w:fldCharType="separate"/>
      </w:r>
      <w:r w:rsidR="00412B48" w:rsidRPr="00412B48">
        <w:rPr>
          <w:rFonts w:ascii="Arial" w:hAnsi="Arial" w:cs="Arial"/>
          <w:noProof/>
          <w:sz w:val="24"/>
          <w:vertAlign w:val="superscript"/>
        </w:rPr>
        <w:t>103</w:t>
      </w:r>
      <w:r w:rsidR="001B0DAC">
        <w:rPr>
          <w:rFonts w:ascii="Arial" w:hAnsi="Arial" w:cs="Arial"/>
          <w:sz w:val="24"/>
        </w:rPr>
        <w:fldChar w:fldCharType="end"/>
      </w:r>
      <w:r w:rsidR="00073AA4">
        <w:rPr>
          <w:rFonts w:ascii="Arial" w:hAnsi="Arial" w:cs="Arial"/>
          <w:sz w:val="24"/>
        </w:rPr>
        <w:t xml:space="preserve">, </w:t>
      </w:r>
      <w:r w:rsidR="00C17984">
        <w:rPr>
          <w:rFonts w:ascii="Arial" w:hAnsi="Arial" w:cs="Arial"/>
          <w:sz w:val="24"/>
        </w:rPr>
        <w:t xml:space="preserve">são fatores que </w:t>
      </w:r>
      <w:r w:rsidR="00E46CBB">
        <w:rPr>
          <w:rFonts w:ascii="Arial" w:hAnsi="Arial" w:cs="Arial"/>
          <w:sz w:val="24"/>
        </w:rPr>
        <w:t xml:space="preserve">também </w:t>
      </w:r>
      <w:r w:rsidR="00C17984">
        <w:rPr>
          <w:rFonts w:ascii="Arial" w:hAnsi="Arial" w:cs="Arial"/>
          <w:sz w:val="24"/>
        </w:rPr>
        <w:t>podem ter</w:t>
      </w:r>
      <w:r w:rsidR="00073AA4">
        <w:rPr>
          <w:rFonts w:ascii="Arial" w:hAnsi="Arial" w:cs="Arial"/>
          <w:sz w:val="24"/>
        </w:rPr>
        <w:t xml:space="preserve"> contribuído </w:t>
      </w:r>
      <w:r w:rsidR="00C17984">
        <w:rPr>
          <w:rFonts w:ascii="Arial" w:hAnsi="Arial" w:cs="Arial"/>
          <w:sz w:val="24"/>
        </w:rPr>
        <w:t xml:space="preserve">para a condição de </w:t>
      </w:r>
      <w:r w:rsidR="00E26A6F">
        <w:rPr>
          <w:rFonts w:ascii="Arial" w:hAnsi="Arial" w:cs="Arial"/>
          <w:sz w:val="24"/>
        </w:rPr>
        <w:t>limitação</w:t>
      </w:r>
      <w:r w:rsidR="005E698F">
        <w:rPr>
          <w:rFonts w:ascii="Arial" w:hAnsi="Arial" w:cs="Arial"/>
          <w:sz w:val="24"/>
        </w:rPr>
        <w:t xml:space="preserve"> funcional</w:t>
      </w:r>
      <w:r w:rsidR="00C17984">
        <w:rPr>
          <w:rFonts w:ascii="Arial" w:hAnsi="Arial" w:cs="Arial"/>
          <w:sz w:val="24"/>
        </w:rPr>
        <w:t xml:space="preserve"> desses </w:t>
      </w:r>
      <w:r w:rsidR="00E46CBB">
        <w:rPr>
          <w:rFonts w:ascii="Arial" w:hAnsi="Arial" w:cs="Arial"/>
          <w:sz w:val="24"/>
        </w:rPr>
        <w:t>sujeitos</w:t>
      </w:r>
      <w:r w:rsidR="00C17984">
        <w:rPr>
          <w:rFonts w:ascii="Arial" w:hAnsi="Arial" w:cs="Arial"/>
          <w:sz w:val="24"/>
        </w:rPr>
        <w:t>. Idade mais avançada e frequência regular à escola predispõem a criança à maior aquisição de habilidades motoras</w:t>
      </w:r>
      <w:r w:rsidR="00BE0520">
        <w:rPr>
          <w:rFonts w:ascii="Arial" w:hAnsi="Arial" w:cs="Arial"/>
          <w:sz w:val="24"/>
        </w:rPr>
        <w:t xml:space="preserve"> e cognitivas</w:t>
      </w:r>
      <w:r w:rsidR="00C17984">
        <w:rPr>
          <w:rFonts w:ascii="Arial" w:hAnsi="Arial" w:cs="Arial"/>
          <w:sz w:val="24"/>
        </w:rPr>
        <w:t>.</w:t>
      </w:r>
      <w:r w:rsidR="0097300D">
        <w:rPr>
          <w:rFonts w:ascii="Arial" w:hAnsi="Arial" w:cs="Arial"/>
          <w:sz w:val="24"/>
        </w:rPr>
        <w:t xml:space="preserve"> </w:t>
      </w:r>
      <w:r w:rsidR="001F4B75">
        <w:rPr>
          <w:rFonts w:ascii="Arial" w:hAnsi="Arial" w:cs="Arial"/>
          <w:sz w:val="24"/>
        </w:rPr>
        <w:t xml:space="preserve">Os </w:t>
      </w:r>
      <w:r w:rsidR="0097300D">
        <w:rPr>
          <w:rFonts w:ascii="Arial" w:hAnsi="Arial" w:cs="Arial"/>
          <w:sz w:val="24"/>
        </w:rPr>
        <w:t>sujeito</w:t>
      </w:r>
      <w:r w:rsidR="001F4B75">
        <w:rPr>
          <w:rFonts w:ascii="Arial" w:hAnsi="Arial" w:cs="Arial"/>
          <w:sz w:val="24"/>
        </w:rPr>
        <w:t xml:space="preserve">s deste estudo tinham idade entre </w:t>
      </w:r>
      <w:r w:rsidR="00590B9B">
        <w:rPr>
          <w:rFonts w:ascii="Arial" w:hAnsi="Arial" w:cs="Arial"/>
          <w:sz w:val="24"/>
        </w:rPr>
        <w:t>3</w:t>
      </w:r>
      <w:r w:rsidR="001F4B75">
        <w:rPr>
          <w:rFonts w:ascii="Arial" w:hAnsi="Arial" w:cs="Arial"/>
          <w:sz w:val="24"/>
        </w:rPr>
        <w:t xml:space="preserve"> e 18 anos. Portanto, fisiologicamente, encontra</w:t>
      </w:r>
      <w:r w:rsidR="0097300D">
        <w:rPr>
          <w:rFonts w:ascii="Arial" w:hAnsi="Arial" w:cs="Arial"/>
          <w:sz w:val="24"/>
        </w:rPr>
        <w:t>va</w:t>
      </w:r>
      <w:r w:rsidR="001F4B75">
        <w:rPr>
          <w:rFonts w:ascii="Arial" w:hAnsi="Arial" w:cs="Arial"/>
          <w:sz w:val="24"/>
        </w:rPr>
        <w:t>m-se em diferentes estágios do desenvolvimento motor. Além disso, a não</w:t>
      </w:r>
      <w:r w:rsidR="0097300D">
        <w:rPr>
          <w:rFonts w:ascii="Arial" w:hAnsi="Arial" w:cs="Arial"/>
          <w:sz w:val="24"/>
        </w:rPr>
        <w:t xml:space="preserve"> inserção n</w:t>
      </w:r>
      <w:r w:rsidR="001F4B75">
        <w:rPr>
          <w:rFonts w:ascii="Arial" w:hAnsi="Arial" w:cs="Arial"/>
          <w:sz w:val="24"/>
        </w:rPr>
        <w:t>o contexto escolar</w:t>
      </w:r>
      <w:r w:rsidR="00877C14">
        <w:rPr>
          <w:rFonts w:ascii="Arial" w:hAnsi="Arial" w:cs="Arial"/>
          <w:sz w:val="24"/>
        </w:rPr>
        <w:t>,</w:t>
      </w:r>
      <w:r w:rsidR="001F4B75">
        <w:rPr>
          <w:rFonts w:ascii="Arial" w:hAnsi="Arial" w:cs="Arial"/>
          <w:sz w:val="24"/>
        </w:rPr>
        <w:t xml:space="preserve"> em virtude da idade insuficiente ou pelas restrições</w:t>
      </w:r>
      <w:r w:rsidR="00877C14">
        <w:rPr>
          <w:rFonts w:ascii="Arial" w:hAnsi="Arial" w:cs="Arial"/>
          <w:sz w:val="24"/>
        </w:rPr>
        <w:t xml:space="preserve"> </w:t>
      </w:r>
      <w:r w:rsidR="001F4B75">
        <w:rPr>
          <w:rFonts w:ascii="Arial" w:hAnsi="Arial" w:cs="Arial"/>
          <w:sz w:val="24"/>
        </w:rPr>
        <w:t>secundárias à MPS, pode ter subestimado as pontuações referentes à independência funcional e a QVRS.</w:t>
      </w:r>
    </w:p>
    <w:p w:rsidR="001F4B75" w:rsidRPr="00D62E26" w:rsidRDefault="001F4B75" w:rsidP="00F03F60">
      <w:pPr>
        <w:tabs>
          <w:tab w:val="left" w:pos="1418"/>
          <w:tab w:val="left" w:pos="1560"/>
        </w:tabs>
        <w:spacing w:after="0" w:line="360" w:lineRule="auto"/>
        <w:jc w:val="both"/>
        <w:rPr>
          <w:rFonts w:ascii="Arial" w:hAnsi="Arial" w:cs="Arial"/>
          <w:sz w:val="24"/>
        </w:rPr>
      </w:pPr>
    </w:p>
    <w:p w:rsidR="001116E3" w:rsidRDefault="001116E3" w:rsidP="00F03F60">
      <w:pPr>
        <w:tabs>
          <w:tab w:val="left" w:pos="1418"/>
          <w:tab w:val="left" w:pos="1560"/>
        </w:tabs>
        <w:spacing w:after="0" w:line="360" w:lineRule="auto"/>
        <w:jc w:val="both"/>
        <w:rPr>
          <w:rFonts w:ascii="Arial" w:hAnsi="Arial" w:cs="Arial"/>
          <w:sz w:val="24"/>
        </w:rPr>
      </w:pPr>
      <w:r>
        <w:rPr>
          <w:rFonts w:ascii="Arial" w:hAnsi="Arial" w:cs="Arial"/>
          <w:sz w:val="24"/>
        </w:rPr>
        <w:t xml:space="preserve">Era esperado que </w:t>
      </w:r>
      <w:r w:rsidR="009F44CE">
        <w:rPr>
          <w:rFonts w:ascii="Arial" w:hAnsi="Arial" w:cs="Arial"/>
          <w:sz w:val="24"/>
        </w:rPr>
        <w:t>simultâneo</w:t>
      </w:r>
      <w:r w:rsidR="005D0B5B">
        <w:rPr>
          <w:rFonts w:ascii="Arial" w:hAnsi="Arial" w:cs="Arial"/>
          <w:sz w:val="24"/>
        </w:rPr>
        <w:t xml:space="preserve"> ao</w:t>
      </w:r>
      <w:r>
        <w:rPr>
          <w:rFonts w:ascii="Arial" w:hAnsi="Arial" w:cs="Arial"/>
          <w:sz w:val="24"/>
        </w:rPr>
        <w:t xml:space="preserve"> aumento da idade ocorresse </w:t>
      </w:r>
      <w:r w:rsidR="00800F16">
        <w:rPr>
          <w:rFonts w:ascii="Arial" w:hAnsi="Arial" w:cs="Arial"/>
          <w:sz w:val="24"/>
        </w:rPr>
        <w:t xml:space="preserve">também </w:t>
      </w:r>
      <w:r>
        <w:rPr>
          <w:rFonts w:ascii="Arial" w:hAnsi="Arial" w:cs="Arial"/>
          <w:sz w:val="24"/>
        </w:rPr>
        <w:t>aumento do</w:t>
      </w:r>
      <w:r w:rsidR="00800F16">
        <w:rPr>
          <w:rFonts w:ascii="Arial" w:hAnsi="Arial" w:cs="Arial"/>
          <w:sz w:val="24"/>
        </w:rPr>
        <w:t>s valores do</w:t>
      </w:r>
      <w:r>
        <w:rPr>
          <w:rFonts w:ascii="Arial" w:hAnsi="Arial" w:cs="Arial"/>
          <w:sz w:val="24"/>
        </w:rPr>
        <w:t xml:space="preserve"> escore total e dos domínios motor e cogni</w:t>
      </w:r>
      <w:r w:rsidR="00B97B6A">
        <w:rPr>
          <w:rFonts w:ascii="Arial" w:hAnsi="Arial" w:cs="Arial"/>
          <w:sz w:val="24"/>
        </w:rPr>
        <w:t>tivo da escala MIF, indicando maior independência para realiza</w:t>
      </w:r>
      <w:r w:rsidR="006535DC">
        <w:rPr>
          <w:rFonts w:ascii="Arial" w:hAnsi="Arial" w:cs="Arial"/>
          <w:sz w:val="24"/>
        </w:rPr>
        <w:t>r</w:t>
      </w:r>
      <w:r w:rsidR="00B97B6A">
        <w:rPr>
          <w:rFonts w:ascii="Arial" w:hAnsi="Arial" w:cs="Arial"/>
          <w:sz w:val="24"/>
        </w:rPr>
        <w:t xml:space="preserve"> atividades </w:t>
      </w:r>
      <w:r w:rsidR="006F11FB">
        <w:rPr>
          <w:rFonts w:ascii="Arial" w:hAnsi="Arial" w:cs="Arial"/>
          <w:sz w:val="24"/>
        </w:rPr>
        <w:t xml:space="preserve">de vida </w:t>
      </w:r>
      <w:r w:rsidR="00B97B6A">
        <w:rPr>
          <w:rFonts w:ascii="Arial" w:hAnsi="Arial" w:cs="Arial"/>
          <w:sz w:val="24"/>
        </w:rPr>
        <w:t>diária.</w:t>
      </w:r>
      <w:r>
        <w:rPr>
          <w:rFonts w:ascii="Arial" w:hAnsi="Arial" w:cs="Arial"/>
          <w:sz w:val="24"/>
        </w:rPr>
        <w:t xml:space="preserve"> No entanto, apesar de </w:t>
      </w:r>
      <w:r w:rsidR="00567347">
        <w:rPr>
          <w:rFonts w:ascii="Arial" w:hAnsi="Arial" w:cs="Arial"/>
          <w:sz w:val="24"/>
        </w:rPr>
        <w:t xml:space="preserve">neste estudo </w:t>
      </w:r>
      <w:r>
        <w:rPr>
          <w:rFonts w:ascii="Arial" w:hAnsi="Arial" w:cs="Arial"/>
          <w:sz w:val="24"/>
        </w:rPr>
        <w:t xml:space="preserve">não ter sido constatada correlação </w:t>
      </w:r>
      <w:r w:rsidR="00E9187A">
        <w:rPr>
          <w:rFonts w:ascii="Arial" w:hAnsi="Arial" w:cs="Arial"/>
          <w:sz w:val="24"/>
        </w:rPr>
        <w:t xml:space="preserve">estatisticamente </w:t>
      </w:r>
      <w:r>
        <w:rPr>
          <w:rFonts w:ascii="Arial" w:hAnsi="Arial" w:cs="Arial"/>
          <w:sz w:val="24"/>
        </w:rPr>
        <w:t>significa</w:t>
      </w:r>
      <w:r w:rsidR="00E9187A">
        <w:rPr>
          <w:rFonts w:ascii="Arial" w:hAnsi="Arial" w:cs="Arial"/>
          <w:sz w:val="24"/>
        </w:rPr>
        <w:t>tiva</w:t>
      </w:r>
      <w:r>
        <w:rPr>
          <w:rFonts w:ascii="Arial" w:hAnsi="Arial" w:cs="Arial"/>
          <w:sz w:val="24"/>
        </w:rPr>
        <w:t xml:space="preserve"> entre a in</w:t>
      </w:r>
      <w:r w:rsidR="00567347">
        <w:rPr>
          <w:rFonts w:ascii="Arial" w:hAnsi="Arial" w:cs="Arial"/>
          <w:sz w:val="24"/>
        </w:rPr>
        <w:t>dependência funcional e a idade,</w:t>
      </w:r>
      <w:r>
        <w:rPr>
          <w:rFonts w:ascii="Arial" w:hAnsi="Arial" w:cs="Arial"/>
          <w:sz w:val="24"/>
        </w:rPr>
        <w:t xml:space="preserve"> a relação en</w:t>
      </w:r>
      <w:r w:rsidR="003271DE">
        <w:rPr>
          <w:rFonts w:ascii="Arial" w:hAnsi="Arial" w:cs="Arial"/>
          <w:sz w:val="24"/>
        </w:rPr>
        <w:t>tre essas variáveis foi inversa;</w:t>
      </w:r>
      <w:r>
        <w:rPr>
          <w:rFonts w:ascii="Arial" w:hAnsi="Arial" w:cs="Arial"/>
          <w:sz w:val="24"/>
        </w:rPr>
        <w:t xml:space="preserve"> com o </w:t>
      </w:r>
      <w:r w:rsidR="005D0B5B">
        <w:rPr>
          <w:rFonts w:ascii="Arial" w:hAnsi="Arial" w:cs="Arial"/>
          <w:sz w:val="24"/>
        </w:rPr>
        <w:t>aument</w:t>
      </w:r>
      <w:r w:rsidR="003A078B">
        <w:rPr>
          <w:rFonts w:ascii="Arial" w:hAnsi="Arial" w:cs="Arial"/>
          <w:sz w:val="24"/>
        </w:rPr>
        <w:t>o da idade ocorreu</w:t>
      </w:r>
      <w:r>
        <w:rPr>
          <w:rFonts w:ascii="Arial" w:hAnsi="Arial" w:cs="Arial"/>
          <w:sz w:val="24"/>
        </w:rPr>
        <w:t xml:space="preserve"> d</w:t>
      </w:r>
      <w:r w:rsidR="005D22F9">
        <w:rPr>
          <w:rFonts w:ascii="Arial" w:hAnsi="Arial" w:cs="Arial"/>
          <w:sz w:val="24"/>
        </w:rPr>
        <w:t>iminuição</w:t>
      </w:r>
      <w:r>
        <w:rPr>
          <w:rFonts w:ascii="Arial" w:hAnsi="Arial" w:cs="Arial"/>
          <w:sz w:val="24"/>
        </w:rPr>
        <w:t xml:space="preserve"> da capacidade funcional </w:t>
      </w:r>
      <w:r w:rsidR="00567347">
        <w:rPr>
          <w:rFonts w:ascii="Arial" w:hAnsi="Arial" w:cs="Arial"/>
          <w:sz w:val="24"/>
        </w:rPr>
        <w:t>d</w:t>
      </w:r>
      <w:r>
        <w:rPr>
          <w:rFonts w:ascii="Arial" w:hAnsi="Arial" w:cs="Arial"/>
          <w:sz w:val="24"/>
        </w:rPr>
        <w:t>os indivíduos.</w:t>
      </w:r>
    </w:p>
    <w:p w:rsidR="00AE6C0B" w:rsidRDefault="00AE6C0B" w:rsidP="00F03F60">
      <w:pPr>
        <w:tabs>
          <w:tab w:val="left" w:pos="1418"/>
          <w:tab w:val="left" w:pos="1560"/>
        </w:tabs>
        <w:spacing w:after="0" w:line="360" w:lineRule="auto"/>
        <w:jc w:val="both"/>
        <w:rPr>
          <w:rFonts w:ascii="Arial" w:hAnsi="Arial" w:cs="Arial"/>
          <w:sz w:val="24"/>
        </w:rPr>
      </w:pPr>
    </w:p>
    <w:p w:rsidR="009B3E92" w:rsidRDefault="009B3E92" w:rsidP="00F03F60">
      <w:pPr>
        <w:tabs>
          <w:tab w:val="left" w:pos="1418"/>
          <w:tab w:val="left" w:pos="1560"/>
        </w:tabs>
        <w:spacing w:after="0" w:line="360" w:lineRule="auto"/>
        <w:jc w:val="both"/>
        <w:rPr>
          <w:rFonts w:ascii="Arial" w:hAnsi="Arial" w:cs="Arial"/>
          <w:sz w:val="24"/>
        </w:rPr>
      </w:pPr>
      <w:r>
        <w:rPr>
          <w:rFonts w:ascii="Arial" w:hAnsi="Arial" w:cs="Arial"/>
          <w:sz w:val="24"/>
        </w:rPr>
        <w:t xml:space="preserve">Em concordância com os resultados desta pesquisa, o estudo </w:t>
      </w:r>
      <w:r w:rsidR="00CF1B9B">
        <w:rPr>
          <w:rFonts w:ascii="Arial" w:hAnsi="Arial" w:cs="Arial"/>
          <w:sz w:val="24"/>
        </w:rPr>
        <w:t xml:space="preserve">realizado </w:t>
      </w:r>
      <w:r w:rsidR="00F232FE">
        <w:rPr>
          <w:rFonts w:ascii="Arial" w:hAnsi="Arial" w:cs="Arial"/>
          <w:sz w:val="24"/>
        </w:rPr>
        <w:t>por Yasuda et al.</w:t>
      </w:r>
      <w:r w:rsidR="00C953C3">
        <w:rPr>
          <w:rFonts w:ascii="Arial" w:hAnsi="Arial" w:cs="Arial"/>
          <w:sz w:val="24"/>
        </w:rPr>
        <w:fldChar w:fldCharType="begin" w:fldLock="1"/>
      </w:r>
      <w:r w:rsidR="005C2E82">
        <w:rPr>
          <w:rFonts w:ascii="Arial" w:hAnsi="Arial" w:cs="Arial"/>
          <w:sz w:val="24"/>
        </w:rPr>
        <w:instrText>ADDIN CSL_CITATION { "citationItems" : [ { "id" : "ITEM-1", "itemData" : { "DOI" : "10.1016/j.ymgme.2016.04.005.Activity", "author" : [ { "dropping-particle" : "", "family" : "Yasuda", "given" : "Eriko", "non-dropping-particle" : "", "parse-names" : false, "suffix" : "" }, { "dropping-particle" : "", "family" : "Suzuki", "given" : "Yasuyuki", "non-dropping-particle" : "", "parse-names" : false, "suffix" : "" }, { "dropping-particle" : "", "family" : "Shimada", "given" : "Tsutomu", "non-dropping-particle" : "", "parse-names" : false, "suffix" : "" }, { "dropping-particle" : "", "family" : "Sawamoto", "given" : "Kazuki", "non-dropping-particle" : "", "parse-names" : false, "suffix" : "" }, { "dropping-particle" : "", "family" : "William", "given" : "G", "non-dropping-particle" : "", "parse-names" : false, "suffix" : "" }, { "dropping-particle" : "", "family" : "Theroux", "given" : "Mary C", "non-dropping-particle" : "", "parse-names" : false, "suffix" : "" }, { "dropping-particle" : "", "family" : "Pizarro", "given" : "Christian", "non-dropping-particle" : "", "parse-names" : false, "suffix" : "" }, { "dropping-particle" : "", "family" : "Xie", "given" : "Li", "non-dropping-particle" : "", "parse-names" : false, "suffix" : "" }, { "dropping-particle" : "", "family" : "Miller", "given" : "Freeman", "non-dropping-particle" : "", "parse-names" : false, "suffix" : "" }, { "dropping-particle" : "", "family" : "Rahman", "given" : "Tariq", "non-dropping-particle" : "", "parse-names" : false, "suffix" : "" }, { "dropping-particle" : "", "family" : "Kecskemethy", "given" : "Heidi H", "non-dropping-particle" : "", "parse-names" : false, "suffix" : "" }, { "dropping-particle" : "", "family" : "Nagao", "given" : "Kyoko", "non-dropping-particle" : "", "parse-names" : false, "suffix" : "" }, { "dropping-particle" : "", "family" : "Morlet", "given" : "Thierry", "non-dropping-particle" : "", "parse-names" : false, "suffix" : "" }, { "dropping-particle" : "", "family" : "Shaffer", "given" : "Thomas H", "non-dropping-particle" : "", "parse-names" : false, "suffix" : "" }, { "dropping-particle" : "", "family" : "Yabe", "given" : "Hiromasa", "non-dropping-particle" : "", "parse-names" : false, "suffix" : "" }, { "dropping-particle" : "", "family" : "Tanaka", "given" : "Akemi", "non-dropping-particle" : "", "parse-names" : false, "suffix" : "" }, { "dropping-particle" : "", "family" : "Shintaku", "given" : "Haruo", "non-dropping-particle" : "", "parse-names" : false, "suffix" : "" }, { "dropping-particle" : "", "family" : "Orii", "given" : "Kenji E", "non-dropping-particle" : "", "parse-names" : false, "suffix" : "" }, { "dropping-particle" : "", "family" : "Orii", "given" : "Koji O", "non-dropping-particle" : "", "parse-names" : false, "suffix" : "" }, { "dropping-particle" : "", "family" : "Mason", "given" : "Robert W", "non-dropping-particle" : "", "parse-names" : false, "suffix" : "" }, { "dropping-particle" : "", "family" : "Fukao", "given" : "Toshiyuki", "non-dropping-particle" : "", "parse-names" : false, "suffix" : "" }, { "dropping-particle" : "", "family" : "Orii", "given" : "Tadao", "non-dropping-particle" : "", "parse-names" : false, "suffix" : "" } ], "container-title" : "Mol Genet Metab", "id" : "ITEM-1", "issue" : "2", "issued" : { "date-parts" : [ [ "2016" ] ] }, "page" : "111-122", "title" : "Activity of daily living for Morquio A syndrome", "type" : "article-journal", "volume" : "118" }, "uris" : [ "http://www.mendeley.com/documents/?uuid=0b22010b-6f58-466a-938c-19b4cc158254" ] } ], "mendeley" : { "formattedCitation" : "&lt;sup&gt;29&lt;/sup&gt;", "plainTextFormattedCitation" : "29", "previouslyFormattedCitation" : "&lt;sup&gt;29&lt;/sup&gt;" }, "properties" : { "noteIndex" : 0 }, "schema" : "https://github.com/citation-style-language/schema/raw/master/csl-citation.json" }</w:instrText>
      </w:r>
      <w:r w:rsidR="00C953C3">
        <w:rPr>
          <w:rFonts w:ascii="Arial" w:hAnsi="Arial" w:cs="Arial"/>
          <w:sz w:val="24"/>
        </w:rPr>
        <w:fldChar w:fldCharType="separate"/>
      </w:r>
      <w:r w:rsidR="001F649C" w:rsidRPr="001F649C">
        <w:rPr>
          <w:rFonts w:ascii="Arial" w:hAnsi="Arial" w:cs="Arial"/>
          <w:noProof/>
          <w:sz w:val="24"/>
          <w:vertAlign w:val="superscript"/>
        </w:rPr>
        <w:t>29</w:t>
      </w:r>
      <w:r w:rsidR="00C953C3">
        <w:rPr>
          <w:rFonts w:ascii="Arial" w:hAnsi="Arial" w:cs="Arial"/>
          <w:sz w:val="24"/>
        </w:rPr>
        <w:fldChar w:fldCharType="end"/>
      </w:r>
      <w:r w:rsidR="00B348C4">
        <w:rPr>
          <w:rFonts w:ascii="Arial" w:hAnsi="Arial" w:cs="Arial"/>
          <w:sz w:val="24"/>
        </w:rPr>
        <w:t>,</w:t>
      </w:r>
      <w:r w:rsidR="00CF1B9B">
        <w:rPr>
          <w:rFonts w:ascii="Arial" w:hAnsi="Arial" w:cs="Arial"/>
          <w:sz w:val="24"/>
        </w:rPr>
        <w:t xml:space="preserve"> </w:t>
      </w:r>
      <w:r w:rsidR="00AE6C0B">
        <w:rPr>
          <w:rFonts w:ascii="Arial" w:hAnsi="Arial" w:cs="Arial"/>
          <w:sz w:val="24"/>
        </w:rPr>
        <w:t>utilizando</w:t>
      </w:r>
      <w:r w:rsidR="00CF1B9B">
        <w:rPr>
          <w:rFonts w:ascii="Arial" w:hAnsi="Arial" w:cs="Arial"/>
          <w:sz w:val="24"/>
        </w:rPr>
        <w:t xml:space="preserve"> um </w:t>
      </w:r>
      <w:r w:rsidR="00B348C4">
        <w:rPr>
          <w:rFonts w:ascii="Arial" w:hAnsi="Arial" w:cs="Arial"/>
          <w:sz w:val="24"/>
        </w:rPr>
        <w:t>questionário</w:t>
      </w:r>
      <w:r w:rsidR="00CF1B9B">
        <w:rPr>
          <w:rFonts w:ascii="Arial" w:hAnsi="Arial" w:cs="Arial"/>
          <w:sz w:val="24"/>
        </w:rPr>
        <w:t xml:space="preserve"> desenvolvido e validado</w:t>
      </w:r>
      <w:r w:rsidR="004474CF">
        <w:rPr>
          <w:rFonts w:ascii="Arial" w:hAnsi="Arial" w:cs="Arial"/>
          <w:sz w:val="24"/>
        </w:rPr>
        <w:fldChar w:fldCharType="begin" w:fldLock="1"/>
      </w:r>
      <w:r w:rsidR="00195481">
        <w:rPr>
          <w:rFonts w:ascii="Arial" w:hAnsi="Arial" w:cs="Arial"/>
          <w:sz w:val="24"/>
        </w:rPr>
        <w:instrText>ADDIN CSL_CITATION { "citationItems" : [ { "id" : "ITEM-1", "itemData" : { "DOI" : "10.1016/j.ymgme.2014.11.002.Activities", "author" : [ { "dropping-particle" : "", "family" : "Tanjuakio", "given" : "J", "non-dropping-particle" : "", "parse-names" : false, "suffix" : "" }, { "dropping-particle" : "", "family" : "Suzuki", "given" : "Y", "non-dropping-particle" : "", "parse-names" : false, "suffix" : "" }, { "dropping-particle" : "", "family" : "Patel", "given" : "P", "non-dropping-particle" : "", "parse-names" : false, "suffix" : "" }, { "dropping-particle" : "", "family" : "Yasuda", "given" : "E", "non-dropping-particle" : "", "parse-names" : false, "suffix" : "" }, { "dropping-particle" : "", "family" : "Kubaski", "given" : "F", "non-dropping-particle" : "", "parse-names" : false, "suffix" : "" }, { "dropping-particle" : "", "family" : "Tanaka", "given" : "A", "non-dropping-particle" : "", "parse-names" : false, "suffix" : "" }, { "dropping-particle" : "", "family" : "Yabe", "given" : "H", "non-dropping-particle" : "", "parse-names" : false, "suffix" : "" }, { "dropping-particle" : "", "family" : "Mason", "given" : "R", "non-dropping-particle" : "", "parse-names" : false, "suffix" : "" }, { "dropping-particle" : "", "family" : "Monta\u00f1o", "given" : "A", "non-dropping-particle" : "", "parse-names" : false, "suffix" : "" }, { "dropping-particle" : "", "family" : "Orii", "given" : "K", "non-dropping-particle" : "", "parse-names" : false, "suffix" : "" }, { "dropping-particle" : "", "family" : "Orii", "given" : "K", "non-dropping-particle" : "", "parse-names" : false, "suffix" : "" }, { "dropping-particle" : "", "family" : "Fukao", "given" : "T", "non-dropping-particle" : "", "parse-names" : false, "suffix" : "" }, { "dropping-particle" : "", "family" : "Orii", "given" : "T", "non-dropping-particle" : "", "parse-names" : false, "suffix" : "" }, { "dropping-particle" : "", "family" : "Tomatsu", "given" : "S", "non-dropping-particle" : "", "parse-names" : false, "suffix" : "" } ], "container-title" : "Mol Genet Metab", "id" : "ITEM-1", "issue" : "2", "issued" : { "date-parts" : [ [ "2015" ] ] }, "page" : "161-169", "title" : "Activities of daily living in patients with Hunter syndrome: impact of enzyme replacement therapy and hematopoietic stem cell transplantation", "type" : "article-journal", "volume" : "114" }, "uris" : [ "http://www.mendeley.com/documents/?uuid=fe12656d-cc5b-450c-8774-bdf02b3cb4ab" ] } ], "mendeley" : { "formattedCitation" : "&lt;sup&gt;104&lt;/sup&gt;", "plainTextFormattedCitation" : "104", "previouslyFormattedCitation" : "&lt;sup&gt;104&lt;/sup&gt;" }, "properties" : { "noteIndex" : 0 }, "schema" : "https://github.com/citation-style-language/schema/raw/master/csl-citation.json" }</w:instrText>
      </w:r>
      <w:r w:rsidR="004474CF">
        <w:rPr>
          <w:rFonts w:ascii="Arial" w:hAnsi="Arial" w:cs="Arial"/>
          <w:sz w:val="24"/>
        </w:rPr>
        <w:fldChar w:fldCharType="separate"/>
      </w:r>
      <w:r w:rsidR="00412B48" w:rsidRPr="00412B48">
        <w:rPr>
          <w:rFonts w:ascii="Arial" w:hAnsi="Arial" w:cs="Arial"/>
          <w:noProof/>
          <w:sz w:val="24"/>
          <w:vertAlign w:val="superscript"/>
        </w:rPr>
        <w:t>104</w:t>
      </w:r>
      <w:r w:rsidR="004474CF">
        <w:rPr>
          <w:rFonts w:ascii="Arial" w:hAnsi="Arial" w:cs="Arial"/>
          <w:sz w:val="24"/>
        </w:rPr>
        <w:fldChar w:fldCharType="end"/>
      </w:r>
      <w:r w:rsidR="00CF1B9B">
        <w:rPr>
          <w:rFonts w:ascii="Arial" w:hAnsi="Arial" w:cs="Arial"/>
          <w:sz w:val="24"/>
        </w:rPr>
        <w:t xml:space="preserve"> </w:t>
      </w:r>
      <w:r w:rsidR="00E26A03">
        <w:rPr>
          <w:rFonts w:ascii="Arial" w:hAnsi="Arial" w:cs="Arial"/>
          <w:sz w:val="24"/>
        </w:rPr>
        <w:t xml:space="preserve">conjuntamente </w:t>
      </w:r>
      <w:r w:rsidR="00CF1B9B">
        <w:rPr>
          <w:rFonts w:ascii="Arial" w:hAnsi="Arial" w:cs="Arial"/>
          <w:sz w:val="24"/>
        </w:rPr>
        <w:t>p</w:t>
      </w:r>
      <w:r w:rsidR="00E26A03">
        <w:rPr>
          <w:rFonts w:ascii="Arial" w:hAnsi="Arial" w:cs="Arial"/>
          <w:sz w:val="24"/>
        </w:rPr>
        <w:t>or estes e outros</w:t>
      </w:r>
      <w:r w:rsidR="00CF1B9B">
        <w:rPr>
          <w:rFonts w:ascii="Arial" w:hAnsi="Arial" w:cs="Arial"/>
          <w:sz w:val="24"/>
        </w:rPr>
        <w:t xml:space="preserve"> autores</w:t>
      </w:r>
      <w:r w:rsidR="00200188">
        <w:rPr>
          <w:rFonts w:ascii="Arial" w:hAnsi="Arial" w:cs="Arial"/>
          <w:sz w:val="24"/>
        </w:rPr>
        <w:t xml:space="preserve"> para avalia</w:t>
      </w:r>
      <w:r w:rsidR="008A51A7">
        <w:rPr>
          <w:rFonts w:ascii="Arial" w:hAnsi="Arial" w:cs="Arial"/>
          <w:sz w:val="24"/>
        </w:rPr>
        <w:t>r a capacidade de realizar AVD</w:t>
      </w:r>
      <w:r w:rsidR="00200188">
        <w:rPr>
          <w:rFonts w:ascii="Arial" w:hAnsi="Arial" w:cs="Arial"/>
          <w:sz w:val="24"/>
        </w:rPr>
        <w:t>,</w:t>
      </w:r>
      <w:r w:rsidR="008A51A7">
        <w:rPr>
          <w:rFonts w:ascii="Arial" w:hAnsi="Arial" w:cs="Arial"/>
          <w:sz w:val="24"/>
        </w:rPr>
        <w:t xml:space="preserve"> mostrou redução desta variável</w:t>
      </w:r>
      <w:r w:rsidR="008341EB">
        <w:rPr>
          <w:rFonts w:ascii="Arial" w:hAnsi="Arial" w:cs="Arial"/>
          <w:sz w:val="24"/>
        </w:rPr>
        <w:t xml:space="preserve"> a partir dos 10 anos de idade</w:t>
      </w:r>
      <w:r>
        <w:rPr>
          <w:rFonts w:ascii="Arial" w:hAnsi="Arial" w:cs="Arial"/>
          <w:sz w:val="24"/>
        </w:rPr>
        <w:t>. À medida que a idade avançou,</w:t>
      </w:r>
      <w:r w:rsidR="007B52C5">
        <w:rPr>
          <w:rFonts w:ascii="Arial" w:hAnsi="Arial" w:cs="Arial"/>
          <w:sz w:val="24"/>
        </w:rPr>
        <w:t xml:space="preserve"> </w:t>
      </w:r>
      <w:r>
        <w:rPr>
          <w:rFonts w:ascii="Arial" w:hAnsi="Arial" w:cs="Arial"/>
          <w:sz w:val="24"/>
        </w:rPr>
        <w:t xml:space="preserve">pacientes </w:t>
      </w:r>
      <w:r w:rsidR="00D5088F">
        <w:rPr>
          <w:rFonts w:ascii="Arial" w:hAnsi="Arial" w:cs="Arial"/>
          <w:sz w:val="24"/>
        </w:rPr>
        <w:t xml:space="preserve">do referido estudo, </w:t>
      </w:r>
      <w:r>
        <w:rPr>
          <w:rFonts w:ascii="Arial" w:hAnsi="Arial" w:cs="Arial"/>
          <w:sz w:val="24"/>
        </w:rPr>
        <w:t>com a forma atenuada de MPS tipo IV</w:t>
      </w:r>
      <w:r w:rsidR="00D5088F">
        <w:rPr>
          <w:rFonts w:ascii="Arial" w:hAnsi="Arial" w:cs="Arial"/>
          <w:sz w:val="24"/>
        </w:rPr>
        <w:t>,</w:t>
      </w:r>
      <w:r>
        <w:rPr>
          <w:rFonts w:ascii="Arial" w:hAnsi="Arial" w:cs="Arial"/>
          <w:sz w:val="24"/>
        </w:rPr>
        <w:t xml:space="preserve"> apresentaram declínio da independência funcional, tanto </w:t>
      </w:r>
      <w:r w:rsidR="008341EB">
        <w:rPr>
          <w:rFonts w:ascii="Arial" w:hAnsi="Arial" w:cs="Arial"/>
          <w:sz w:val="24"/>
        </w:rPr>
        <w:t>n</w:t>
      </w:r>
      <w:r>
        <w:rPr>
          <w:rFonts w:ascii="Arial" w:hAnsi="Arial" w:cs="Arial"/>
          <w:sz w:val="24"/>
        </w:rPr>
        <w:t xml:space="preserve">o escore total quanto </w:t>
      </w:r>
      <w:r w:rsidR="008341EB">
        <w:rPr>
          <w:rFonts w:ascii="Arial" w:hAnsi="Arial" w:cs="Arial"/>
          <w:sz w:val="24"/>
        </w:rPr>
        <w:t>n</w:t>
      </w:r>
      <w:r>
        <w:rPr>
          <w:rFonts w:ascii="Arial" w:hAnsi="Arial" w:cs="Arial"/>
          <w:sz w:val="24"/>
        </w:rPr>
        <w:t>o domínio motor do instrumento aplicado</w:t>
      </w:r>
      <w:r w:rsidR="003225C3">
        <w:rPr>
          <w:rFonts w:ascii="Arial" w:hAnsi="Arial" w:cs="Arial"/>
          <w:sz w:val="24"/>
        </w:rPr>
        <w:t>;</w:t>
      </w:r>
      <w:r w:rsidR="00AD5B64">
        <w:rPr>
          <w:rFonts w:ascii="Arial" w:hAnsi="Arial" w:cs="Arial"/>
          <w:sz w:val="24"/>
        </w:rPr>
        <w:t xml:space="preserve"> </w:t>
      </w:r>
      <w:r w:rsidR="00B209DD">
        <w:rPr>
          <w:rFonts w:ascii="Arial" w:hAnsi="Arial" w:cs="Arial"/>
          <w:sz w:val="24"/>
        </w:rPr>
        <w:t>p</w:t>
      </w:r>
      <w:r>
        <w:rPr>
          <w:rFonts w:ascii="Arial" w:hAnsi="Arial" w:cs="Arial"/>
          <w:sz w:val="24"/>
        </w:rPr>
        <w:t xml:space="preserve">orém, em menor proporção </w:t>
      </w:r>
      <w:r w:rsidR="008341EB">
        <w:rPr>
          <w:rFonts w:ascii="Arial" w:hAnsi="Arial" w:cs="Arial"/>
          <w:sz w:val="24"/>
        </w:rPr>
        <w:t>em relação a</w:t>
      </w:r>
      <w:r>
        <w:rPr>
          <w:rFonts w:ascii="Arial" w:hAnsi="Arial" w:cs="Arial"/>
          <w:sz w:val="24"/>
        </w:rPr>
        <w:t>os pacientes com fenótipo grave</w:t>
      </w:r>
      <w:r w:rsidR="004C6CD9">
        <w:rPr>
          <w:rFonts w:ascii="Arial" w:hAnsi="Arial" w:cs="Arial"/>
          <w:sz w:val="24"/>
        </w:rPr>
        <w:t xml:space="preserve"> da doença</w:t>
      </w:r>
      <w:r>
        <w:rPr>
          <w:rFonts w:ascii="Arial" w:hAnsi="Arial" w:cs="Arial"/>
          <w:sz w:val="24"/>
        </w:rPr>
        <w:t xml:space="preserve">. </w:t>
      </w:r>
      <w:r w:rsidR="00383566">
        <w:rPr>
          <w:rFonts w:ascii="Arial" w:hAnsi="Arial" w:cs="Arial"/>
          <w:sz w:val="24"/>
        </w:rPr>
        <w:t>Comportamento similar</w:t>
      </w:r>
      <w:r>
        <w:rPr>
          <w:rFonts w:ascii="Arial" w:hAnsi="Arial" w:cs="Arial"/>
          <w:sz w:val="24"/>
        </w:rPr>
        <w:t xml:space="preserve"> </w:t>
      </w:r>
      <w:r w:rsidR="00383566">
        <w:rPr>
          <w:rFonts w:ascii="Arial" w:hAnsi="Arial" w:cs="Arial"/>
          <w:sz w:val="24"/>
        </w:rPr>
        <w:t>foi identificado</w:t>
      </w:r>
      <w:r>
        <w:rPr>
          <w:rFonts w:ascii="Arial" w:hAnsi="Arial" w:cs="Arial"/>
          <w:sz w:val="24"/>
        </w:rPr>
        <w:t xml:space="preserve"> no domínio</w:t>
      </w:r>
      <w:r w:rsidR="00A275EA">
        <w:rPr>
          <w:rFonts w:ascii="Arial" w:hAnsi="Arial" w:cs="Arial"/>
          <w:sz w:val="24"/>
        </w:rPr>
        <w:t xml:space="preserve"> </w:t>
      </w:r>
      <w:r>
        <w:rPr>
          <w:rFonts w:ascii="Arial" w:hAnsi="Arial" w:cs="Arial"/>
          <w:sz w:val="24"/>
        </w:rPr>
        <w:t xml:space="preserve">que associava motricidade </w:t>
      </w:r>
      <w:r w:rsidR="00A275EA">
        <w:rPr>
          <w:rFonts w:ascii="Arial" w:hAnsi="Arial" w:cs="Arial"/>
          <w:sz w:val="24"/>
        </w:rPr>
        <w:t xml:space="preserve">a </w:t>
      </w:r>
      <w:r w:rsidR="000E1342">
        <w:rPr>
          <w:rFonts w:ascii="Arial" w:hAnsi="Arial" w:cs="Arial"/>
          <w:sz w:val="24"/>
        </w:rPr>
        <w:t>certo</w:t>
      </w:r>
      <w:r w:rsidR="00A275EA">
        <w:rPr>
          <w:rFonts w:ascii="Arial" w:hAnsi="Arial" w:cs="Arial"/>
          <w:sz w:val="24"/>
        </w:rPr>
        <w:t xml:space="preserve"> grau d</w:t>
      </w:r>
      <w:r>
        <w:rPr>
          <w:rFonts w:ascii="Arial" w:hAnsi="Arial" w:cs="Arial"/>
          <w:sz w:val="24"/>
        </w:rPr>
        <w:t>e cognição</w:t>
      </w:r>
      <w:r w:rsidR="001C209D">
        <w:rPr>
          <w:rFonts w:ascii="Arial" w:hAnsi="Arial" w:cs="Arial"/>
          <w:sz w:val="24"/>
        </w:rPr>
        <w:t xml:space="preserve">, </w:t>
      </w:r>
      <w:r w:rsidR="00810A4F">
        <w:rPr>
          <w:rFonts w:ascii="Arial" w:hAnsi="Arial" w:cs="Arial"/>
          <w:sz w:val="24"/>
        </w:rPr>
        <w:t>referente</w:t>
      </w:r>
      <w:r w:rsidR="001C209D">
        <w:rPr>
          <w:rFonts w:ascii="Arial" w:hAnsi="Arial" w:cs="Arial"/>
          <w:sz w:val="24"/>
        </w:rPr>
        <w:t xml:space="preserve"> à capacidade para realizar atividades </w:t>
      </w:r>
      <w:r w:rsidR="00810A4F">
        <w:rPr>
          <w:rFonts w:ascii="Arial" w:hAnsi="Arial" w:cs="Arial"/>
          <w:sz w:val="24"/>
        </w:rPr>
        <w:t>como</w:t>
      </w:r>
      <w:r w:rsidR="001C209D">
        <w:rPr>
          <w:rFonts w:ascii="Arial" w:hAnsi="Arial" w:cs="Arial"/>
          <w:sz w:val="24"/>
        </w:rPr>
        <w:t xml:space="preserve"> uso do vaso sanitário, vestuário, tomar banho e comer – </w:t>
      </w:r>
      <w:r w:rsidR="000C6191">
        <w:rPr>
          <w:rFonts w:ascii="Arial" w:hAnsi="Arial" w:cs="Arial"/>
          <w:sz w:val="24"/>
        </w:rPr>
        <w:t>semelhan</w:t>
      </w:r>
      <w:r w:rsidR="001C209D">
        <w:rPr>
          <w:rFonts w:ascii="Arial" w:hAnsi="Arial" w:cs="Arial"/>
          <w:sz w:val="24"/>
        </w:rPr>
        <w:t>te</w:t>
      </w:r>
      <w:r>
        <w:rPr>
          <w:rFonts w:ascii="Arial" w:hAnsi="Arial" w:cs="Arial"/>
          <w:sz w:val="24"/>
        </w:rPr>
        <w:t xml:space="preserve"> </w:t>
      </w:r>
      <w:r w:rsidR="001C209D">
        <w:rPr>
          <w:rFonts w:ascii="Arial" w:hAnsi="Arial" w:cs="Arial"/>
          <w:sz w:val="24"/>
        </w:rPr>
        <w:t>ao subdomínio autocuidado da MIF</w:t>
      </w:r>
      <w:r>
        <w:rPr>
          <w:rFonts w:ascii="Arial" w:hAnsi="Arial" w:cs="Arial"/>
          <w:sz w:val="24"/>
        </w:rPr>
        <w:t>.</w:t>
      </w:r>
      <w:r w:rsidR="00C953C3">
        <w:rPr>
          <w:rFonts w:ascii="Arial" w:hAnsi="Arial" w:cs="Arial"/>
          <w:sz w:val="24"/>
        </w:rPr>
        <w:fldChar w:fldCharType="begin" w:fldLock="1"/>
      </w:r>
      <w:r w:rsidR="005C2E82">
        <w:rPr>
          <w:rFonts w:ascii="Arial" w:hAnsi="Arial" w:cs="Arial"/>
          <w:sz w:val="24"/>
        </w:rPr>
        <w:instrText>ADDIN CSL_CITATION { "citationItems" : [ { "id" : "ITEM-1", "itemData" : { "DOI" : "10.1016/j.ymgme.2016.04.005.Activity", "author" : [ { "dropping-particle" : "", "family" : "Yasuda", "given" : "Eriko", "non-dropping-particle" : "", "parse-names" : false, "suffix" : "" }, { "dropping-particle" : "", "family" : "Suzuki", "given" : "Yasuyuki", "non-dropping-particle" : "", "parse-names" : false, "suffix" : "" }, { "dropping-particle" : "", "family" : "Shimada", "given" : "Tsutomu", "non-dropping-particle" : "", "parse-names" : false, "suffix" : "" }, { "dropping-particle" : "", "family" : "Sawamoto", "given" : "Kazuki", "non-dropping-particle" : "", "parse-names" : false, "suffix" : "" }, { "dropping-particle" : "", "family" : "William", "given" : "G", "non-dropping-particle" : "", "parse-names" : false, "suffix" : "" }, { "dropping-particle" : "", "family" : "Theroux", "given" : "Mary C", "non-dropping-particle" : "", "parse-names" : false, "suffix" : "" }, { "dropping-particle" : "", "family" : "Pizarro", "given" : "Christian", "non-dropping-particle" : "", "parse-names" : false, "suffix" : "" }, { "dropping-particle" : "", "family" : "Xie", "given" : "Li", "non-dropping-particle" : "", "parse-names" : false, "suffix" : "" }, { "dropping-particle" : "", "family" : "Miller", "given" : "Freeman", "non-dropping-particle" : "", "parse-names" : false, "suffix" : "" }, { "dropping-particle" : "", "family" : "Rahman", "given" : "Tariq", "non-dropping-particle" : "", "parse-names" : false, "suffix" : "" }, { "dropping-particle" : "", "family" : "Kecskemethy", "given" : "Heidi H", "non-dropping-particle" : "", "parse-names" : false, "suffix" : "" }, { "dropping-particle" : "", "family" : "Nagao", "given" : "Kyoko", "non-dropping-particle" : "", "parse-names" : false, "suffix" : "" }, { "dropping-particle" : "", "family" : "Morlet", "given" : "Thierry", "non-dropping-particle" : "", "parse-names" : false, "suffix" : "" }, { "dropping-particle" : "", "family" : "Shaffer", "given" : "Thomas H", "non-dropping-particle" : "", "parse-names" : false, "suffix" : "" }, { "dropping-particle" : "", "family" : "Yabe", "given" : "Hiromasa", "non-dropping-particle" : "", "parse-names" : false, "suffix" : "" }, { "dropping-particle" : "", "family" : "Tanaka", "given" : "Akemi", "non-dropping-particle" : "", "parse-names" : false, "suffix" : "" }, { "dropping-particle" : "", "family" : "Shintaku", "given" : "Haruo", "non-dropping-particle" : "", "parse-names" : false, "suffix" : "" }, { "dropping-particle" : "", "family" : "Orii", "given" : "Kenji E", "non-dropping-particle" : "", "parse-names" : false, "suffix" : "" }, { "dropping-particle" : "", "family" : "Orii", "given" : "Koji O", "non-dropping-particle" : "", "parse-names" : false, "suffix" : "" }, { "dropping-particle" : "", "family" : "Mason", "given" : "Robert W", "non-dropping-particle" : "", "parse-names" : false, "suffix" : "" }, { "dropping-particle" : "", "family" : "Fukao", "given" : "Toshiyuki", "non-dropping-particle" : "", "parse-names" : false, "suffix" : "" }, { "dropping-particle" : "", "family" : "Orii", "given" : "Tadao", "non-dropping-particle" : "", "parse-names" : false, "suffix" : "" } ], "container-title" : "Mol Genet Metab", "id" : "ITEM-1", "issue" : "2", "issued" : { "date-parts" : [ [ "2016" ] ] }, "page" : "111-122", "title" : "Activity of daily living for Morquio A syndrome", "type" : "article-journal", "volume" : "118" }, "uris" : [ "http://www.mendeley.com/documents/?uuid=0b22010b-6f58-466a-938c-19b4cc158254" ] } ], "mendeley" : { "formattedCitation" : "&lt;sup&gt;29&lt;/sup&gt;", "plainTextFormattedCitation" : "29", "previouslyFormattedCitation" : "&lt;sup&gt;29&lt;/sup&gt;" }, "properties" : { "noteIndex" : 0 }, "schema" : "https://github.com/citation-style-language/schema/raw/master/csl-citation.json" }</w:instrText>
      </w:r>
      <w:r w:rsidR="00C953C3">
        <w:rPr>
          <w:rFonts w:ascii="Arial" w:hAnsi="Arial" w:cs="Arial"/>
          <w:sz w:val="24"/>
        </w:rPr>
        <w:fldChar w:fldCharType="separate"/>
      </w:r>
      <w:r w:rsidR="001F649C" w:rsidRPr="001F649C">
        <w:rPr>
          <w:rFonts w:ascii="Arial" w:hAnsi="Arial" w:cs="Arial"/>
          <w:noProof/>
          <w:sz w:val="24"/>
          <w:vertAlign w:val="superscript"/>
        </w:rPr>
        <w:t>29</w:t>
      </w:r>
      <w:r w:rsidR="00C953C3">
        <w:rPr>
          <w:rFonts w:ascii="Arial" w:hAnsi="Arial" w:cs="Arial"/>
          <w:sz w:val="24"/>
        </w:rPr>
        <w:fldChar w:fldCharType="end"/>
      </w:r>
    </w:p>
    <w:p w:rsidR="00BB0E6F" w:rsidRDefault="00BB0E6F" w:rsidP="00F03F60">
      <w:pPr>
        <w:tabs>
          <w:tab w:val="left" w:pos="1418"/>
          <w:tab w:val="left" w:pos="1560"/>
        </w:tabs>
        <w:spacing w:after="0" w:line="360" w:lineRule="auto"/>
        <w:jc w:val="both"/>
        <w:rPr>
          <w:rFonts w:ascii="Arial" w:hAnsi="Arial" w:cs="Arial"/>
          <w:sz w:val="24"/>
        </w:rPr>
      </w:pPr>
    </w:p>
    <w:p w:rsidR="006D5B91" w:rsidRDefault="006D5B91" w:rsidP="00F03F60">
      <w:pPr>
        <w:tabs>
          <w:tab w:val="left" w:pos="1418"/>
          <w:tab w:val="left" w:pos="1560"/>
        </w:tabs>
        <w:spacing w:after="0" w:line="360" w:lineRule="auto"/>
        <w:jc w:val="both"/>
        <w:rPr>
          <w:rFonts w:ascii="Arial" w:hAnsi="Arial" w:cs="Arial"/>
          <w:sz w:val="24"/>
        </w:rPr>
      </w:pPr>
      <w:r>
        <w:rPr>
          <w:rFonts w:ascii="Arial" w:hAnsi="Arial" w:cs="Arial"/>
          <w:sz w:val="24"/>
        </w:rPr>
        <w:t>A</w:t>
      </w:r>
      <w:r w:rsidR="008A4ACE">
        <w:rPr>
          <w:rFonts w:ascii="Arial" w:hAnsi="Arial" w:cs="Arial"/>
          <w:sz w:val="24"/>
        </w:rPr>
        <w:t>creditamos que a</w:t>
      </w:r>
      <w:r>
        <w:rPr>
          <w:rFonts w:ascii="Arial" w:hAnsi="Arial" w:cs="Arial"/>
          <w:sz w:val="24"/>
        </w:rPr>
        <w:t xml:space="preserve"> justificativa para esses achados provavelmente está relacionada à característica progressiva da doença. </w:t>
      </w:r>
      <w:r w:rsidR="0055072F">
        <w:rPr>
          <w:rFonts w:ascii="Arial" w:hAnsi="Arial" w:cs="Arial"/>
          <w:sz w:val="24"/>
        </w:rPr>
        <w:t>Embora o</w:t>
      </w:r>
      <w:r>
        <w:rPr>
          <w:rFonts w:ascii="Arial" w:hAnsi="Arial" w:cs="Arial"/>
          <w:sz w:val="24"/>
        </w:rPr>
        <w:t>s pacientes com MPS pare</w:t>
      </w:r>
      <w:r w:rsidR="0055072F">
        <w:rPr>
          <w:rFonts w:ascii="Arial" w:hAnsi="Arial" w:cs="Arial"/>
          <w:sz w:val="24"/>
        </w:rPr>
        <w:t>ça</w:t>
      </w:r>
      <w:r>
        <w:rPr>
          <w:rFonts w:ascii="Arial" w:hAnsi="Arial" w:cs="Arial"/>
          <w:sz w:val="24"/>
        </w:rPr>
        <w:t xml:space="preserve">m </w:t>
      </w:r>
      <w:r>
        <w:rPr>
          <w:rFonts w:ascii="Arial" w:hAnsi="Arial" w:cs="Arial"/>
          <w:sz w:val="24"/>
        </w:rPr>
        <w:lastRenderedPageBreak/>
        <w:t>saudáveis ao nascer</w:t>
      </w:r>
      <w:r w:rsidR="0055072F">
        <w:rPr>
          <w:rFonts w:ascii="Arial" w:hAnsi="Arial" w:cs="Arial"/>
          <w:sz w:val="24"/>
        </w:rPr>
        <w:t xml:space="preserve">, </w:t>
      </w:r>
      <w:r w:rsidR="00DE4040">
        <w:rPr>
          <w:rFonts w:ascii="Arial" w:hAnsi="Arial" w:cs="Arial"/>
          <w:sz w:val="24"/>
        </w:rPr>
        <w:t>à</w:t>
      </w:r>
      <w:r w:rsidR="0055072F">
        <w:rPr>
          <w:rFonts w:ascii="Arial" w:hAnsi="Arial" w:cs="Arial"/>
          <w:sz w:val="24"/>
        </w:rPr>
        <w:t xml:space="preserve"> medida que </w:t>
      </w:r>
      <w:r w:rsidR="00870EE1">
        <w:rPr>
          <w:rFonts w:ascii="Arial" w:hAnsi="Arial" w:cs="Arial"/>
          <w:sz w:val="24"/>
        </w:rPr>
        <w:t xml:space="preserve">evoluem quanto </w:t>
      </w:r>
      <w:r w:rsidR="00904EAD">
        <w:rPr>
          <w:rFonts w:ascii="Arial" w:hAnsi="Arial" w:cs="Arial"/>
          <w:sz w:val="24"/>
        </w:rPr>
        <w:t>à</w:t>
      </w:r>
      <w:r w:rsidR="0055072F">
        <w:rPr>
          <w:rFonts w:ascii="Arial" w:hAnsi="Arial" w:cs="Arial"/>
          <w:sz w:val="24"/>
        </w:rPr>
        <w:t xml:space="preserve"> idade, a independência funcional sofre maior deterioração</w:t>
      </w:r>
      <w:r w:rsidR="00BA4AFD">
        <w:rPr>
          <w:rFonts w:ascii="Arial" w:hAnsi="Arial" w:cs="Arial"/>
          <w:sz w:val="24"/>
        </w:rPr>
        <w:t>, pois ocorre maior acúmulo de glicosaminoglicanos, nos diversos sistemas, com o aumento da idade</w:t>
      </w:r>
      <w:r w:rsidR="008A4ACE">
        <w:rPr>
          <w:rFonts w:ascii="Arial" w:hAnsi="Arial" w:cs="Arial"/>
          <w:sz w:val="24"/>
        </w:rPr>
        <w:t>. E</w:t>
      </w:r>
      <w:r w:rsidR="00F60BFB">
        <w:rPr>
          <w:rFonts w:ascii="Arial" w:hAnsi="Arial" w:cs="Arial"/>
          <w:sz w:val="24"/>
        </w:rPr>
        <w:t xml:space="preserve"> o</w:t>
      </w:r>
      <w:r w:rsidR="00890AD5">
        <w:rPr>
          <w:rFonts w:ascii="Arial" w:hAnsi="Arial" w:cs="Arial"/>
          <w:sz w:val="24"/>
        </w:rPr>
        <w:t xml:space="preserve"> quadro</w:t>
      </w:r>
      <w:r w:rsidR="0055072F">
        <w:rPr>
          <w:rFonts w:ascii="Arial" w:hAnsi="Arial" w:cs="Arial"/>
          <w:sz w:val="24"/>
        </w:rPr>
        <w:t xml:space="preserve"> de </w:t>
      </w:r>
      <w:r w:rsidR="00DE4040">
        <w:rPr>
          <w:rFonts w:ascii="Arial" w:hAnsi="Arial" w:cs="Arial"/>
          <w:sz w:val="24"/>
        </w:rPr>
        <w:t>limitação</w:t>
      </w:r>
      <w:r w:rsidR="0055072F">
        <w:rPr>
          <w:rFonts w:ascii="Arial" w:hAnsi="Arial" w:cs="Arial"/>
          <w:sz w:val="24"/>
        </w:rPr>
        <w:t xml:space="preserve"> pode </w:t>
      </w:r>
      <w:r w:rsidR="00DE4040">
        <w:rPr>
          <w:rFonts w:ascii="Arial" w:hAnsi="Arial" w:cs="Arial"/>
          <w:sz w:val="24"/>
        </w:rPr>
        <w:t>inici</w:t>
      </w:r>
      <w:r w:rsidR="0055072F">
        <w:rPr>
          <w:rFonts w:ascii="Arial" w:hAnsi="Arial" w:cs="Arial"/>
          <w:sz w:val="24"/>
        </w:rPr>
        <w:t>ar ainda na</w:t>
      </w:r>
      <w:r w:rsidR="00DD2CA7">
        <w:rPr>
          <w:rFonts w:ascii="Arial" w:hAnsi="Arial" w:cs="Arial"/>
          <w:sz w:val="24"/>
        </w:rPr>
        <w:t xml:space="preserve"> infância</w:t>
      </w:r>
      <w:r w:rsidR="0018021D">
        <w:rPr>
          <w:rFonts w:ascii="Arial" w:hAnsi="Arial" w:cs="Arial"/>
          <w:sz w:val="24"/>
        </w:rPr>
        <w:t xml:space="preserve"> </w:t>
      </w:r>
      <w:r w:rsidR="00DD2CA7">
        <w:rPr>
          <w:rFonts w:ascii="Arial" w:hAnsi="Arial" w:cs="Arial"/>
          <w:sz w:val="24"/>
        </w:rPr>
        <w:t xml:space="preserve">ou na </w:t>
      </w:r>
      <w:r w:rsidR="00501674">
        <w:rPr>
          <w:rFonts w:ascii="Arial" w:hAnsi="Arial" w:cs="Arial"/>
          <w:sz w:val="24"/>
        </w:rPr>
        <w:t>adolescência.</w:t>
      </w:r>
      <w:r w:rsidR="00C953C3">
        <w:rPr>
          <w:rFonts w:ascii="Arial" w:hAnsi="Arial" w:cs="Arial"/>
          <w:sz w:val="24"/>
        </w:rPr>
        <w:fldChar w:fldCharType="begin" w:fldLock="1"/>
      </w:r>
      <w:r w:rsidR="00195481">
        <w:rPr>
          <w:rFonts w:ascii="Arial" w:hAnsi="Arial" w:cs="Arial"/>
          <w:sz w:val="24"/>
        </w:rPr>
        <w:instrText>ADDIN CSL_CITATION { "citationItems" : [ { "id" : "ITEM-1", "itemData" : { "DOI" : "10.1186/1750-1172-8-101", "ISBN" : "1750-1172", "ISSN" : "1750-1172", "PMID" : "23837440", "abstract" : "BACKGROUND: Hunter syndrome (mucopolysaccharidosis type II (MPS II)) is a rare metabolic disease that can severely compromise health, well-being and life expectancy. Little evidence has been published on the impact of MPS II on health-related quality of life (HRQL). The objective of this study was to describe this impact using the Hunter Syndrome-Functional Outcomes for Clinical Understanding Scale (HS-FOCUS) questionnaire and a range of standard validated questionnaires previously used in paediatric populations.\\n\\nMETHODS: Clinical and demographic characteristics collected in a clinical trial and responses to four HRQL questionnaires completed both by patients and parents prior to enzyme replacement treatment were used. The association between questionnaire scores and clinical function parameters were tested using Spearman rank-order correlations. Results were compared to scores in other paediatric populations with chronic conditions obtained through a targeted literature search of published studies.\\n\\nRESULTS: Overall, 96 male patients with MPS II and their parents were enrolled in the trial. All parents completed the questionnaires and 53 patients above 12 years old also completed the self-reported versions. Parents' and patients' responses were analysed separately and results were very similar. Dysfunction according to the HS-FOCUS and the CHAQ was most pronounced in the physical function domains. Very low scores were reported in the Self Esteem and Family Cohesion domains in the CHQ and HUI3 disutility values indicated a moderate impact. Scores reported by patients and their parents were consistently lower than scores in the other paediatric populations identified (except the parent-reported Behaviour score); and considerably lower than normative values.\\n\\nCONCLUSIONS: This study describes the impact on HRQL in patients with MPS II and provides a broader context by comparing it with that of other chronic paediatric diseases. Physical function and the ability to perform day-to-day activities were the most affected areas and a considerable impact on the psychological aspects of patients' HRQL was also found, with a higher level of impairment across most dimensions (particularly Pain and Self Esteem) than that of other paediatric populations. Such humanistic data provide increasingly important support for establishing priorities for health care spending, and as a component of health economic analysis.", "author" : [ { "dropping-particle" : "", "family" : "Raluy-Callado", "given" : "Mireia", "non-dropping-particle" : "", "parse-names" : false, "suffix" : "" }, { "dropping-particle" : "", "family" : "Chen", "given" : "Wen-Hung", "non-dropping-particle" : "", "parse-names" : false, "suffix" : "" }, { "dropping-particle" : "", "family" : "Whiteman", "given" : "David a H", "non-dropping-particle" : "", "parse-names" : false, "suffix" : "" }, { "dropping-particle" : "", "family" : "Fang", "given" : "Juanzhi", "non-dropping-particle" : "", "parse-names" : false, "suffix" : "" }, { "dropping-particle" : "", "family" : "Wiklund", "given" : "Ingela", "non-dropping-particle" : "", "parse-names" : false, "suffix" : "" } ], "container-title" : "Orphanet Journal of Rare Diseases", "id" : "ITEM-1", "issue" : "101", "issued" : { "date-parts" : [ [ "2013" ] ] }, "publisher" : "Orphanet Journal of Rare Diseases", "title" : "The impact of Hunter syndrome (mucopolysaccharidosis type II) on health-related quality of life.", "type" : "article-journal", "volume" : "8" }, "uris" : [ "http://www.mendeley.com/documents/?uuid=0092e141-8b95-48ae-ab0b-7e5198e42752" ] } ], "mendeley" : { "formattedCitation" : "&lt;sup&gt;105&lt;/sup&gt;", "plainTextFormattedCitation" : "105", "previouslyFormattedCitation" : "&lt;sup&gt;105&lt;/sup&gt;" }, "properties" : { "noteIndex" : 0 }, "schema" : "https://github.com/citation-style-language/schema/raw/master/csl-citation.json" }</w:instrText>
      </w:r>
      <w:r w:rsidR="00C953C3">
        <w:rPr>
          <w:rFonts w:ascii="Arial" w:hAnsi="Arial" w:cs="Arial"/>
          <w:sz w:val="24"/>
        </w:rPr>
        <w:fldChar w:fldCharType="separate"/>
      </w:r>
      <w:r w:rsidR="00412B48" w:rsidRPr="00412B48">
        <w:rPr>
          <w:rFonts w:ascii="Arial" w:hAnsi="Arial" w:cs="Arial"/>
          <w:noProof/>
          <w:sz w:val="24"/>
          <w:vertAlign w:val="superscript"/>
        </w:rPr>
        <w:t>105</w:t>
      </w:r>
      <w:r w:rsidR="00C953C3">
        <w:rPr>
          <w:rFonts w:ascii="Arial" w:hAnsi="Arial" w:cs="Arial"/>
          <w:sz w:val="24"/>
        </w:rPr>
        <w:fldChar w:fldCharType="end"/>
      </w:r>
    </w:p>
    <w:p w:rsidR="00AF151D" w:rsidRDefault="00AF151D" w:rsidP="00F03F60">
      <w:pPr>
        <w:tabs>
          <w:tab w:val="left" w:pos="1418"/>
          <w:tab w:val="left" w:pos="1560"/>
        </w:tabs>
        <w:spacing w:after="0" w:line="360" w:lineRule="auto"/>
        <w:jc w:val="both"/>
        <w:rPr>
          <w:rFonts w:ascii="Arial" w:hAnsi="Arial" w:cs="Arial"/>
          <w:sz w:val="24"/>
        </w:rPr>
      </w:pPr>
    </w:p>
    <w:p w:rsidR="00D5088F" w:rsidRDefault="00F67CD3" w:rsidP="00F03F60">
      <w:pPr>
        <w:tabs>
          <w:tab w:val="left" w:pos="1418"/>
          <w:tab w:val="left" w:pos="1560"/>
        </w:tabs>
        <w:spacing w:after="0" w:line="360" w:lineRule="auto"/>
        <w:jc w:val="both"/>
        <w:rPr>
          <w:rFonts w:ascii="Arial" w:hAnsi="Arial" w:cs="Arial"/>
          <w:sz w:val="24"/>
        </w:rPr>
      </w:pPr>
      <w:r>
        <w:rPr>
          <w:rFonts w:ascii="Arial" w:hAnsi="Arial" w:cs="Arial"/>
          <w:sz w:val="24"/>
        </w:rPr>
        <w:t>A</w:t>
      </w:r>
      <w:r w:rsidR="00467D22">
        <w:rPr>
          <w:rFonts w:ascii="Arial" w:hAnsi="Arial" w:cs="Arial"/>
          <w:sz w:val="24"/>
        </w:rPr>
        <w:t xml:space="preserve"> condição </w:t>
      </w:r>
      <w:r w:rsidR="00773ADC">
        <w:rPr>
          <w:rFonts w:ascii="Arial" w:hAnsi="Arial" w:cs="Arial"/>
          <w:sz w:val="24"/>
        </w:rPr>
        <w:t xml:space="preserve">cognitiva </w:t>
      </w:r>
      <w:r w:rsidR="009D4EB8">
        <w:rPr>
          <w:rFonts w:ascii="Arial" w:hAnsi="Arial" w:cs="Arial"/>
          <w:sz w:val="24"/>
        </w:rPr>
        <w:t xml:space="preserve">é </w:t>
      </w:r>
      <w:r w:rsidR="00773ADC">
        <w:rPr>
          <w:rFonts w:ascii="Arial" w:hAnsi="Arial" w:cs="Arial"/>
          <w:sz w:val="24"/>
        </w:rPr>
        <w:t>outro</w:t>
      </w:r>
      <w:r w:rsidR="009D4EB8">
        <w:rPr>
          <w:rFonts w:ascii="Arial" w:hAnsi="Arial" w:cs="Arial"/>
          <w:sz w:val="24"/>
        </w:rPr>
        <w:t xml:space="preserve"> fator que </w:t>
      </w:r>
      <w:r w:rsidR="00467D22">
        <w:rPr>
          <w:rFonts w:ascii="Arial" w:hAnsi="Arial" w:cs="Arial"/>
          <w:sz w:val="24"/>
        </w:rPr>
        <w:t>interfer</w:t>
      </w:r>
      <w:r w:rsidR="009D4EB8">
        <w:rPr>
          <w:rFonts w:ascii="Arial" w:hAnsi="Arial" w:cs="Arial"/>
          <w:sz w:val="24"/>
        </w:rPr>
        <w:t>e</w:t>
      </w:r>
      <w:r w:rsidR="00467D22">
        <w:rPr>
          <w:rFonts w:ascii="Arial" w:hAnsi="Arial" w:cs="Arial"/>
          <w:sz w:val="24"/>
        </w:rPr>
        <w:t xml:space="preserve"> </w:t>
      </w:r>
      <w:r w:rsidR="00985898">
        <w:rPr>
          <w:rFonts w:ascii="Arial" w:hAnsi="Arial" w:cs="Arial"/>
          <w:sz w:val="24"/>
        </w:rPr>
        <w:t>no desempenho</w:t>
      </w:r>
      <w:r w:rsidR="006C449D">
        <w:rPr>
          <w:rFonts w:ascii="Arial" w:hAnsi="Arial" w:cs="Arial"/>
          <w:sz w:val="24"/>
        </w:rPr>
        <w:t xml:space="preserve"> funcional</w:t>
      </w:r>
      <w:r w:rsidR="00467D22">
        <w:rPr>
          <w:rFonts w:ascii="Arial" w:hAnsi="Arial" w:cs="Arial"/>
          <w:sz w:val="24"/>
        </w:rPr>
        <w:t xml:space="preserve"> </w:t>
      </w:r>
      <w:r w:rsidR="00D61B43">
        <w:rPr>
          <w:rFonts w:ascii="Arial" w:hAnsi="Arial" w:cs="Arial"/>
          <w:sz w:val="24"/>
        </w:rPr>
        <w:t xml:space="preserve">e, consequentemente, na independência para </w:t>
      </w:r>
      <w:r w:rsidR="006B52F9">
        <w:rPr>
          <w:rFonts w:ascii="Arial" w:hAnsi="Arial" w:cs="Arial"/>
          <w:sz w:val="24"/>
        </w:rPr>
        <w:t>executar</w:t>
      </w:r>
      <w:r w:rsidR="00095391">
        <w:rPr>
          <w:rFonts w:ascii="Arial" w:hAnsi="Arial" w:cs="Arial"/>
          <w:sz w:val="24"/>
        </w:rPr>
        <w:t xml:space="preserve"> AVD, p</w:t>
      </w:r>
      <w:r w:rsidR="006C449D">
        <w:rPr>
          <w:rFonts w:ascii="Arial" w:hAnsi="Arial" w:cs="Arial"/>
          <w:sz w:val="24"/>
        </w:rPr>
        <w:t>ois</w:t>
      </w:r>
      <w:r w:rsidR="008B2503">
        <w:rPr>
          <w:rFonts w:ascii="Arial" w:hAnsi="Arial" w:cs="Arial"/>
          <w:sz w:val="24"/>
        </w:rPr>
        <w:t>,</w:t>
      </w:r>
      <w:r w:rsidR="00A23E33">
        <w:rPr>
          <w:rFonts w:ascii="Arial" w:hAnsi="Arial" w:cs="Arial"/>
          <w:sz w:val="24"/>
        </w:rPr>
        <w:t xml:space="preserve"> a integridade d</w:t>
      </w:r>
      <w:r w:rsidR="009D4EB8">
        <w:rPr>
          <w:rFonts w:ascii="Arial" w:hAnsi="Arial" w:cs="Arial"/>
          <w:sz w:val="24"/>
        </w:rPr>
        <w:t>este</w:t>
      </w:r>
      <w:r w:rsidR="005268A7">
        <w:rPr>
          <w:rFonts w:ascii="Arial" w:hAnsi="Arial" w:cs="Arial"/>
          <w:sz w:val="24"/>
        </w:rPr>
        <w:t xml:space="preserve"> componente </w:t>
      </w:r>
      <w:r w:rsidR="00095391">
        <w:rPr>
          <w:rFonts w:ascii="Arial" w:hAnsi="Arial" w:cs="Arial"/>
          <w:sz w:val="24"/>
        </w:rPr>
        <w:t>refere-se</w:t>
      </w:r>
      <w:r w:rsidR="006C449D">
        <w:rPr>
          <w:rFonts w:ascii="Arial" w:hAnsi="Arial" w:cs="Arial"/>
          <w:sz w:val="24"/>
        </w:rPr>
        <w:t xml:space="preserve"> à compreensão daquilo que deve ser feito </w:t>
      </w:r>
      <w:r w:rsidR="008B2503">
        <w:rPr>
          <w:rFonts w:ascii="Arial" w:hAnsi="Arial" w:cs="Arial"/>
          <w:sz w:val="24"/>
        </w:rPr>
        <w:t xml:space="preserve">diante </w:t>
      </w:r>
      <w:r w:rsidR="00E61D86">
        <w:rPr>
          <w:rFonts w:ascii="Arial" w:hAnsi="Arial" w:cs="Arial"/>
          <w:sz w:val="24"/>
        </w:rPr>
        <w:t xml:space="preserve">de </w:t>
      </w:r>
      <w:r w:rsidR="00637EC2">
        <w:rPr>
          <w:rFonts w:ascii="Arial" w:hAnsi="Arial" w:cs="Arial"/>
          <w:sz w:val="24"/>
        </w:rPr>
        <w:t xml:space="preserve">determinada </w:t>
      </w:r>
      <w:r w:rsidR="008B2503">
        <w:rPr>
          <w:rFonts w:ascii="Arial" w:hAnsi="Arial" w:cs="Arial"/>
          <w:sz w:val="24"/>
        </w:rPr>
        <w:t>tarefa a ser</w:t>
      </w:r>
      <w:r w:rsidR="00637EC2">
        <w:rPr>
          <w:rFonts w:ascii="Arial" w:hAnsi="Arial" w:cs="Arial"/>
          <w:sz w:val="24"/>
        </w:rPr>
        <w:t xml:space="preserve"> desempenhada</w:t>
      </w:r>
      <w:r w:rsidR="008B2503">
        <w:rPr>
          <w:rFonts w:ascii="Arial" w:hAnsi="Arial" w:cs="Arial"/>
          <w:sz w:val="24"/>
        </w:rPr>
        <w:t>.</w:t>
      </w:r>
      <w:r w:rsidR="00EC51EB">
        <w:rPr>
          <w:rFonts w:ascii="Arial" w:hAnsi="Arial" w:cs="Arial"/>
          <w:sz w:val="24"/>
        </w:rPr>
        <w:fldChar w:fldCharType="begin" w:fldLock="1"/>
      </w:r>
      <w:r w:rsidR="00195481">
        <w:rPr>
          <w:rFonts w:ascii="Arial" w:hAnsi="Arial" w:cs="Arial"/>
          <w:sz w:val="24"/>
        </w:rPr>
        <w:instrText>ADDIN CSL_CITATION { "citationItems" : [ { "id" : "ITEM-1", "itemData" : { "DOI" : "http://dx.doi.org/10.4322/0104-4931.ctoAO0799", "author" : [ { "dropping-particle" : "", "family" : "Amaral", "given" : "Ingrid A. B. S.", "non-dropping-particle" : "", "parse-names" : false, "suffix" : "" }, { "dropping-particle" : "", "family" : "Omena Filho", "given" : "Reinaldo L. O.", "non-dropping-particle" : "", "parse-names" : false, "suffix" : "" }, { "dropping-particle" : "", "family" : "Reis Neto", "given" : "Jo\u00e3o A.", "non-dropping-particle" : "", "parse-names" : false, "suffix" : "" }, { "dropping-particle" : "", "family" : "Reis", "given" : "Monique C. S.", "non-dropping-particle" : "", "parse-names" : false, "suffix" : "" } ], "container-title" : "Cad. Bras. Ter. Ocup.", "id" : "ITEM-1", "issue" : "2", "issued" : { "date-parts" : [ [ "2017" ] ] }, "page" : "297-303", "title" : "Avalia\u00e7\u00e3o da capacidade funcional de adolescentes portadores de Mucopolissacaridose do tipo II", "type" : "article-journal", "volume" : "25" }, "uris" : [ "http://www.mendeley.com/documents/?uuid=1bed7e82-ab3e-416c-ad18-94a4a7eac9af" ] } ], "mendeley" : { "formattedCitation" : "&lt;sup&gt;106&lt;/sup&gt;", "plainTextFormattedCitation" : "106", "previouslyFormattedCitation" : "&lt;sup&gt;106&lt;/sup&gt;" }, "properties" : { "noteIndex" : 0 }, "schema" : "https://github.com/citation-style-language/schema/raw/master/csl-citation.json" }</w:instrText>
      </w:r>
      <w:r w:rsidR="00EC51EB">
        <w:rPr>
          <w:rFonts w:ascii="Arial" w:hAnsi="Arial" w:cs="Arial"/>
          <w:sz w:val="24"/>
        </w:rPr>
        <w:fldChar w:fldCharType="separate"/>
      </w:r>
      <w:r w:rsidR="00412B48" w:rsidRPr="00412B48">
        <w:rPr>
          <w:rFonts w:ascii="Arial" w:hAnsi="Arial" w:cs="Arial"/>
          <w:noProof/>
          <w:sz w:val="24"/>
          <w:vertAlign w:val="superscript"/>
        </w:rPr>
        <w:t>106</w:t>
      </w:r>
      <w:r w:rsidR="00EC51EB">
        <w:rPr>
          <w:rFonts w:ascii="Arial" w:hAnsi="Arial" w:cs="Arial"/>
          <w:sz w:val="24"/>
        </w:rPr>
        <w:fldChar w:fldCharType="end"/>
      </w:r>
    </w:p>
    <w:p w:rsidR="00D5088F" w:rsidRDefault="00D5088F" w:rsidP="00F03F60">
      <w:pPr>
        <w:tabs>
          <w:tab w:val="left" w:pos="1418"/>
          <w:tab w:val="left" w:pos="1560"/>
        </w:tabs>
        <w:spacing w:after="0" w:line="360" w:lineRule="auto"/>
        <w:jc w:val="both"/>
        <w:rPr>
          <w:rFonts w:ascii="Arial" w:hAnsi="Arial" w:cs="Arial"/>
          <w:sz w:val="24"/>
        </w:rPr>
      </w:pPr>
    </w:p>
    <w:p w:rsidR="0018021D" w:rsidRDefault="00AA5134" w:rsidP="00F03F60">
      <w:pPr>
        <w:tabs>
          <w:tab w:val="left" w:pos="1418"/>
          <w:tab w:val="left" w:pos="1560"/>
        </w:tabs>
        <w:spacing w:after="0" w:line="360" w:lineRule="auto"/>
        <w:jc w:val="both"/>
        <w:rPr>
          <w:rFonts w:ascii="Arial" w:hAnsi="Arial" w:cs="Arial"/>
          <w:sz w:val="24"/>
        </w:rPr>
      </w:pPr>
      <w:r>
        <w:rPr>
          <w:rFonts w:ascii="Arial" w:hAnsi="Arial" w:cs="Arial"/>
          <w:sz w:val="24"/>
        </w:rPr>
        <w:t>A alteração</w:t>
      </w:r>
      <w:r w:rsidR="009D4EB8">
        <w:rPr>
          <w:rFonts w:ascii="Arial" w:hAnsi="Arial" w:cs="Arial"/>
          <w:sz w:val="24"/>
        </w:rPr>
        <w:t xml:space="preserve"> da função cognitiva é característica marcante </w:t>
      </w:r>
      <w:r w:rsidR="00A471FC">
        <w:rPr>
          <w:rFonts w:ascii="Arial" w:hAnsi="Arial" w:cs="Arial"/>
          <w:sz w:val="24"/>
        </w:rPr>
        <w:t xml:space="preserve">em todas as formas da MPS tipo III e pode </w:t>
      </w:r>
      <w:r w:rsidR="009D4EB8">
        <w:rPr>
          <w:rFonts w:ascii="Arial" w:hAnsi="Arial" w:cs="Arial"/>
          <w:sz w:val="24"/>
        </w:rPr>
        <w:t>ocorrer</w:t>
      </w:r>
      <w:r w:rsidR="00A471FC">
        <w:rPr>
          <w:rFonts w:ascii="Arial" w:hAnsi="Arial" w:cs="Arial"/>
          <w:sz w:val="24"/>
        </w:rPr>
        <w:t xml:space="preserve"> também </w:t>
      </w:r>
      <w:r w:rsidR="009D4EB8">
        <w:rPr>
          <w:rFonts w:ascii="Arial" w:hAnsi="Arial" w:cs="Arial"/>
          <w:sz w:val="24"/>
        </w:rPr>
        <w:t>em pacientes com a</w:t>
      </w:r>
      <w:r w:rsidR="00D5088F">
        <w:rPr>
          <w:rFonts w:ascii="Arial" w:hAnsi="Arial" w:cs="Arial"/>
          <w:sz w:val="24"/>
        </w:rPr>
        <w:t xml:space="preserve"> forma grave da MPS tipo I e II</w:t>
      </w:r>
      <w:r w:rsidR="00AB4C64">
        <w:rPr>
          <w:rFonts w:ascii="Arial" w:hAnsi="Arial" w:cs="Arial"/>
          <w:sz w:val="24"/>
        </w:rPr>
        <w:t xml:space="preserve"> </w:t>
      </w:r>
      <w:r w:rsidR="00E76F8E">
        <w:rPr>
          <w:rFonts w:ascii="Arial" w:hAnsi="Arial" w:cs="Arial"/>
          <w:sz w:val="24"/>
        </w:rPr>
        <w:t xml:space="preserve">e </w:t>
      </w:r>
      <w:r w:rsidR="009D4EB8">
        <w:rPr>
          <w:rFonts w:ascii="Arial" w:hAnsi="Arial" w:cs="Arial"/>
          <w:sz w:val="24"/>
        </w:rPr>
        <w:t>n</w:t>
      </w:r>
      <w:r w:rsidR="00E76F8E">
        <w:rPr>
          <w:rFonts w:ascii="Arial" w:hAnsi="Arial" w:cs="Arial"/>
          <w:sz w:val="24"/>
        </w:rPr>
        <w:t xml:space="preserve">a </w:t>
      </w:r>
      <w:r w:rsidR="00AB4C64">
        <w:rPr>
          <w:rFonts w:ascii="Arial" w:hAnsi="Arial" w:cs="Arial"/>
          <w:sz w:val="24"/>
        </w:rPr>
        <w:t>MPS</w:t>
      </w:r>
      <w:r w:rsidR="009D4EB8">
        <w:rPr>
          <w:rFonts w:ascii="Arial" w:hAnsi="Arial" w:cs="Arial"/>
          <w:sz w:val="24"/>
        </w:rPr>
        <w:t xml:space="preserve"> </w:t>
      </w:r>
      <w:r w:rsidR="00AB4C64">
        <w:rPr>
          <w:rFonts w:ascii="Arial" w:hAnsi="Arial" w:cs="Arial"/>
          <w:sz w:val="24"/>
        </w:rPr>
        <w:t>VII</w:t>
      </w:r>
      <w:r w:rsidR="00EC51EB">
        <w:rPr>
          <w:rFonts w:ascii="Arial" w:hAnsi="Arial" w:cs="Arial"/>
          <w:sz w:val="24"/>
        </w:rPr>
        <w:t>,</w:t>
      </w:r>
      <w:r w:rsidR="00EC51EB">
        <w:rPr>
          <w:rFonts w:ascii="Arial" w:hAnsi="Arial" w:cs="Arial"/>
          <w:sz w:val="24"/>
        </w:rPr>
        <w:fldChar w:fldCharType="begin" w:fldLock="1"/>
      </w:r>
      <w:r w:rsidR="005C2E82">
        <w:rPr>
          <w:rFonts w:ascii="Arial" w:hAnsi="Arial" w:cs="Arial"/>
          <w:sz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"mendeley" : { "formattedCitation" : "&lt;sup&gt;4&lt;/sup&gt;", "plainTextFormattedCitation" : "4", "previouslyFormattedCitation" : "&lt;sup&gt;4&lt;/sup&gt;" }, "properties" : { "noteIndex" : 0 }, "schema" : "https://github.com/citation-style-language/schema/raw/master/csl-citation.json" }</w:instrText>
      </w:r>
      <w:r w:rsidR="00EC51EB">
        <w:rPr>
          <w:rFonts w:ascii="Arial" w:hAnsi="Arial" w:cs="Arial"/>
          <w:sz w:val="24"/>
        </w:rPr>
        <w:fldChar w:fldCharType="separate"/>
      </w:r>
      <w:r w:rsidR="001F649C" w:rsidRPr="001F649C">
        <w:rPr>
          <w:rFonts w:ascii="Arial" w:hAnsi="Arial" w:cs="Arial"/>
          <w:noProof/>
          <w:sz w:val="24"/>
          <w:vertAlign w:val="superscript"/>
        </w:rPr>
        <w:t>4</w:t>
      </w:r>
      <w:r w:rsidR="00EC51EB">
        <w:rPr>
          <w:rFonts w:ascii="Arial" w:hAnsi="Arial" w:cs="Arial"/>
          <w:sz w:val="24"/>
        </w:rPr>
        <w:fldChar w:fldCharType="end"/>
      </w:r>
      <w:r w:rsidR="00AB4C64">
        <w:rPr>
          <w:rFonts w:ascii="Arial" w:hAnsi="Arial" w:cs="Arial"/>
          <w:sz w:val="24"/>
        </w:rPr>
        <w:t xml:space="preserve"> </w:t>
      </w:r>
      <w:r w:rsidR="00323574">
        <w:rPr>
          <w:rFonts w:ascii="Arial" w:hAnsi="Arial" w:cs="Arial"/>
          <w:sz w:val="24"/>
        </w:rPr>
        <w:t>justificando</w:t>
      </w:r>
      <w:r w:rsidR="0057172E">
        <w:rPr>
          <w:rFonts w:ascii="Arial" w:hAnsi="Arial" w:cs="Arial"/>
          <w:sz w:val="24"/>
        </w:rPr>
        <w:t xml:space="preserve"> a </w:t>
      </w:r>
      <w:r w:rsidR="004C4D56">
        <w:rPr>
          <w:rFonts w:ascii="Arial" w:hAnsi="Arial" w:cs="Arial"/>
          <w:sz w:val="24"/>
        </w:rPr>
        <w:t>limita</w:t>
      </w:r>
      <w:r w:rsidR="009D4EB8">
        <w:rPr>
          <w:rFonts w:ascii="Arial" w:hAnsi="Arial" w:cs="Arial"/>
          <w:sz w:val="24"/>
        </w:rPr>
        <w:t xml:space="preserve">ção da </w:t>
      </w:r>
      <w:r w:rsidR="0057172E">
        <w:rPr>
          <w:rFonts w:ascii="Arial" w:hAnsi="Arial" w:cs="Arial"/>
          <w:sz w:val="24"/>
        </w:rPr>
        <w:t>capacidade</w:t>
      </w:r>
      <w:r w:rsidR="00446964">
        <w:rPr>
          <w:rFonts w:ascii="Arial" w:hAnsi="Arial" w:cs="Arial"/>
          <w:sz w:val="24"/>
        </w:rPr>
        <w:t xml:space="preserve"> desses indivíduos</w:t>
      </w:r>
      <w:r w:rsidR="00E76F8E">
        <w:rPr>
          <w:rFonts w:ascii="Arial" w:hAnsi="Arial" w:cs="Arial"/>
          <w:sz w:val="24"/>
        </w:rPr>
        <w:t xml:space="preserve"> </w:t>
      </w:r>
      <w:r w:rsidR="000B2278">
        <w:rPr>
          <w:rFonts w:ascii="Arial" w:hAnsi="Arial" w:cs="Arial"/>
          <w:sz w:val="24"/>
        </w:rPr>
        <w:t>para</w:t>
      </w:r>
      <w:r w:rsidR="00E76F8E">
        <w:rPr>
          <w:rFonts w:ascii="Arial" w:hAnsi="Arial" w:cs="Arial"/>
          <w:sz w:val="24"/>
        </w:rPr>
        <w:t xml:space="preserve"> realiza</w:t>
      </w:r>
      <w:r w:rsidR="004C4D56">
        <w:rPr>
          <w:rFonts w:ascii="Arial" w:hAnsi="Arial" w:cs="Arial"/>
          <w:sz w:val="24"/>
        </w:rPr>
        <w:t>r</w:t>
      </w:r>
      <w:r w:rsidR="00711F42">
        <w:rPr>
          <w:rFonts w:ascii="Arial" w:hAnsi="Arial" w:cs="Arial"/>
          <w:sz w:val="24"/>
        </w:rPr>
        <w:t xml:space="preserve"> suas atividades</w:t>
      </w:r>
      <w:r w:rsidR="007E0621">
        <w:rPr>
          <w:rFonts w:ascii="Arial" w:hAnsi="Arial" w:cs="Arial"/>
          <w:sz w:val="24"/>
        </w:rPr>
        <w:t xml:space="preserve"> diárias</w:t>
      </w:r>
      <w:r w:rsidR="005E28B9">
        <w:rPr>
          <w:rFonts w:ascii="Arial" w:hAnsi="Arial" w:cs="Arial"/>
          <w:sz w:val="24"/>
        </w:rPr>
        <w:t>.</w:t>
      </w:r>
      <w:r w:rsidR="00E26A03">
        <w:rPr>
          <w:rFonts w:ascii="Arial" w:hAnsi="Arial" w:cs="Arial"/>
          <w:sz w:val="24"/>
        </w:rPr>
        <w:t xml:space="preserve"> </w:t>
      </w:r>
      <w:r w:rsidR="00A471FC">
        <w:rPr>
          <w:rFonts w:ascii="Arial" w:hAnsi="Arial" w:cs="Arial"/>
          <w:sz w:val="24"/>
        </w:rPr>
        <w:t xml:space="preserve">Na </w:t>
      </w:r>
      <w:r w:rsidR="00E114CE">
        <w:rPr>
          <w:rFonts w:ascii="Arial" w:hAnsi="Arial" w:cs="Arial"/>
          <w:sz w:val="24"/>
        </w:rPr>
        <w:t>mucopolissacaridose</w:t>
      </w:r>
      <w:r w:rsidR="00A471FC">
        <w:rPr>
          <w:rFonts w:ascii="Arial" w:hAnsi="Arial" w:cs="Arial"/>
          <w:sz w:val="24"/>
        </w:rPr>
        <w:t>, o acúmulo de GAGs no SNC, o d</w:t>
      </w:r>
      <w:r w:rsidR="00E114CE">
        <w:rPr>
          <w:rFonts w:ascii="Arial" w:hAnsi="Arial" w:cs="Arial"/>
          <w:sz w:val="24"/>
        </w:rPr>
        <w:t xml:space="preserve">esenvolvimento </w:t>
      </w:r>
      <w:r w:rsidR="00420142">
        <w:rPr>
          <w:rFonts w:ascii="Arial" w:hAnsi="Arial" w:cs="Arial"/>
          <w:sz w:val="24"/>
        </w:rPr>
        <w:t>de</w:t>
      </w:r>
      <w:r w:rsidR="00E114CE">
        <w:rPr>
          <w:rFonts w:ascii="Arial" w:hAnsi="Arial" w:cs="Arial"/>
          <w:sz w:val="24"/>
        </w:rPr>
        <w:t xml:space="preserve"> hidrocefalia e a presença de </w:t>
      </w:r>
      <w:r w:rsidR="00A471FC">
        <w:rPr>
          <w:rFonts w:ascii="Arial" w:hAnsi="Arial" w:cs="Arial"/>
          <w:sz w:val="24"/>
        </w:rPr>
        <w:t>distúrbios do sono</w:t>
      </w:r>
      <w:r w:rsidR="00367622">
        <w:rPr>
          <w:rFonts w:ascii="Arial" w:hAnsi="Arial" w:cs="Arial"/>
          <w:sz w:val="24"/>
        </w:rPr>
        <w:t xml:space="preserve">, como a </w:t>
      </w:r>
      <w:r w:rsidR="00E114CE">
        <w:rPr>
          <w:rFonts w:ascii="Arial" w:hAnsi="Arial" w:cs="Arial"/>
          <w:sz w:val="24"/>
        </w:rPr>
        <w:t>apnéia obstrutiva</w:t>
      </w:r>
      <w:r w:rsidR="00367622">
        <w:rPr>
          <w:rFonts w:ascii="Arial" w:hAnsi="Arial" w:cs="Arial"/>
          <w:sz w:val="24"/>
        </w:rPr>
        <w:t xml:space="preserve"> e a hipoventilação sustentada</w:t>
      </w:r>
      <w:r w:rsidR="00F62986">
        <w:rPr>
          <w:rFonts w:ascii="Arial" w:hAnsi="Arial" w:cs="Arial"/>
          <w:sz w:val="24"/>
        </w:rPr>
        <w:t>,</w:t>
      </w:r>
      <w:r w:rsidR="00E114CE">
        <w:rPr>
          <w:rFonts w:ascii="Arial" w:hAnsi="Arial" w:cs="Arial"/>
          <w:sz w:val="24"/>
        </w:rPr>
        <w:t xml:space="preserve"> são fatores que podem </w:t>
      </w:r>
      <w:r w:rsidR="00502711">
        <w:rPr>
          <w:rFonts w:ascii="Arial" w:hAnsi="Arial" w:cs="Arial"/>
          <w:sz w:val="24"/>
        </w:rPr>
        <w:t>prejudica</w:t>
      </w:r>
      <w:r w:rsidR="00E114CE">
        <w:rPr>
          <w:rFonts w:ascii="Arial" w:hAnsi="Arial" w:cs="Arial"/>
          <w:sz w:val="24"/>
        </w:rPr>
        <w:t>r a função cerebral e, por conseguinte, o aprendizado cognitivo</w:t>
      </w:r>
      <w:r w:rsidR="00367622">
        <w:rPr>
          <w:rFonts w:ascii="Arial" w:hAnsi="Arial" w:cs="Arial"/>
          <w:sz w:val="24"/>
        </w:rPr>
        <w:t>, trazendo repercussões negativas para o estado funcional dos pacientes.</w:t>
      </w:r>
      <w:r w:rsidR="00FF6361">
        <w:rPr>
          <w:rFonts w:ascii="Arial" w:hAnsi="Arial" w:cs="Arial"/>
          <w:sz w:val="24"/>
        </w:rPr>
        <w:fldChar w:fldCharType="begin" w:fldLock="1"/>
      </w:r>
      <w:r w:rsidR="00195481">
        <w:rPr>
          <w:rFonts w:ascii="Arial" w:hAnsi="Arial" w:cs="Arial"/>
          <w:sz w:val="24"/>
        </w:rPr>
        <w:instrText>ADDIN CSL_CITATION { "citationItems" : [ { "id" : "ITEM-1", "itemData" : { "DOI" : "10.1007/s10545-012-9555-1", "author" : [ { "dropping-particle" : "", "family" : "Berger", "given" : "Kenneth I", "non-dropping-particle" : "", "parse-names" : false, "suffix" : "" }, { "dropping-particle" : "", "family" : "Fagondes", "given" : "Simone C", "non-dropping-particle" : "", "parse-names" : false, "suffix" : "" }, { "dropping-particle" : "", "family" : "Giugliani", "given" : "Roberto", "non-dropping-particle" : "", "parse-names" : false, "suffix" : "" }, { "dropping-particle" : "", "family" : "Hardy", "given" : "Karen A", "non-dropping-particle" : "", "parse-names" : false, "suffix" : "" }, { "dropping-particle" : "", "family" : "Lee", "given" : "Kuo Sheng", "non-dropping-particle" : "", "parse-names" : false, "suffix" : "" }, { "dropping-particle" : "", "family" : "Mcardle", "given" : "Ciar\u00e1n", "non-dropping-particle" : "", "parse-names" : false, "suffix" : "" }, { "dropping-particle" : "", "family" : "Scarpa", "given" : "Maurizio", "non-dropping-particle" : "", "parse-names" : false, "suffix" : "" }, { "dropping-particle" : "", "family" : "Tobin", "given" : "Martin J", "non-dropping-particle" : "", "parse-names" : false, "suffix" : "" }, { "dropping-particle" : "", "family" : "Ward", "given" : "Susan A", "non-dropping-particle" : "", "parse-names" : false, "suffix" : "" }, { "dropping-particle" : "", "family" : "Rapoport", "given" : "David M", "non-dropping-particle" : "", "parse-names" : false, "suffix" : "" } ], "container-title" : "J Inherit Metab Dis", "id" : "ITEM-1", "issued" : { "date-parts" : [ [ "2013" ] ] }, "page" : "201-210", "title" : "Respiratory and sleep disorders in mucopolysaccharidosis", "type" : "article-journal", "volume" : "36" }, "uris" : [ "http://www.mendeley.com/documents/?uuid=6a74844b-90e7-4fa4-b3fb-d02253f8223c" ] } ], "mendeley" : { "formattedCitation" : "&lt;sup&gt;107&lt;/sup&gt;", "plainTextFormattedCitation" : "107", "previouslyFormattedCitation" : "&lt;sup&gt;107&lt;/sup&gt;" }, "properties" : { "noteIndex" : 0 }, "schema" : "https://github.com/citation-style-language/schema/raw/master/csl-citation.json" }</w:instrText>
      </w:r>
      <w:r w:rsidR="00FF6361">
        <w:rPr>
          <w:rFonts w:ascii="Arial" w:hAnsi="Arial" w:cs="Arial"/>
          <w:sz w:val="24"/>
        </w:rPr>
        <w:fldChar w:fldCharType="separate"/>
      </w:r>
      <w:r w:rsidR="00412B48" w:rsidRPr="00412B48">
        <w:rPr>
          <w:rFonts w:ascii="Arial" w:hAnsi="Arial" w:cs="Arial"/>
          <w:noProof/>
          <w:sz w:val="24"/>
          <w:vertAlign w:val="superscript"/>
        </w:rPr>
        <w:t>107</w:t>
      </w:r>
      <w:r w:rsidR="00FF6361">
        <w:rPr>
          <w:rFonts w:ascii="Arial" w:hAnsi="Arial" w:cs="Arial"/>
          <w:sz w:val="24"/>
        </w:rPr>
        <w:fldChar w:fldCharType="end"/>
      </w:r>
      <w:r w:rsidR="0016063C">
        <w:rPr>
          <w:rFonts w:ascii="Arial" w:hAnsi="Arial" w:cs="Arial"/>
          <w:sz w:val="24"/>
        </w:rPr>
        <w:t xml:space="preserve"> </w:t>
      </w:r>
      <w:r w:rsidR="007A121C">
        <w:rPr>
          <w:rFonts w:ascii="Arial" w:hAnsi="Arial" w:cs="Arial"/>
          <w:sz w:val="24"/>
        </w:rPr>
        <w:t xml:space="preserve">Considerando a população geral deste estudo, </w:t>
      </w:r>
      <w:r w:rsidR="0016063C">
        <w:rPr>
          <w:rFonts w:ascii="Arial" w:hAnsi="Arial" w:cs="Arial"/>
          <w:sz w:val="24"/>
        </w:rPr>
        <w:t>foi evidenciado correlação positiva entre a capacidade física da QVRS e o domínio cognitivo da MIF. Porém, uma correlação fraca</w:t>
      </w:r>
      <w:r w:rsidR="007A121C">
        <w:rPr>
          <w:rFonts w:ascii="Arial" w:hAnsi="Arial" w:cs="Arial"/>
          <w:sz w:val="24"/>
        </w:rPr>
        <w:t xml:space="preserve"> – f</w:t>
      </w:r>
      <w:r w:rsidR="0016063C">
        <w:rPr>
          <w:rFonts w:ascii="Arial" w:hAnsi="Arial" w:cs="Arial"/>
          <w:sz w:val="24"/>
        </w:rPr>
        <w:t xml:space="preserve">ator que pode ser atribuído ao </w:t>
      </w:r>
      <w:r w:rsidR="007A121C">
        <w:rPr>
          <w:rFonts w:ascii="Arial" w:hAnsi="Arial" w:cs="Arial"/>
          <w:sz w:val="24"/>
        </w:rPr>
        <w:t xml:space="preserve">pequeno </w:t>
      </w:r>
      <w:r w:rsidR="0016063C">
        <w:rPr>
          <w:rFonts w:ascii="Arial" w:hAnsi="Arial" w:cs="Arial"/>
          <w:sz w:val="24"/>
        </w:rPr>
        <w:t>tamanho amostral.</w:t>
      </w:r>
    </w:p>
    <w:p w:rsidR="0008389C" w:rsidRDefault="0008389C" w:rsidP="00F03F60">
      <w:pPr>
        <w:tabs>
          <w:tab w:val="left" w:pos="1418"/>
          <w:tab w:val="left" w:pos="1560"/>
        </w:tabs>
        <w:spacing w:after="0" w:line="360" w:lineRule="auto"/>
        <w:jc w:val="both"/>
        <w:rPr>
          <w:rFonts w:ascii="Arial" w:hAnsi="Arial" w:cs="Arial"/>
          <w:sz w:val="24"/>
        </w:rPr>
      </w:pPr>
    </w:p>
    <w:p w:rsidR="00F31B0F" w:rsidRPr="008C1FF4" w:rsidRDefault="00F465E6" w:rsidP="00F03F60">
      <w:pPr>
        <w:tabs>
          <w:tab w:val="left" w:pos="1418"/>
          <w:tab w:val="left" w:pos="1560"/>
        </w:tabs>
        <w:spacing w:after="0" w:line="360" w:lineRule="auto"/>
        <w:jc w:val="both"/>
        <w:rPr>
          <w:rFonts w:ascii="Arial" w:hAnsi="Arial" w:cs="Arial"/>
          <w:sz w:val="24"/>
        </w:rPr>
      </w:pPr>
      <w:r>
        <w:rPr>
          <w:rFonts w:ascii="Arial" w:hAnsi="Arial" w:cs="Arial"/>
          <w:sz w:val="24"/>
        </w:rPr>
        <w:t>N</w:t>
      </w:r>
      <w:r w:rsidR="003616F7">
        <w:rPr>
          <w:rFonts w:ascii="Arial" w:hAnsi="Arial" w:cs="Arial"/>
          <w:sz w:val="24"/>
        </w:rPr>
        <w:t>o presente</w:t>
      </w:r>
      <w:r w:rsidR="009B19FB" w:rsidRPr="008C1FF4">
        <w:rPr>
          <w:rFonts w:ascii="Arial" w:hAnsi="Arial" w:cs="Arial"/>
          <w:sz w:val="24"/>
        </w:rPr>
        <w:t xml:space="preserve"> estudo, a frequência reduzida </w:t>
      </w:r>
      <w:r w:rsidR="00F6591C" w:rsidRPr="008C1FF4">
        <w:rPr>
          <w:rFonts w:ascii="Arial" w:hAnsi="Arial" w:cs="Arial"/>
          <w:sz w:val="24"/>
        </w:rPr>
        <w:t xml:space="preserve">para cada tipo de MPS impossibilitou a </w:t>
      </w:r>
      <w:r w:rsidR="009B19FB" w:rsidRPr="008C1FF4">
        <w:rPr>
          <w:rFonts w:ascii="Arial" w:hAnsi="Arial" w:cs="Arial"/>
          <w:sz w:val="24"/>
        </w:rPr>
        <w:t xml:space="preserve">comparação dos valores da MIF e da QVRS entre os diferentes </w:t>
      </w:r>
      <w:r w:rsidR="002903EE">
        <w:rPr>
          <w:rFonts w:ascii="Arial" w:hAnsi="Arial" w:cs="Arial"/>
          <w:sz w:val="24"/>
        </w:rPr>
        <w:t>grupos</w:t>
      </w:r>
      <w:r w:rsidR="00F6591C" w:rsidRPr="008C1FF4">
        <w:rPr>
          <w:rFonts w:ascii="Arial" w:hAnsi="Arial" w:cs="Arial"/>
          <w:sz w:val="24"/>
        </w:rPr>
        <w:t>.</w:t>
      </w:r>
      <w:r w:rsidR="00F31B0F" w:rsidRPr="008C1FF4">
        <w:rPr>
          <w:rFonts w:ascii="Arial" w:hAnsi="Arial" w:cs="Arial"/>
          <w:sz w:val="24"/>
        </w:rPr>
        <w:t xml:space="preserve"> No entanto, a distribuição dos tipos de MPS</w:t>
      </w:r>
      <w:r w:rsidR="00707EBC">
        <w:rPr>
          <w:rFonts w:ascii="Arial" w:hAnsi="Arial" w:cs="Arial"/>
          <w:sz w:val="24"/>
        </w:rPr>
        <w:t>,</w:t>
      </w:r>
      <w:r w:rsidR="00F31B0F" w:rsidRPr="008C1FF4">
        <w:rPr>
          <w:rFonts w:ascii="Arial" w:hAnsi="Arial" w:cs="Arial"/>
          <w:sz w:val="24"/>
        </w:rPr>
        <w:t xml:space="preserve"> </w:t>
      </w:r>
      <w:r w:rsidR="002903EE">
        <w:rPr>
          <w:rFonts w:ascii="Arial" w:hAnsi="Arial" w:cs="Arial"/>
          <w:sz w:val="24"/>
        </w:rPr>
        <w:t>na nossa amostra</w:t>
      </w:r>
      <w:r w:rsidR="00707EBC">
        <w:rPr>
          <w:rFonts w:ascii="Arial" w:hAnsi="Arial" w:cs="Arial"/>
          <w:sz w:val="24"/>
        </w:rPr>
        <w:t>,</w:t>
      </w:r>
      <w:r w:rsidR="002903EE">
        <w:rPr>
          <w:rFonts w:ascii="Arial" w:hAnsi="Arial" w:cs="Arial"/>
          <w:sz w:val="24"/>
        </w:rPr>
        <w:t xml:space="preserve"> revelou maior frequência de MPS VI</w:t>
      </w:r>
      <w:r w:rsidR="008D66FD">
        <w:rPr>
          <w:rFonts w:ascii="Arial" w:hAnsi="Arial" w:cs="Arial"/>
          <w:sz w:val="24"/>
        </w:rPr>
        <w:t xml:space="preserve"> (73,1%)</w:t>
      </w:r>
      <w:r w:rsidR="002903EE">
        <w:rPr>
          <w:rFonts w:ascii="Arial" w:hAnsi="Arial" w:cs="Arial"/>
          <w:sz w:val="24"/>
        </w:rPr>
        <w:t>, contrastando com outros estudos brasileiros</w:t>
      </w:r>
      <w:r w:rsidR="001D4016">
        <w:rPr>
          <w:rFonts w:ascii="Arial" w:hAnsi="Arial" w:cs="Arial"/>
          <w:sz w:val="24"/>
        </w:rPr>
        <w:t xml:space="preserve">, nos quais o tipo II foi </w:t>
      </w:r>
      <w:r w:rsidR="008D66FD">
        <w:rPr>
          <w:rFonts w:ascii="Arial" w:hAnsi="Arial" w:cs="Arial"/>
          <w:sz w:val="24"/>
        </w:rPr>
        <w:t xml:space="preserve">o </w:t>
      </w:r>
      <w:r w:rsidR="001D4016">
        <w:rPr>
          <w:rFonts w:ascii="Arial" w:hAnsi="Arial" w:cs="Arial"/>
          <w:sz w:val="24"/>
        </w:rPr>
        <w:t>mais prevalente</w:t>
      </w:r>
      <w:r w:rsidR="001D4016">
        <w:rPr>
          <w:rFonts w:ascii="Arial" w:hAnsi="Arial" w:cs="Arial"/>
          <w:sz w:val="24"/>
        </w:rPr>
        <w:fldChar w:fldCharType="begin" w:fldLock="1"/>
      </w:r>
      <w:r w:rsidR="00A540C0">
        <w:rPr>
          <w:rFonts w:ascii="Arial" w:hAnsi="Arial" w:cs="Arial"/>
          <w:sz w:val="24"/>
        </w:rPr>
        <w:instrText>ADDIN CSL_CITATION { "citationItems" : [ { "id" : "ITEM-1", "itemData" : { "DOI" : "10.1002/ajmg.a.32320", "ISSN" : "15524825", "PMID" : "18546277", "abstract" : "Mucopolysaccharidoses (MPS) form a group of inherited metabolic disorders characterized by intralysosomal storage of glycosaminoglycans. This study aimed to investigate the path followed by Brazilian patients from birth to diagnosis. An interview was conducted with patient's parents or guardians with subsequent review of patient's medical records. One hundred thirteen patients with MPS were included (MPS I: 18, MPS II: 43, MPS IIIA: 2, MPS IIIB: 3, MPS IIIC: 1, MPS IVA: 15, MPS IVB: 1, MPS VI: 29, MPS VII: 1) from 97 families. Median age at the onset of signs/symptoms was 18 months (MPS I: 18, MPS II: 24, MPS IVA: 8, MPS VI: 8). Skeletal abnormalities (for MPS IVA and MPS VI), joint contractures (for MPS II), and typical facial features (for MPS I) were the most frequently reported first signs/symptoms. Several health professionals were involved in patient's care as of the onset of symptoms until biochemical diagnosis was established. Median age at diagnosis was 76 months (MPS I: 75, MPS II: 95, MPS IVA: 75, MPS VI: 52). Considering the group as a whole, there was a 4.8-year delay between the onset of signs/symptoms and the establishment of the diagnosis. Considering that specific therapies are available for some of these disorders and that early treatment is likely to change more favorably the natural history of the disease, efforts should be made to minimize this delay. We believe that this situation can be improved by measures that both increase awareness of health professionals about MPS and improve access to diagnostic tests.", "author" : [ { "dropping-particle" : "", "family" : "Vieira", "given" : "Taiane", "non-dropping-particle" : "", "parse-names" : false, "suffix" : "" }, { "dropping-particle" : "", "family" : "Schwartz", "given" : "Ida", "non-dropping-particle" : "", "parse-names" : false, "suffix" : "" }, { "dropping-particle" : "", "family" : "Mu\u00f1oz", "given" : "Ver\u00f3nica", "non-dropping-particle" : "", "parse-names" : false, "suffix" : "" }, { "dropping-particle" : "", "family" : "Pinto", "given" : "Louise", "non-dropping-particle" : "", "parse-names" : false, "suffix" : "" }, { "dropping-particle" : "", "family" : "Steiner", "given" : "Carlos", "non-dropping-particle" : "", "parse-names" : false, "suffix" : "" }, { "dropping-particle" : "", "family" : "Ribeiro", "given" : "M\u00e1rcia", "non-dropping-particle" : "", "parse-names" : false, "suffix" : "" }, { "dropping-particle" : "", "family" : "Boy", "given" : "Raquel", "non-dropping-particle" : "", "parse-names" : false, "suffix" : "" }, { "dropping-particle" : "", "family" : "Ferraz", "given" : "Victor", "non-dropping-particle" : "", "parse-names" : false, "suffix" : "" }, { "dropping-particle" : "", "family" : "Paula", "given" : "Ana", "non-dropping-particle" : "De", "parse-names" : false, "suffix" : "" }, { "dropping-particle" : "", "family" : "Kim", "given" : "Chong", "non-dropping-particle" : "", "parse-names" : false, "suffix" : "" }, { "dropping-particle" : "", "family" : "Acosta", "given" : "Angelina", "non-dropping-particle" : "", "parse-names" : false, "suffix" : "" }, { "dropping-particle" : "", "family" : "Giugliani", "given" : "Roberto", "non-dropping-particle" : "", "parse-names" : false, "suffix" : "" } ], "container-title" : "American Journal of Medical Genetics, Part A", "id" : "ITEM-1", "issue" : "13", "issued" : { "date-parts" : [ [ "2008" ] ] }, "page" : "1741-1747", "title" : "Mucopolysaccharidoses in Brazil: What happens from birth to biochemical diagnosis?", "type" : "article-journal", "volume" : "146" }, "uris" : [ "http://www.mendeley.com/documents/?uuid=c95bab34-473d-4850-8b09-2466ed3cf339" ] }, { "id" : "ITEM-2", "itemData" : { "DOI" : "doi:10.2223/JPED.1899 [doi]", "ISBN" : "1678-4782 (Electronic)\\r0021-7557 (Linking)", "ISSN" : "1678-4782; 0021-7557", "PMID" : "19492172", "abstract" : "OBJECTIVES: To characterize the stomatognathic system and stomatognathic functions in patients with mucopolysaccharidosis. METHODS: Cross-sectional and observational study of patients with mucopolysaccharidosis seen at the outpatient clinic at the Medical Genetics Service of Hospital de Clinicas de Porto Alegre. The inclusion criteria were the existence of a biochemical or molecular diagnosis of any type of mucopolysaccharidosis and the agreement to participate in the study by signing an informed consent form. Seventy-eight patients were evaluated through phonoaudiological anamnesis and physical exam. RESULTS: Alterations in at least one item of each structure of the stomatognathic system or stomatognathic function were found in all patients who allowed evaluation of both items on physical examination (n = 76/78). The most frequently compromised structures and functions were respectively the dental arch and the tongue, swallowing and mastication. The only statistically significant difference found between types of mucopolysaccharidosis involved the habitual position of the tongue between the teeth (most frequent in mucopolysaccharidosis VI). Among patients with mucopolysaccharidosis I, II or VI who underwent enzyme replacement therapy or not, there was statistically significant difference in oral breathing mode (more frequent in the group without enzyme replacement therapy). CONCLUSIONS: Alterations in stomatognathic systems and functions are prevalent among individuals with mucopolysaccharidosis, even if enzyme replacement therapy is administered. Such finding suggests that speech therapy follow-up plays a major role in the treatment plan of this group of diseases; this hypothesis should be confirmed by additional studies.", "author" : [ { "dropping-particle" : "", "family" : "Turra", "given" : "G S", "non-dropping-particle" : "", "parse-names" : false, "suffix" : "" }, { "dropping-particle" : "V", "family" : "Schwartz", "given" : "I", "non-dropping-particle" : "", "parse-names" : false, "suffix" : "" } ], "container-title" : "Jornal de pediatria", "id" : "ITEM-2", "issue" : "3", "issued" : { "date-parts" : [ [ "2009" ] ] }, "page" : "254-260", "title" : "Evaluation of orofacial motricity in patients with mucopolysaccharidosis: a cross-sectional study", "type" : "article-journal", "volume" : "85" }, "uris" : [ "http://www.mendeley.com/documents/?uuid=0d9a1d2c-2c43-4cba-b8d5-0b08d3dbbc33" ] } ], "mendeley" : { "formattedCitation" : "&lt;sup&gt;42,59&lt;/sup&gt;", "plainTextFormattedCitation" : "42,59", "previouslyFormattedCitation" : "&lt;sup&gt;42,59&lt;/sup&gt;" }, "properties" : { "noteIndex" : 0 }, "schema" : "https://github.com/citation-style-language/schema/raw/master/csl-citation.json" }</w:instrText>
      </w:r>
      <w:r w:rsidR="001D4016">
        <w:rPr>
          <w:rFonts w:ascii="Arial" w:hAnsi="Arial" w:cs="Arial"/>
          <w:sz w:val="24"/>
        </w:rPr>
        <w:fldChar w:fldCharType="separate"/>
      </w:r>
      <w:r w:rsidR="001D4016" w:rsidRPr="001D4016">
        <w:rPr>
          <w:rFonts w:ascii="Arial" w:hAnsi="Arial" w:cs="Arial"/>
          <w:noProof/>
          <w:sz w:val="24"/>
          <w:vertAlign w:val="superscript"/>
        </w:rPr>
        <w:t>42,59</w:t>
      </w:r>
      <w:r w:rsidR="001D4016">
        <w:rPr>
          <w:rFonts w:ascii="Arial" w:hAnsi="Arial" w:cs="Arial"/>
          <w:sz w:val="24"/>
        </w:rPr>
        <w:fldChar w:fldCharType="end"/>
      </w:r>
      <w:r w:rsidR="001D4016">
        <w:rPr>
          <w:rFonts w:ascii="Arial" w:hAnsi="Arial" w:cs="Arial"/>
          <w:sz w:val="24"/>
        </w:rPr>
        <w:t>. Este fato pode ser creditado à elevada incidência de MPS tipo VI em determinadas regiões do interior do Estado da Bahia</w:t>
      </w:r>
      <w:r w:rsidR="00A77BE1" w:rsidRPr="008C1FF4">
        <w:rPr>
          <w:rFonts w:ascii="Arial" w:hAnsi="Arial" w:cs="Arial"/>
          <w:sz w:val="24"/>
        </w:rPr>
        <w:t>, como é o caso do município de Monte Santo</w:t>
      </w:r>
      <w:r w:rsidR="00940B07" w:rsidRPr="008C1FF4">
        <w:rPr>
          <w:rFonts w:ascii="Arial" w:hAnsi="Arial" w:cs="Arial"/>
          <w:sz w:val="24"/>
        </w:rPr>
        <w:fldChar w:fldCharType="begin" w:fldLock="1"/>
      </w:r>
      <w:r w:rsidR="00E65B95" w:rsidRPr="008C1FF4">
        <w:rPr>
          <w:rFonts w:ascii="Arial" w:hAnsi="Arial" w:cs="Arial"/>
          <w:sz w:val="24"/>
        </w:rPr>
        <w:instrText>ADDIN CSL_CITATION { "citationItems" : [ { "id" : "ITEM-1", "itemData" : { "DOI" : "10.1016/j.ymgme.2011.09.017", "ISBN" : "1096-7192\\r1096-7206", "ISSN" : "10967192", "PMID" : "21996138", "URL" : "http://dx.doi.org/10.1016/j.ymgme.2011.09.017", "abstract" : "Mucopolysaccharidosis type VI (MPS VI, Maroteaux-Lamy syndrome) is a lysosomal storage disease caused by deficiency of arylsulphatase B. The incidence of MPS VI is very low, usually less than 1 case for every 1,000,000 newborns. In Northeast Brazil we identified in the county of Monte Santo (52,360 inhabitants) thirteen patients with MPS VI. The aim of this work was to identify the mutation(s) present in these patients and analyze intragenic SNPs to define possible haplotypes. The 13 MPS VI patients were found to be homozygous for the p.H178L mutation. All patients have the same haplotype for the intragenic SNPs. Based on current data, the prevalence of MPS VI in this region is estimated as 1:5,000 newborns. These results, together with pedigree analysis, strongly suggest a founder effect accounting for the high frequency of p.H178L mutation in this area. This reinforces the need of a comprehensive community genetics program for this area. \u00a9 2011 Elsevier Inc.", "author" : [ { "dropping-particle" : "", "family" : "Costa-Motta", "given" : "Fabiana Moura", "non-dropping-particle" : "", "parse-names" : false, "suffix" : "" }, { "dropping-particle" : "", "family" : "Acosta", "given" : "Angelina Xavier", "non-dropping-particle" : "", "parse-names" : false, "suffix" : "" }, { "dropping-particle" : "", "family" : "Ab\u00e9-Sandes", "given" : "Kiyoko", "non-dropping-particle" : "", "parse-names" : false, "suffix" : "" }, { "dropping-particle" : "", "family" : "Bender", "given" : "Fernanda", "non-dropping-particle" : "", "parse-names" : false, "suffix" : "" }, { "dropping-particle" : "", "family" : "Schwartz", "given" : "Ida Vanessa D", "non-dropping-particle" : "", "parse-names" : false, "suffix" : "" }, { "dropping-particle" : "", "family" : "Giugliani", "given" : "Roberto", "non-dropping-particle" : "", "parse-names" : false, "suffix" : "" }, { "dropping-particle" : "", "family" : "Leistner-Segal", "given" : "Sandra", "non-dropping-particle" : "", "parse-names" : false, "suffix" : "" } ], "container-title" : "Molecular Genetics and Metabolism", "id" : "ITEM-1", "issue" : "4", "issued" : { "date-parts" : [ [ "2011" ] ] }, "page" : "603-607", "publisher" : "Elsevier Inc.", "title" : "Genetic studies in a cluster of Mucopolysaccharidosis Type VI patients in Northeast Brazil", "type" : "webpage", "volume" : "104" }, "uris" : [ "http://www.mendeley.com/documents/?uuid=9a72bec9-1237-4bad-8022-0fcc45438951" ] } ], "mendeley" : { "formattedCitation" : "&lt;sup&gt;38&lt;/sup&gt;", "plainTextFormattedCitation" : "38", "previouslyFormattedCitation" : "&lt;sup&gt;38&lt;/sup&gt;" }, "properties" : { "noteIndex" : 0 }, "schema" : "https://github.com/citation-style-language/schema/raw/master/csl-citation.json" }</w:instrText>
      </w:r>
      <w:r w:rsidR="00940B07" w:rsidRPr="008C1FF4">
        <w:rPr>
          <w:rFonts w:ascii="Arial" w:hAnsi="Arial" w:cs="Arial"/>
          <w:sz w:val="24"/>
        </w:rPr>
        <w:fldChar w:fldCharType="separate"/>
      </w:r>
      <w:r w:rsidR="00940B07" w:rsidRPr="008C1FF4">
        <w:rPr>
          <w:rFonts w:ascii="Arial" w:hAnsi="Arial" w:cs="Arial"/>
          <w:noProof/>
          <w:sz w:val="24"/>
          <w:vertAlign w:val="superscript"/>
        </w:rPr>
        <w:t>38</w:t>
      </w:r>
      <w:r w:rsidR="00940B07" w:rsidRPr="008C1FF4">
        <w:rPr>
          <w:rFonts w:ascii="Arial" w:hAnsi="Arial" w:cs="Arial"/>
          <w:sz w:val="24"/>
        </w:rPr>
        <w:fldChar w:fldCharType="end"/>
      </w:r>
      <w:r w:rsidR="00E40001" w:rsidRPr="008C1FF4">
        <w:rPr>
          <w:rFonts w:ascii="Arial" w:hAnsi="Arial" w:cs="Arial"/>
          <w:sz w:val="24"/>
        </w:rPr>
        <w:t>.</w:t>
      </w:r>
      <w:r w:rsidR="00A77BE1" w:rsidRPr="008C1FF4">
        <w:rPr>
          <w:rFonts w:ascii="Arial" w:hAnsi="Arial" w:cs="Arial"/>
          <w:sz w:val="24"/>
        </w:rPr>
        <w:t xml:space="preserve"> </w:t>
      </w:r>
    </w:p>
    <w:p w:rsidR="00F31B0F" w:rsidRPr="008C1FF4" w:rsidRDefault="00F31B0F" w:rsidP="00F03F60">
      <w:pPr>
        <w:tabs>
          <w:tab w:val="left" w:pos="1418"/>
          <w:tab w:val="left" w:pos="1560"/>
        </w:tabs>
        <w:spacing w:after="0" w:line="360" w:lineRule="auto"/>
        <w:jc w:val="both"/>
        <w:rPr>
          <w:rFonts w:ascii="Arial" w:hAnsi="Arial" w:cs="Arial"/>
          <w:sz w:val="24"/>
        </w:rPr>
      </w:pPr>
    </w:p>
    <w:p w:rsidR="00527A0A" w:rsidRDefault="000C56DE" w:rsidP="00F03F60">
      <w:pPr>
        <w:tabs>
          <w:tab w:val="left" w:pos="1418"/>
          <w:tab w:val="left" w:pos="1560"/>
        </w:tabs>
        <w:spacing w:after="0" w:line="360" w:lineRule="auto"/>
        <w:jc w:val="both"/>
        <w:rPr>
          <w:rFonts w:ascii="Arial" w:hAnsi="Arial" w:cs="Arial"/>
          <w:sz w:val="24"/>
        </w:rPr>
      </w:pPr>
      <w:r w:rsidRPr="008C1FF4">
        <w:rPr>
          <w:rFonts w:ascii="Arial" w:hAnsi="Arial" w:cs="Arial"/>
          <w:sz w:val="24"/>
        </w:rPr>
        <w:t>A apresentação clínica da MPS</w:t>
      </w:r>
      <w:r w:rsidR="00431667" w:rsidRPr="008C1FF4">
        <w:rPr>
          <w:rFonts w:ascii="Arial" w:hAnsi="Arial" w:cs="Arial"/>
          <w:sz w:val="24"/>
        </w:rPr>
        <w:t xml:space="preserve"> VI</w:t>
      </w:r>
      <w:r w:rsidR="00032A49" w:rsidRPr="008C1FF4">
        <w:rPr>
          <w:rFonts w:ascii="Arial" w:hAnsi="Arial" w:cs="Arial"/>
          <w:sz w:val="24"/>
        </w:rPr>
        <w:t>, assim como dos demais tipos,</w:t>
      </w:r>
      <w:r w:rsidR="00431667" w:rsidRPr="008C1FF4">
        <w:rPr>
          <w:rFonts w:ascii="Arial" w:hAnsi="Arial" w:cs="Arial"/>
          <w:sz w:val="24"/>
        </w:rPr>
        <w:t xml:space="preserve"> varia em relação à idade </w:t>
      </w:r>
      <w:r w:rsidR="00762BC2">
        <w:rPr>
          <w:rFonts w:ascii="Arial" w:hAnsi="Arial" w:cs="Arial"/>
          <w:sz w:val="24"/>
        </w:rPr>
        <w:t>do indiv</w:t>
      </w:r>
      <w:r w:rsidR="00BD1170">
        <w:rPr>
          <w:rFonts w:ascii="Arial" w:hAnsi="Arial" w:cs="Arial"/>
          <w:sz w:val="24"/>
        </w:rPr>
        <w:t>íduo</w:t>
      </w:r>
      <w:r w:rsidR="00762BC2">
        <w:rPr>
          <w:rFonts w:ascii="Arial" w:hAnsi="Arial" w:cs="Arial"/>
          <w:sz w:val="24"/>
        </w:rPr>
        <w:t xml:space="preserve"> no </w:t>
      </w:r>
      <w:r w:rsidR="00431667" w:rsidRPr="008C1FF4">
        <w:rPr>
          <w:rFonts w:ascii="Arial" w:hAnsi="Arial" w:cs="Arial"/>
          <w:sz w:val="24"/>
        </w:rPr>
        <w:t>início dos sintomas e à progressão da do</w:t>
      </w:r>
      <w:r w:rsidR="00032A49" w:rsidRPr="008C1FF4">
        <w:rPr>
          <w:rFonts w:ascii="Arial" w:hAnsi="Arial" w:cs="Arial"/>
          <w:sz w:val="24"/>
        </w:rPr>
        <w:t>ença</w:t>
      </w:r>
      <w:r w:rsidR="00D10EE8">
        <w:rPr>
          <w:rFonts w:ascii="Arial" w:hAnsi="Arial" w:cs="Arial"/>
          <w:sz w:val="24"/>
        </w:rPr>
        <w:t>; e pode</w:t>
      </w:r>
      <w:r w:rsidR="00032A49" w:rsidRPr="008C1FF4">
        <w:rPr>
          <w:rFonts w:ascii="Arial" w:hAnsi="Arial" w:cs="Arial"/>
          <w:sz w:val="24"/>
        </w:rPr>
        <w:t xml:space="preserve"> estar associada a</w:t>
      </w:r>
      <w:r w:rsidR="00431667" w:rsidRPr="008C1FF4">
        <w:rPr>
          <w:rFonts w:ascii="Arial" w:hAnsi="Arial" w:cs="Arial"/>
          <w:sz w:val="24"/>
        </w:rPr>
        <w:t xml:space="preserve"> um curso clínico avançado</w:t>
      </w:r>
      <w:r w:rsidR="00F40F8D" w:rsidRPr="008C1FF4">
        <w:rPr>
          <w:rFonts w:ascii="Arial" w:hAnsi="Arial" w:cs="Arial"/>
          <w:sz w:val="24"/>
        </w:rPr>
        <w:t xml:space="preserve"> </w:t>
      </w:r>
      <w:r w:rsidR="00431667" w:rsidRPr="008C1FF4">
        <w:rPr>
          <w:rFonts w:ascii="Arial" w:hAnsi="Arial" w:cs="Arial"/>
          <w:sz w:val="24"/>
        </w:rPr>
        <w:t>ou atenuado.</w:t>
      </w:r>
      <w:r w:rsidR="0037315E" w:rsidRPr="008C1FF4">
        <w:rPr>
          <w:rFonts w:ascii="Arial" w:hAnsi="Arial" w:cs="Arial"/>
          <w:sz w:val="24"/>
        </w:rPr>
        <w:fldChar w:fldCharType="begin" w:fldLock="1"/>
      </w:r>
      <w:r w:rsidR="0069257C" w:rsidRPr="008C1FF4">
        <w:rPr>
          <w:rFonts w:ascii="Arial" w:hAnsi="Arial" w:cs="Arial"/>
          <w:sz w:val="24"/>
        </w:rPr>
        <w:instrText>ADDIN CSL_CITATION { "citationItems" : [ { "id" : "ITEM-1", "itemData" : { "author" : [ { "dropping-particle" : "", "family" : "Valayannopoulos V, Nicely H, Paul Harmatz P", "given" : "Turbeville S", "non-dropping-particle" : "", "parse-names" : false, "suffix" : "" } ], "container-title" : "Orphanet Journal of Rare Diseases", "id" : "ITEM-1", "issue" : "5", "issued" : { "date-parts" : [ [ "2010" ] ] }, "title" : "Mucopolysaccharidosis VI", "type" : "article-journal", "volume" : "5" }, "uris" : [ "http://www.mendeley.com/documents/?uuid=b6acff33-37c2-4f0b-a1fa-dc9a5fcfccf5" ] } ], "mendeley" : { "formattedCitation" : "&lt;sup&gt;20&lt;/sup&gt;", "plainTextFormattedCitation" : "20", "previouslyFormattedCitation" : "&lt;sup&gt;20&lt;/sup&gt;" }, "properties" : { "noteIndex" : 0 }, "schema" : "https://github.com/citation-style-language/schema/raw/master/csl-citation.json" }</w:instrText>
      </w:r>
      <w:r w:rsidR="0037315E" w:rsidRPr="008C1FF4">
        <w:rPr>
          <w:rFonts w:ascii="Arial" w:hAnsi="Arial" w:cs="Arial"/>
          <w:sz w:val="24"/>
        </w:rPr>
        <w:fldChar w:fldCharType="separate"/>
      </w:r>
      <w:r w:rsidR="0037315E" w:rsidRPr="008C1FF4">
        <w:rPr>
          <w:rFonts w:ascii="Arial" w:hAnsi="Arial" w:cs="Arial"/>
          <w:noProof/>
          <w:sz w:val="24"/>
          <w:vertAlign w:val="superscript"/>
        </w:rPr>
        <w:t>20</w:t>
      </w:r>
      <w:r w:rsidR="0037315E" w:rsidRPr="008C1FF4">
        <w:rPr>
          <w:rFonts w:ascii="Arial" w:hAnsi="Arial" w:cs="Arial"/>
          <w:sz w:val="24"/>
        </w:rPr>
        <w:fldChar w:fldCharType="end"/>
      </w:r>
      <w:r w:rsidR="008202E0" w:rsidRPr="008C1FF4">
        <w:rPr>
          <w:rFonts w:ascii="Arial" w:hAnsi="Arial" w:cs="Arial"/>
          <w:sz w:val="24"/>
        </w:rPr>
        <w:t xml:space="preserve"> </w:t>
      </w:r>
      <w:r w:rsidR="00CC4E69" w:rsidRPr="008C1FF4">
        <w:rPr>
          <w:rFonts w:ascii="Arial" w:hAnsi="Arial" w:cs="Arial"/>
          <w:sz w:val="24"/>
        </w:rPr>
        <w:t xml:space="preserve">Embora na MPS </w:t>
      </w:r>
      <w:r w:rsidR="009B4D69" w:rsidRPr="008C1FF4">
        <w:rPr>
          <w:rFonts w:ascii="Arial" w:hAnsi="Arial" w:cs="Arial"/>
          <w:sz w:val="24"/>
        </w:rPr>
        <w:t xml:space="preserve">tipo </w:t>
      </w:r>
      <w:r w:rsidR="00CC4E69" w:rsidRPr="008C1FF4">
        <w:rPr>
          <w:rFonts w:ascii="Arial" w:hAnsi="Arial" w:cs="Arial"/>
          <w:sz w:val="24"/>
        </w:rPr>
        <w:t xml:space="preserve">VI ocorra </w:t>
      </w:r>
      <w:r w:rsidR="00D17D74">
        <w:rPr>
          <w:rFonts w:ascii="Arial" w:hAnsi="Arial" w:cs="Arial"/>
          <w:sz w:val="24"/>
        </w:rPr>
        <w:t>manutenç</w:t>
      </w:r>
      <w:r w:rsidR="00CC4E69" w:rsidRPr="008C1FF4">
        <w:rPr>
          <w:rFonts w:ascii="Arial" w:hAnsi="Arial" w:cs="Arial"/>
          <w:sz w:val="24"/>
        </w:rPr>
        <w:t xml:space="preserve">ão da função cognitiva, </w:t>
      </w:r>
      <w:r w:rsidR="00D17D74">
        <w:rPr>
          <w:rFonts w:ascii="Arial" w:hAnsi="Arial" w:cs="Arial"/>
          <w:sz w:val="24"/>
        </w:rPr>
        <w:t xml:space="preserve">outros </w:t>
      </w:r>
      <w:r w:rsidR="00CC4E69" w:rsidRPr="008C1FF4">
        <w:rPr>
          <w:rFonts w:ascii="Arial" w:hAnsi="Arial" w:cs="Arial"/>
          <w:sz w:val="24"/>
        </w:rPr>
        <w:t>fatores como deformidade</w:t>
      </w:r>
      <w:r w:rsidR="000746DA" w:rsidRPr="008C1FF4">
        <w:rPr>
          <w:rFonts w:ascii="Arial" w:hAnsi="Arial" w:cs="Arial"/>
          <w:sz w:val="24"/>
        </w:rPr>
        <w:t xml:space="preserve"> e</w:t>
      </w:r>
      <w:r w:rsidR="00CC4E69" w:rsidRPr="008C1FF4">
        <w:rPr>
          <w:rFonts w:ascii="Arial" w:hAnsi="Arial" w:cs="Arial"/>
          <w:sz w:val="24"/>
        </w:rPr>
        <w:t xml:space="preserve"> </w:t>
      </w:r>
      <w:r w:rsidR="000746DA" w:rsidRPr="008C1FF4">
        <w:rPr>
          <w:rFonts w:ascii="Arial" w:hAnsi="Arial" w:cs="Arial"/>
          <w:sz w:val="24"/>
        </w:rPr>
        <w:lastRenderedPageBreak/>
        <w:t xml:space="preserve">alteração </w:t>
      </w:r>
      <w:r w:rsidR="00CC4E69" w:rsidRPr="008C1FF4">
        <w:rPr>
          <w:rFonts w:ascii="Arial" w:hAnsi="Arial" w:cs="Arial"/>
          <w:sz w:val="24"/>
        </w:rPr>
        <w:t>articular</w:t>
      </w:r>
      <w:r w:rsidR="000746DA" w:rsidRPr="008C1FF4">
        <w:rPr>
          <w:rFonts w:ascii="Arial" w:hAnsi="Arial" w:cs="Arial"/>
          <w:sz w:val="24"/>
        </w:rPr>
        <w:t xml:space="preserve"> severa</w:t>
      </w:r>
      <w:r w:rsidR="00CC4E69" w:rsidRPr="008C1FF4">
        <w:rPr>
          <w:rFonts w:ascii="Arial" w:hAnsi="Arial" w:cs="Arial"/>
          <w:sz w:val="24"/>
        </w:rPr>
        <w:t>, dor crônica, déficits auditivo e visual, atraso do desenvolvimento</w:t>
      </w:r>
      <w:r w:rsidR="00616317" w:rsidRPr="008C1FF4">
        <w:rPr>
          <w:rFonts w:ascii="Arial" w:hAnsi="Arial" w:cs="Arial"/>
          <w:sz w:val="24"/>
        </w:rPr>
        <w:t xml:space="preserve"> motor</w:t>
      </w:r>
      <w:r w:rsidR="00CC4E69" w:rsidRPr="008C1FF4">
        <w:rPr>
          <w:rFonts w:ascii="Arial" w:hAnsi="Arial" w:cs="Arial"/>
          <w:sz w:val="24"/>
        </w:rPr>
        <w:t xml:space="preserve"> e </w:t>
      </w:r>
      <w:r w:rsidR="000746DA" w:rsidRPr="008C1FF4">
        <w:rPr>
          <w:rFonts w:ascii="Arial" w:hAnsi="Arial" w:cs="Arial"/>
          <w:sz w:val="24"/>
        </w:rPr>
        <w:t xml:space="preserve">insuficiência </w:t>
      </w:r>
      <w:r w:rsidR="00CC4E69" w:rsidRPr="008C1FF4">
        <w:rPr>
          <w:rFonts w:ascii="Arial" w:hAnsi="Arial" w:cs="Arial"/>
          <w:sz w:val="24"/>
        </w:rPr>
        <w:t>cardiorrespiratória geram dependência e incapacidade funcional.</w:t>
      </w:r>
      <w:r w:rsidR="00A55986">
        <w:rPr>
          <w:rFonts w:ascii="Arial" w:hAnsi="Arial" w:cs="Arial"/>
          <w:sz w:val="24"/>
        </w:rPr>
        <w:t xml:space="preserve"> Além disso, o acometimento de vários sistemas</w:t>
      </w:r>
      <w:r w:rsidR="00980188">
        <w:rPr>
          <w:rFonts w:ascii="Arial" w:hAnsi="Arial" w:cs="Arial"/>
          <w:sz w:val="24"/>
        </w:rPr>
        <w:t>,</w:t>
      </w:r>
      <w:r w:rsidR="00A55986">
        <w:rPr>
          <w:rFonts w:ascii="Arial" w:hAnsi="Arial" w:cs="Arial"/>
          <w:sz w:val="24"/>
        </w:rPr>
        <w:t xml:space="preserve"> de forma simultânea</w:t>
      </w:r>
      <w:r w:rsidR="00980188">
        <w:rPr>
          <w:rFonts w:ascii="Arial" w:hAnsi="Arial" w:cs="Arial"/>
          <w:sz w:val="24"/>
        </w:rPr>
        <w:t>,</w:t>
      </w:r>
      <w:r w:rsidR="00A55986">
        <w:rPr>
          <w:rFonts w:ascii="Arial" w:hAnsi="Arial" w:cs="Arial"/>
          <w:sz w:val="24"/>
        </w:rPr>
        <w:t xml:space="preserve"> contribui para o rápido avanço da d</w:t>
      </w:r>
      <w:r w:rsidR="000746DA">
        <w:rPr>
          <w:rFonts w:ascii="Arial" w:hAnsi="Arial" w:cs="Arial"/>
          <w:sz w:val="24"/>
        </w:rPr>
        <w:t>oença e</w:t>
      </w:r>
      <w:r w:rsidR="00D72813">
        <w:rPr>
          <w:rFonts w:ascii="Arial" w:hAnsi="Arial" w:cs="Arial"/>
          <w:sz w:val="24"/>
        </w:rPr>
        <w:t xml:space="preserve"> condiciona os </w:t>
      </w:r>
      <w:r w:rsidR="00BD1170">
        <w:rPr>
          <w:rFonts w:ascii="Arial" w:hAnsi="Arial" w:cs="Arial"/>
          <w:sz w:val="24"/>
        </w:rPr>
        <w:t>sujeitos acometidos</w:t>
      </w:r>
      <w:r w:rsidR="00D72813">
        <w:rPr>
          <w:rFonts w:ascii="Arial" w:hAnsi="Arial" w:cs="Arial"/>
          <w:sz w:val="24"/>
        </w:rPr>
        <w:t xml:space="preserve"> à</w:t>
      </w:r>
      <w:r w:rsidR="007D2425">
        <w:rPr>
          <w:rFonts w:ascii="Arial" w:hAnsi="Arial" w:cs="Arial"/>
          <w:sz w:val="24"/>
        </w:rPr>
        <w:t xml:space="preserve"> </w:t>
      </w:r>
      <w:r w:rsidR="00616317">
        <w:rPr>
          <w:rFonts w:ascii="Arial" w:hAnsi="Arial" w:cs="Arial"/>
          <w:sz w:val="24"/>
        </w:rPr>
        <w:t xml:space="preserve">necessidade de </w:t>
      </w:r>
      <w:r w:rsidR="007D2425">
        <w:rPr>
          <w:rFonts w:ascii="Arial" w:hAnsi="Arial" w:cs="Arial"/>
          <w:sz w:val="24"/>
        </w:rPr>
        <w:t>acompanhamento médico frequente</w:t>
      </w:r>
      <w:r w:rsidR="00616317">
        <w:rPr>
          <w:rFonts w:ascii="Arial" w:hAnsi="Arial" w:cs="Arial"/>
          <w:sz w:val="24"/>
        </w:rPr>
        <w:t>; realização</w:t>
      </w:r>
      <w:r w:rsidR="00D72813">
        <w:rPr>
          <w:rFonts w:ascii="Arial" w:hAnsi="Arial" w:cs="Arial"/>
          <w:sz w:val="24"/>
        </w:rPr>
        <w:t xml:space="preserve"> de intervenções cirúrgicas – </w:t>
      </w:r>
      <w:r w:rsidR="008533A8">
        <w:rPr>
          <w:rFonts w:ascii="Arial" w:hAnsi="Arial" w:cs="Arial"/>
          <w:sz w:val="24"/>
        </w:rPr>
        <w:t>o que exp</w:t>
      </w:r>
      <w:r w:rsidR="00586815">
        <w:rPr>
          <w:rFonts w:ascii="Arial" w:hAnsi="Arial" w:cs="Arial"/>
          <w:sz w:val="24"/>
        </w:rPr>
        <w:t>õe</w:t>
      </w:r>
      <w:r w:rsidR="00D17D74">
        <w:rPr>
          <w:rFonts w:ascii="Arial" w:hAnsi="Arial" w:cs="Arial"/>
          <w:sz w:val="24"/>
        </w:rPr>
        <w:t xml:space="preserve"> esse</w:t>
      </w:r>
      <w:r w:rsidR="008533A8">
        <w:rPr>
          <w:rFonts w:ascii="Arial" w:hAnsi="Arial" w:cs="Arial"/>
          <w:sz w:val="24"/>
        </w:rPr>
        <w:t>s pacientes</w:t>
      </w:r>
      <w:r w:rsidR="000746DA">
        <w:rPr>
          <w:rFonts w:ascii="Arial" w:hAnsi="Arial" w:cs="Arial"/>
          <w:sz w:val="24"/>
        </w:rPr>
        <w:t xml:space="preserve"> a</w:t>
      </w:r>
      <w:r w:rsidR="005C7A94">
        <w:rPr>
          <w:rFonts w:ascii="Arial" w:hAnsi="Arial" w:cs="Arial"/>
          <w:sz w:val="24"/>
        </w:rPr>
        <w:t>o risco de</w:t>
      </w:r>
      <w:r w:rsidR="000746DA">
        <w:rPr>
          <w:rFonts w:ascii="Arial" w:hAnsi="Arial" w:cs="Arial"/>
          <w:sz w:val="24"/>
        </w:rPr>
        <w:t xml:space="preserve"> complicações </w:t>
      </w:r>
      <w:r w:rsidR="007D2425">
        <w:rPr>
          <w:rFonts w:ascii="Arial" w:hAnsi="Arial" w:cs="Arial"/>
          <w:sz w:val="24"/>
        </w:rPr>
        <w:t>associadas</w:t>
      </w:r>
      <w:r w:rsidR="00BC7DF6">
        <w:rPr>
          <w:rFonts w:ascii="Arial" w:hAnsi="Arial" w:cs="Arial"/>
          <w:sz w:val="24"/>
        </w:rPr>
        <w:t xml:space="preserve"> ao uso de anestésico</w:t>
      </w:r>
      <w:r w:rsidR="00D17D74">
        <w:rPr>
          <w:rFonts w:ascii="Arial" w:hAnsi="Arial" w:cs="Arial"/>
          <w:sz w:val="24"/>
        </w:rPr>
        <w:t xml:space="preserve"> e/ou intubação orotraqueal</w:t>
      </w:r>
      <w:r w:rsidR="00616317">
        <w:rPr>
          <w:rFonts w:ascii="Arial" w:hAnsi="Arial" w:cs="Arial"/>
          <w:sz w:val="24"/>
        </w:rPr>
        <w:t>;</w:t>
      </w:r>
      <w:r w:rsidR="007D2425">
        <w:rPr>
          <w:rFonts w:ascii="Arial" w:hAnsi="Arial" w:cs="Arial"/>
          <w:sz w:val="24"/>
        </w:rPr>
        <w:t xml:space="preserve"> e expectativa de vida reduzida, com </w:t>
      </w:r>
      <w:r w:rsidR="00980188">
        <w:rPr>
          <w:rFonts w:ascii="Arial" w:hAnsi="Arial" w:cs="Arial"/>
          <w:sz w:val="24"/>
        </w:rPr>
        <w:t xml:space="preserve">possibilidade de </w:t>
      </w:r>
      <w:r w:rsidR="007D2425">
        <w:rPr>
          <w:rFonts w:ascii="Arial" w:hAnsi="Arial" w:cs="Arial"/>
          <w:sz w:val="24"/>
        </w:rPr>
        <w:t>morte</w:t>
      </w:r>
      <w:r w:rsidR="00D659CB">
        <w:rPr>
          <w:rFonts w:ascii="Arial" w:hAnsi="Arial" w:cs="Arial"/>
          <w:sz w:val="24"/>
        </w:rPr>
        <w:t xml:space="preserve"> </w:t>
      </w:r>
      <w:r w:rsidR="007D2425">
        <w:rPr>
          <w:rFonts w:ascii="Arial" w:hAnsi="Arial" w:cs="Arial"/>
          <w:sz w:val="24"/>
        </w:rPr>
        <w:t>antes da segunda ou terceira décadas.</w:t>
      </w:r>
      <w:r w:rsidR="0069257C">
        <w:rPr>
          <w:rFonts w:ascii="Arial" w:hAnsi="Arial" w:cs="Arial"/>
          <w:sz w:val="24"/>
        </w:rPr>
        <w:fldChar w:fldCharType="begin" w:fldLock="1"/>
      </w:r>
      <w:r w:rsidR="00901BDB">
        <w:rPr>
          <w:rFonts w:ascii="Arial" w:hAnsi="Arial" w:cs="Arial"/>
          <w:sz w:val="24"/>
        </w:rPr>
        <w:instrText>ADDIN CSL_CITATION { "citationItems" : [ { "id" : "ITEM-1", "itemData" : { "DOI" : "10.1590/S0004-27302003000100014", "ISSN" : "0004-2730", "author" : [ { "dropping-particle" : "", "family" : "Borges", "given" : "Maria F.", "non-dropping-particle" : "", "parse-names" : false, "suffix" : "" }, { "dropping-particle" : "", "family" : "Tavares", "given" : "Fernanda S.", "non-dropping-particle" : "", "parse-names" : false, "suffix" : "" }, { "dropping-particle" : "", "family" : "Silva", "given" : "Paula C.L.", "non-dropping-particle" : "", "parse-names" : false, "suffix" : "" }, { "dropping-particle" : "", "family" : "Oliveira", "given" : "Zuleica A.R.", "non-dropping-particle" : "", "parse-names" : false, "suffix" : "" }, { "dropping-particle" : "", "family" : "Ballarin", "given" : "Marly A.S.", "non-dropping-particle" : "", "parse-names" : false, "suffix" : "" }, { "dropping-particle" : "", "family" : "Gomes", "given" : "Roseli A.", "non-dropping-particle" : "", "parse-names" : false, "suffix" : "" }, { "dropping-particle" : "", "family" : "Ferreira", "given" : "Beatriz P.", "non-dropping-particle" : "", "parse-names" : false, "suffix" : "" } ], "container-title" : "Arq Bras Endocrinol Metab", "id" : "ITEM-1", "issue" : "1", "issued" : { "date-parts" : [ [ "2003" ] ] }, "page" : "87-94", "title" : "Mucopolissacaridose Tipo VI (S\u00edndrome de Maroteaux-Lamy): Avalia\u00e7\u00e3o end\u00f3crina de tr\u00eas casos", "type" : "article-journal", "volume" : "47" }, "uris" : [ "http://www.mendeley.com/documents/?uuid=0c17fdc5-9a01-4e42-af93-73251347298a" ] }, { "id" : "ITEM-2", "itemData" : { "author" : [ { "dropping-particle" : "", "family" : "Valayannopoulos V, Nicely H, Paul Harmatz P", "given" : "Turbeville S", "non-dropping-particle" : "", "parse-names" : false, "suffix" : "" } ], "container-title" : "Orphanet Journal of Rare Diseases", "id" : "ITEM-2", "issue" : "5", "issued" : { "date-parts" : [ [ "2010" ] ] }, "title" : "Mucopolysaccharidosis VI", "type" : "article-journal", "volume" : "5" }, "uris" : [ "http://www.mendeley.com/documents/?uuid=b6acff33-37c2-4f0b-a1fa-dc9a5fcfccf5" ] } ], "mendeley" : { "formattedCitation" : "&lt;sup&gt;20,48&lt;/sup&gt;", "plainTextFormattedCitation" : "20,48", "previouslyFormattedCitation" : "&lt;sup&gt;20,48&lt;/sup&gt;" }, "properties" : { "noteIndex" : 0 }, "schema" : "https://github.com/citation-style-language/schema/raw/master/csl-citation.json" }</w:instrText>
      </w:r>
      <w:r w:rsidR="0069257C">
        <w:rPr>
          <w:rFonts w:ascii="Arial" w:hAnsi="Arial" w:cs="Arial"/>
          <w:sz w:val="24"/>
        </w:rPr>
        <w:fldChar w:fldCharType="separate"/>
      </w:r>
      <w:r w:rsidR="0069257C" w:rsidRPr="0069257C">
        <w:rPr>
          <w:rFonts w:ascii="Arial" w:hAnsi="Arial" w:cs="Arial"/>
          <w:noProof/>
          <w:sz w:val="24"/>
          <w:vertAlign w:val="superscript"/>
        </w:rPr>
        <w:t>20,48</w:t>
      </w:r>
      <w:r w:rsidR="0069257C">
        <w:rPr>
          <w:rFonts w:ascii="Arial" w:hAnsi="Arial" w:cs="Arial"/>
          <w:sz w:val="24"/>
        </w:rPr>
        <w:fldChar w:fldCharType="end"/>
      </w:r>
      <w:r w:rsidR="00A55986">
        <w:rPr>
          <w:rFonts w:ascii="Arial" w:hAnsi="Arial" w:cs="Arial"/>
          <w:sz w:val="24"/>
        </w:rPr>
        <w:t xml:space="preserve"> </w:t>
      </w:r>
    </w:p>
    <w:p w:rsidR="00527A0A" w:rsidRDefault="00527A0A" w:rsidP="00F03F60">
      <w:pPr>
        <w:tabs>
          <w:tab w:val="left" w:pos="1418"/>
          <w:tab w:val="left" w:pos="1560"/>
        </w:tabs>
        <w:spacing w:after="0" w:line="360" w:lineRule="auto"/>
        <w:jc w:val="both"/>
        <w:rPr>
          <w:rFonts w:ascii="Arial" w:hAnsi="Arial" w:cs="Arial"/>
          <w:sz w:val="24"/>
        </w:rPr>
      </w:pPr>
    </w:p>
    <w:p w:rsidR="007E76D4" w:rsidRDefault="003308C5" w:rsidP="00F03F60">
      <w:pPr>
        <w:tabs>
          <w:tab w:val="left" w:pos="1418"/>
          <w:tab w:val="left" w:pos="1560"/>
        </w:tabs>
        <w:spacing w:after="0" w:line="360" w:lineRule="auto"/>
        <w:jc w:val="both"/>
        <w:rPr>
          <w:rFonts w:ascii="Arial" w:hAnsi="Arial" w:cs="Arial"/>
          <w:sz w:val="24"/>
        </w:rPr>
      </w:pPr>
      <w:r>
        <w:rPr>
          <w:rFonts w:ascii="Arial" w:hAnsi="Arial" w:cs="Arial"/>
          <w:sz w:val="24"/>
        </w:rPr>
        <w:t>N</w:t>
      </w:r>
      <w:r w:rsidR="003616F7">
        <w:rPr>
          <w:rFonts w:ascii="Arial" w:hAnsi="Arial" w:cs="Arial"/>
          <w:sz w:val="24"/>
        </w:rPr>
        <w:t>o nosso</w:t>
      </w:r>
      <w:r>
        <w:rPr>
          <w:rFonts w:ascii="Arial" w:hAnsi="Arial" w:cs="Arial"/>
          <w:sz w:val="24"/>
        </w:rPr>
        <w:t xml:space="preserve"> estudo, a</w:t>
      </w:r>
      <w:r w:rsidR="00E918FE">
        <w:rPr>
          <w:rFonts w:ascii="Arial" w:hAnsi="Arial" w:cs="Arial"/>
          <w:sz w:val="24"/>
        </w:rPr>
        <w:t xml:space="preserve"> condição de funcionalidade das crianças e adolescentes diagnosticadas com MPS tipo VI</w:t>
      </w:r>
      <w:r w:rsidR="009301BA">
        <w:rPr>
          <w:rFonts w:ascii="Arial" w:hAnsi="Arial" w:cs="Arial"/>
          <w:sz w:val="24"/>
        </w:rPr>
        <w:t xml:space="preserve"> foi semelhante à </w:t>
      </w:r>
      <w:r>
        <w:rPr>
          <w:rFonts w:ascii="Arial" w:hAnsi="Arial" w:cs="Arial"/>
          <w:sz w:val="24"/>
        </w:rPr>
        <w:t>amostra total</w:t>
      </w:r>
      <w:r w:rsidR="007B5E29">
        <w:rPr>
          <w:rFonts w:ascii="Arial" w:hAnsi="Arial" w:cs="Arial"/>
          <w:sz w:val="24"/>
        </w:rPr>
        <w:t>;</w:t>
      </w:r>
      <w:r w:rsidR="00E918FE">
        <w:rPr>
          <w:rFonts w:ascii="Arial" w:hAnsi="Arial" w:cs="Arial"/>
          <w:sz w:val="24"/>
        </w:rPr>
        <w:t xml:space="preserve"> maior </w:t>
      </w:r>
      <w:r w:rsidR="00FD1A7E">
        <w:rPr>
          <w:rFonts w:ascii="Arial" w:hAnsi="Arial" w:cs="Arial"/>
          <w:sz w:val="24"/>
        </w:rPr>
        <w:t>comprometimento do domíni</w:t>
      </w:r>
      <w:r w:rsidR="00E918FE">
        <w:rPr>
          <w:rFonts w:ascii="Arial" w:hAnsi="Arial" w:cs="Arial"/>
          <w:sz w:val="24"/>
        </w:rPr>
        <w:t>o motor</w:t>
      </w:r>
      <w:r w:rsidR="00522AD4">
        <w:rPr>
          <w:rFonts w:ascii="Arial" w:hAnsi="Arial" w:cs="Arial"/>
          <w:sz w:val="24"/>
        </w:rPr>
        <w:t xml:space="preserve"> da MIF</w:t>
      </w:r>
      <w:r w:rsidR="00E918FE">
        <w:rPr>
          <w:rFonts w:ascii="Arial" w:hAnsi="Arial" w:cs="Arial"/>
          <w:sz w:val="24"/>
        </w:rPr>
        <w:t xml:space="preserve"> em relação ao</w:t>
      </w:r>
      <w:r w:rsidR="007E76D4">
        <w:rPr>
          <w:rFonts w:ascii="Arial" w:hAnsi="Arial" w:cs="Arial"/>
          <w:sz w:val="24"/>
        </w:rPr>
        <w:t xml:space="preserve"> cognitivo. </w:t>
      </w:r>
      <w:r w:rsidR="008E2B2D">
        <w:rPr>
          <w:rFonts w:ascii="Arial" w:hAnsi="Arial" w:cs="Arial"/>
          <w:sz w:val="24"/>
        </w:rPr>
        <w:t>Os n</w:t>
      </w:r>
      <w:r w:rsidR="007E76D4">
        <w:rPr>
          <w:rFonts w:ascii="Arial" w:hAnsi="Arial" w:cs="Arial"/>
          <w:sz w:val="24"/>
        </w:rPr>
        <w:t xml:space="preserve">ossos achados corroboram com as características </w:t>
      </w:r>
      <w:r w:rsidR="00A21571">
        <w:rPr>
          <w:rFonts w:ascii="Arial" w:hAnsi="Arial" w:cs="Arial"/>
          <w:sz w:val="24"/>
        </w:rPr>
        <w:t xml:space="preserve">clínicas </w:t>
      </w:r>
      <w:r w:rsidR="007E76D4">
        <w:rPr>
          <w:rFonts w:ascii="Arial" w:hAnsi="Arial" w:cs="Arial"/>
          <w:sz w:val="24"/>
        </w:rPr>
        <w:t xml:space="preserve">gerais </w:t>
      </w:r>
      <w:r w:rsidR="007B5E29">
        <w:rPr>
          <w:rFonts w:ascii="Arial" w:hAnsi="Arial" w:cs="Arial"/>
          <w:sz w:val="24"/>
        </w:rPr>
        <w:t>descritas na literatura referentes a</w:t>
      </w:r>
      <w:r w:rsidR="007E76D4">
        <w:rPr>
          <w:rFonts w:ascii="Arial" w:hAnsi="Arial" w:cs="Arial"/>
          <w:sz w:val="24"/>
        </w:rPr>
        <w:t xml:space="preserve"> este subtipo da doença</w:t>
      </w:r>
      <w:r w:rsidR="00F40470">
        <w:rPr>
          <w:rFonts w:ascii="Arial" w:hAnsi="Arial" w:cs="Arial"/>
          <w:sz w:val="24"/>
        </w:rPr>
        <w:t xml:space="preserve"> – c</w:t>
      </w:r>
      <w:r w:rsidR="007E76D4">
        <w:rPr>
          <w:rFonts w:ascii="Arial" w:hAnsi="Arial" w:cs="Arial"/>
          <w:sz w:val="24"/>
        </w:rPr>
        <w:t xml:space="preserve">omprometimento motor significativo e </w:t>
      </w:r>
      <w:r w:rsidR="005C7A94">
        <w:rPr>
          <w:rFonts w:ascii="Arial" w:hAnsi="Arial" w:cs="Arial"/>
          <w:sz w:val="24"/>
        </w:rPr>
        <w:t>ausência de alteração</w:t>
      </w:r>
      <w:r w:rsidR="007E76D4">
        <w:rPr>
          <w:rFonts w:ascii="Arial" w:hAnsi="Arial" w:cs="Arial"/>
          <w:sz w:val="24"/>
        </w:rPr>
        <w:t xml:space="preserve"> cognitiva</w:t>
      </w:r>
      <w:r w:rsidR="00901BDB">
        <w:rPr>
          <w:rFonts w:ascii="Arial" w:hAnsi="Arial" w:cs="Arial"/>
          <w:sz w:val="24"/>
        </w:rPr>
        <w:fldChar w:fldCharType="begin" w:fldLock="1"/>
      </w:r>
      <w:r w:rsidR="00F66943">
        <w:rPr>
          <w:rFonts w:ascii="Arial" w:hAnsi="Arial" w:cs="Arial"/>
          <w:sz w:val="24"/>
        </w:rPr>
        <w:instrText>ADDIN CSL_CITATION { "citationItems" : [ { "id" : "ITEM-1", "itemData" : { "author" : [ { "dropping-particle" : "", "family" : "Valayannopoulos V, Nicely H, Paul Harmatz P", "given" : "Turbeville S", "non-dropping-particle" : "", "parse-names" : false, "suffix" : "" } ], "container-title" : "Orphanet Journal of Rare Diseases", "id" : "ITEM-1", "issue" : "5", "issued" : { "date-parts" : [ [ "2010" ] ] }, "title" : "Mucopolysaccharidosis VI", "type" : "article-journal", "volume" : "5" }, "uris" : [ "http://www.mendeley.com/documents/?uuid=b6acff33-37c2-4f0b-a1fa-dc9a5fcfccf5" ] } ], "mendeley" : { "formattedCitation" : "&lt;sup&gt;20&lt;/sup&gt;", "plainTextFormattedCitation" : "20", "previouslyFormattedCitation" : "&lt;sup&gt;20&lt;/sup&gt;" }, "properties" : { "noteIndex" : 0 }, "schema" : "https://github.com/citation-style-language/schema/raw/master/csl-citation.json" }</w:instrText>
      </w:r>
      <w:r w:rsidR="00901BDB">
        <w:rPr>
          <w:rFonts w:ascii="Arial" w:hAnsi="Arial" w:cs="Arial"/>
          <w:sz w:val="24"/>
        </w:rPr>
        <w:fldChar w:fldCharType="separate"/>
      </w:r>
      <w:r w:rsidR="00901BDB" w:rsidRPr="00901BDB">
        <w:rPr>
          <w:rFonts w:ascii="Arial" w:hAnsi="Arial" w:cs="Arial"/>
          <w:noProof/>
          <w:sz w:val="24"/>
          <w:vertAlign w:val="superscript"/>
        </w:rPr>
        <w:t>20</w:t>
      </w:r>
      <w:r w:rsidR="00901BDB">
        <w:rPr>
          <w:rFonts w:ascii="Arial" w:hAnsi="Arial" w:cs="Arial"/>
          <w:sz w:val="24"/>
        </w:rPr>
        <w:fldChar w:fldCharType="end"/>
      </w:r>
      <w:r w:rsidR="007E76D4">
        <w:rPr>
          <w:rFonts w:ascii="Arial" w:hAnsi="Arial" w:cs="Arial"/>
          <w:sz w:val="24"/>
        </w:rPr>
        <w:t>.</w:t>
      </w:r>
    </w:p>
    <w:p w:rsidR="007E76D4" w:rsidRDefault="007E76D4" w:rsidP="00F03F60">
      <w:pPr>
        <w:tabs>
          <w:tab w:val="left" w:pos="1418"/>
          <w:tab w:val="left" w:pos="1560"/>
        </w:tabs>
        <w:spacing w:after="0" w:line="360" w:lineRule="auto"/>
        <w:jc w:val="both"/>
        <w:rPr>
          <w:rFonts w:ascii="Arial" w:hAnsi="Arial" w:cs="Arial"/>
          <w:sz w:val="24"/>
        </w:rPr>
      </w:pPr>
    </w:p>
    <w:p w:rsidR="00CC4E69" w:rsidRDefault="009301BA" w:rsidP="00F03F60">
      <w:pPr>
        <w:tabs>
          <w:tab w:val="left" w:pos="1418"/>
          <w:tab w:val="left" w:pos="1560"/>
        </w:tabs>
        <w:spacing w:after="0" w:line="360" w:lineRule="auto"/>
        <w:jc w:val="both"/>
        <w:rPr>
          <w:rFonts w:ascii="Arial" w:hAnsi="Arial" w:cs="Arial"/>
          <w:sz w:val="24"/>
        </w:rPr>
      </w:pPr>
      <w:r>
        <w:rPr>
          <w:rFonts w:ascii="Arial" w:hAnsi="Arial" w:cs="Arial"/>
          <w:sz w:val="24"/>
        </w:rPr>
        <w:t xml:space="preserve">Os resultados apresentados no estudo realizado por </w:t>
      </w:r>
      <w:r w:rsidR="00E65B95" w:rsidRPr="007B5E29">
        <w:rPr>
          <w:rFonts w:ascii="Arial" w:hAnsi="Arial" w:cs="Arial"/>
          <w:sz w:val="24"/>
        </w:rPr>
        <w:t>Leite et al.</w:t>
      </w:r>
      <w:r w:rsidR="00E65B95">
        <w:rPr>
          <w:rFonts w:ascii="Arial" w:hAnsi="Arial" w:cs="Arial"/>
          <w:sz w:val="24"/>
        </w:rPr>
        <w:fldChar w:fldCharType="begin" w:fldLock="1"/>
      </w:r>
      <w:r w:rsidR="003308C5">
        <w:rPr>
          <w:rFonts w:ascii="Arial" w:hAnsi="Arial" w:cs="Arial"/>
          <w:sz w:val="24"/>
        </w:rPr>
        <w:instrText>ADDIN CSL_CITATION { "citationItems" : [ { "id" : "ITEM-1", "itemData" : { "DOI" : "10.15448/1980-6108", "author" : [ { "dropping-particle" : "", "family" : "Leite", "given" : "RB", "non-dropping-particle" : "", "parse-names" : false, "suffix" : "" }, { "dropping-particle" : "", "family" : "Leite", "given" : "ME", "non-dropping-particle" : "", "parse-names" : false, "suffix" : "" }, { "dropping-particle" : "", "family" : "Freitas", "given" : "JD", "non-dropping-particle" : "", "parse-names" : false, "suffix" : "" }, { "dropping-particle" : "", "family" : "Mendes", "given" : "CM", "non-dropping-particle" : "", "parse-names" : false, "suffix" : "" }, { "dropping-particle" : "", "family" : "Deir\u00f3", "given" : "TC", "non-dropping-particle" : "", "parse-names" : false, "suffix" : "" }, { "dropping-particle" : "", "family" : "Acosta", "given" : "AX", "non-dropping-particle" : "", "parse-names" : false, "suffix" : "" } ], "container-title" : "Sci Med", "id" : "ITEM-1", "issue" : "1", "issued" : { "date-parts" : [ [ "2014" ] ] }, "page" : "19-25", "title" : "Scientia Medica", "type" : "article-journal", "volume" : "24" }, "uris" : [ "http://www.mendeley.com/documents/?uuid=eb8a32e0-b3a6-4bac-813c-6d230b186e3c" ] } ], "mendeley" : { "formattedCitation" : "&lt;sup&gt;108&lt;/sup&gt;", "plainTextFormattedCitation" : "108", "previouslyFormattedCitation" : "&lt;sup&gt;108&lt;/sup&gt;" }, "properties" : { "noteIndex" : 0 }, "schema" : "https://github.com/citation-style-language/schema/raw/master/csl-citation.json" }</w:instrText>
      </w:r>
      <w:r w:rsidR="00E65B95">
        <w:rPr>
          <w:rFonts w:ascii="Arial" w:hAnsi="Arial" w:cs="Arial"/>
          <w:sz w:val="24"/>
        </w:rPr>
        <w:fldChar w:fldCharType="separate"/>
      </w:r>
      <w:r w:rsidR="00E65B95" w:rsidRPr="00E65B95">
        <w:rPr>
          <w:rFonts w:ascii="Arial" w:hAnsi="Arial" w:cs="Arial"/>
          <w:noProof/>
          <w:sz w:val="24"/>
          <w:vertAlign w:val="superscript"/>
        </w:rPr>
        <w:t>108</w:t>
      </w:r>
      <w:r w:rsidR="00E65B95">
        <w:rPr>
          <w:rFonts w:ascii="Arial" w:hAnsi="Arial" w:cs="Arial"/>
          <w:sz w:val="24"/>
        </w:rPr>
        <w:fldChar w:fldCharType="end"/>
      </w:r>
      <w:r>
        <w:rPr>
          <w:rFonts w:ascii="Arial" w:hAnsi="Arial" w:cs="Arial"/>
          <w:sz w:val="24"/>
        </w:rPr>
        <w:t>,</w:t>
      </w:r>
      <w:r w:rsidR="00E65B95">
        <w:rPr>
          <w:rFonts w:ascii="Arial" w:hAnsi="Arial" w:cs="Arial"/>
          <w:sz w:val="24"/>
        </w:rPr>
        <w:t xml:space="preserve"> </w:t>
      </w:r>
      <w:r>
        <w:rPr>
          <w:rFonts w:ascii="Arial" w:hAnsi="Arial" w:cs="Arial"/>
          <w:sz w:val="24"/>
        </w:rPr>
        <w:t xml:space="preserve">para avaliar </w:t>
      </w:r>
      <w:r w:rsidR="00E65B95">
        <w:rPr>
          <w:rFonts w:ascii="Arial" w:hAnsi="Arial" w:cs="Arial"/>
          <w:sz w:val="24"/>
        </w:rPr>
        <w:t>o consumo alimentar de pacientes com MPS</w:t>
      </w:r>
      <w:r>
        <w:rPr>
          <w:rFonts w:ascii="Arial" w:hAnsi="Arial" w:cs="Arial"/>
          <w:sz w:val="24"/>
        </w:rPr>
        <w:t xml:space="preserve"> (incluindo 6 indivíduos diagnosticados com o tipo VI – 60%), mostraram que a maior parte dos sujeitos tinha dificuldade para manusear utensílios</w:t>
      </w:r>
      <w:r w:rsidR="00AB1D3D">
        <w:rPr>
          <w:rFonts w:ascii="Arial" w:hAnsi="Arial" w:cs="Arial"/>
          <w:sz w:val="24"/>
        </w:rPr>
        <w:t>,</w:t>
      </w:r>
      <w:r>
        <w:rPr>
          <w:rFonts w:ascii="Arial" w:hAnsi="Arial" w:cs="Arial"/>
          <w:sz w:val="24"/>
        </w:rPr>
        <w:t xml:space="preserve"> como talheres e copos</w:t>
      </w:r>
      <w:r w:rsidR="002662C9">
        <w:rPr>
          <w:rFonts w:ascii="Arial" w:hAnsi="Arial" w:cs="Arial"/>
          <w:sz w:val="24"/>
        </w:rPr>
        <w:t>,</w:t>
      </w:r>
      <w:r>
        <w:rPr>
          <w:rFonts w:ascii="Arial" w:hAnsi="Arial" w:cs="Arial"/>
          <w:sz w:val="24"/>
        </w:rPr>
        <w:t xml:space="preserve"> no momento das refeições</w:t>
      </w:r>
      <w:r w:rsidR="002662C9">
        <w:rPr>
          <w:rFonts w:ascii="Arial" w:hAnsi="Arial" w:cs="Arial"/>
          <w:sz w:val="24"/>
        </w:rPr>
        <w:t>. S</w:t>
      </w:r>
      <w:r w:rsidR="006C50BC">
        <w:rPr>
          <w:rFonts w:ascii="Arial" w:hAnsi="Arial" w:cs="Arial"/>
          <w:sz w:val="24"/>
        </w:rPr>
        <w:t>egundo esses</w:t>
      </w:r>
      <w:r w:rsidR="002662C9">
        <w:rPr>
          <w:rFonts w:ascii="Arial" w:hAnsi="Arial" w:cs="Arial"/>
          <w:sz w:val="24"/>
        </w:rPr>
        <w:t xml:space="preserve"> autores, a necessidade de auxílio para alimentar</w:t>
      </w:r>
      <w:r w:rsidR="003308C5">
        <w:rPr>
          <w:rFonts w:ascii="Arial" w:hAnsi="Arial" w:cs="Arial"/>
          <w:sz w:val="24"/>
        </w:rPr>
        <w:t>-se interferiu</w:t>
      </w:r>
      <w:r w:rsidR="002662C9">
        <w:rPr>
          <w:rFonts w:ascii="Arial" w:hAnsi="Arial" w:cs="Arial"/>
          <w:sz w:val="24"/>
        </w:rPr>
        <w:t xml:space="preserve"> no consumo e, consequentemente</w:t>
      </w:r>
      <w:r w:rsidR="006C50BC">
        <w:rPr>
          <w:rFonts w:ascii="Arial" w:hAnsi="Arial" w:cs="Arial"/>
          <w:sz w:val="24"/>
        </w:rPr>
        <w:t>,</w:t>
      </w:r>
      <w:r w:rsidR="002662C9">
        <w:rPr>
          <w:rFonts w:ascii="Arial" w:hAnsi="Arial" w:cs="Arial"/>
          <w:sz w:val="24"/>
        </w:rPr>
        <w:t xml:space="preserve"> no estado nutricional dos</w:t>
      </w:r>
      <w:r w:rsidR="00CA0329">
        <w:rPr>
          <w:rFonts w:ascii="Arial" w:hAnsi="Arial" w:cs="Arial"/>
          <w:sz w:val="24"/>
        </w:rPr>
        <w:t xml:space="preserve"> referidos</w:t>
      </w:r>
      <w:r w:rsidR="002662C9">
        <w:rPr>
          <w:rFonts w:ascii="Arial" w:hAnsi="Arial" w:cs="Arial"/>
          <w:sz w:val="24"/>
        </w:rPr>
        <w:t xml:space="preserve"> pacientes.</w:t>
      </w:r>
      <w:r w:rsidR="003308C5">
        <w:rPr>
          <w:rFonts w:ascii="Arial" w:hAnsi="Arial" w:cs="Arial"/>
          <w:sz w:val="24"/>
        </w:rPr>
        <w:fldChar w:fldCharType="begin" w:fldLock="1"/>
      </w:r>
      <w:r w:rsidR="009C1AF8">
        <w:rPr>
          <w:rFonts w:ascii="Arial" w:hAnsi="Arial" w:cs="Arial"/>
          <w:sz w:val="24"/>
        </w:rPr>
        <w:instrText>ADDIN CSL_CITATION { "citationItems" : [ { "id" : "ITEM-1", "itemData" : { "DOI" : "10.15448/1980-6108", "author" : [ { "dropping-particle" : "", "family" : "Leite", "given" : "RB", "non-dropping-particle" : "", "parse-names" : false, "suffix" : "" }, { "dropping-particle" : "", "family" : "Leite", "given" : "ME", "non-dropping-particle" : "", "parse-names" : false, "suffix" : "" }, { "dropping-particle" : "", "family" : "Freitas", "given" : "JD", "non-dropping-particle" : "", "parse-names" : false, "suffix" : "" }, { "dropping-particle" : "", "family" : "Mendes", "given" : "CM", "non-dropping-particle" : "", "parse-names" : false, "suffix" : "" }, { "dropping-particle" : "", "family" : "Deir\u00f3", "given" : "TC", "non-dropping-particle" : "", "parse-names" : false, "suffix" : "" }, { "dropping-particle" : "", "family" : "Acosta", "given" : "AX", "non-dropping-particle" : "", "parse-names" : false, "suffix" : "" } ], "container-title" : "Sci Med", "id" : "ITEM-1", "issue" : "1", "issued" : { "date-parts" : [ [ "2014" ] ] }, "page" : "19-25", "title" : "Scientia Medica", "type" : "article-journal", "volume" : "24" }, "uris" : [ "http://www.mendeley.com/documents/?uuid=eb8a32e0-b3a6-4bac-813c-6d230b186e3c" ] } ], "mendeley" : { "formattedCitation" : "&lt;sup&gt;108&lt;/sup&gt;", "plainTextFormattedCitation" : "108", "previouslyFormattedCitation" : "&lt;sup&gt;108&lt;/sup&gt;" }, "properties" : { "noteIndex" : 0 }, "schema" : "https://github.com/citation-style-language/schema/raw/master/csl-citation.json" }</w:instrText>
      </w:r>
      <w:r w:rsidR="003308C5">
        <w:rPr>
          <w:rFonts w:ascii="Arial" w:hAnsi="Arial" w:cs="Arial"/>
          <w:sz w:val="24"/>
        </w:rPr>
        <w:fldChar w:fldCharType="separate"/>
      </w:r>
      <w:r w:rsidR="003308C5" w:rsidRPr="003308C5">
        <w:rPr>
          <w:rFonts w:ascii="Arial" w:hAnsi="Arial" w:cs="Arial"/>
          <w:noProof/>
          <w:sz w:val="24"/>
          <w:vertAlign w:val="superscript"/>
        </w:rPr>
        <w:t>108</w:t>
      </w:r>
      <w:r w:rsidR="003308C5">
        <w:rPr>
          <w:rFonts w:ascii="Arial" w:hAnsi="Arial" w:cs="Arial"/>
          <w:sz w:val="24"/>
        </w:rPr>
        <w:fldChar w:fldCharType="end"/>
      </w:r>
      <w:r w:rsidR="003308C5">
        <w:rPr>
          <w:rFonts w:ascii="Arial" w:hAnsi="Arial" w:cs="Arial"/>
          <w:sz w:val="24"/>
        </w:rPr>
        <w:t xml:space="preserve"> </w:t>
      </w:r>
      <w:r w:rsidR="00F64E0C">
        <w:rPr>
          <w:rFonts w:ascii="Arial" w:hAnsi="Arial" w:cs="Arial"/>
          <w:sz w:val="24"/>
        </w:rPr>
        <w:t>A</w:t>
      </w:r>
      <w:r w:rsidR="00F5661D">
        <w:rPr>
          <w:rFonts w:ascii="Arial" w:hAnsi="Arial" w:cs="Arial"/>
          <w:sz w:val="24"/>
        </w:rPr>
        <w:t xml:space="preserve"> forma como o indivíduo se alimenta</w:t>
      </w:r>
      <w:r w:rsidR="00F64E0C">
        <w:rPr>
          <w:rFonts w:ascii="Arial" w:hAnsi="Arial" w:cs="Arial"/>
          <w:sz w:val="24"/>
        </w:rPr>
        <w:t xml:space="preserve"> corresponde a uma das tarefas que </w:t>
      </w:r>
      <w:r w:rsidR="009B7E4C">
        <w:rPr>
          <w:rFonts w:ascii="Arial" w:hAnsi="Arial" w:cs="Arial"/>
          <w:sz w:val="24"/>
        </w:rPr>
        <w:t>integra</w:t>
      </w:r>
      <w:r w:rsidR="00F64E0C">
        <w:rPr>
          <w:rFonts w:ascii="Arial" w:hAnsi="Arial" w:cs="Arial"/>
          <w:sz w:val="24"/>
        </w:rPr>
        <w:t xml:space="preserve"> a dimensão autocuidado da MIF. D</w:t>
      </w:r>
      <w:r w:rsidR="003308C5">
        <w:rPr>
          <w:rFonts w:ascii="Arial" w:hAnsi="Arial" w:cs="Arial"/>
          <w:sz w:val="24"/>
        </w:rPr>
        <w:t>eformidade</w:t>
      </w:r>
      <w:r w:rsidR="004E182D">
        <w:rPr>
          <w:rFonts w:ascii="Arial" w:hAnsi="Arial" w:cs="Arial"/>
          <w:sz w:val="24"/>
        </w:rPr>
        <w:t>s</w:t>
      </w:r>
      <w:r w:rsidR="003308C5">
        <w:rPr>
          <w:rFonts w:ascii="Arial" w:hAnsi="Arial" w:cs="Arial"/>
          <w:sz w:val="24"/>
        </w:rPr>
        <w:t xml:space="preserve"> das mãos</w:t>
      </w:r>
      <w:r w:rsidR="00F64E0C">
        <w:rPr>
          <w:rFonts w:ascii="Arial" w:hAnsi="Arial" w:cs="Arial"/>
          <w:sz w:val="24"/>
        </w:rPr>
        <w:t>, como flexão das articulações interfalangeanas</w:t>
      </w:r>
      <w:r w:rsidR="000F49A1">
        <w:rPr>
          <w:rFonts w:ascii="Arial" w:hAnsi="Arial" w:cs="Arial"/>
          <w:sz w:val="24"/>
        </w:rPr>
        <w:t>, dedos curtos</w:t>
      </w:r>
      <w:r w:rsidR="0062161D">
        <w:rPr>
          <w:rFonts w:ascii="Arial" w:hAnsi="Arial" w:cs="Arial"/>
          <w:sz w:val="24"/>
        </w:rPr>
        <w:t xml:space="preserve"> e </w:t>
      </w:r>
      <w:r w:rsidR="00F64E0C">
        <w:rPr>
          <w:rFonts w:ascii="Arial" w:hAnsi="Arial" w:cs="Arial"/>
          <w:sz w:val="24"/>
        </w:rPr>
        <w:t xml:space="preserve">rigidez articular, dificultam a realização de </w:t>
      </w:r>
      <w:r w:rsidR="00CA0329">
        <w:rPr>
          <w:rFonts w:ascii="Arial" w:hAnsi="Arial" w:cs="Arial"/>
          <w:sz w:val="24"/>
        </w:rPr>
        <w:t xml:space="preserve">atividades </w:t>
      </w:r>
      <w:r w:rsidR="00687B11">
        <w:rPr>
          <w:rFonts w:ascii="Arial" w:hAnsi="Arial" w:cs="Arial"/>
          <w:sz w:val="24"/>
        </w:rPr>
        <w:t>cotidianas</w:t>
      </w:r>
      <w:r w:rsidR="00CA0329">
        <w:rPr>
          <w:rFonts w:ascii="Arial" w:hAnsi="Arial" w:cs="Arial"/>
          <w:sz w:val="24"/>
        </w:rPr>
        <w:t>, incluindo</w:t>
      </w:r>
      <w:r w:rsidR="007B1266">
        <w:rPr>
          <w:rFonts w:ascii="Arial" w:hAnsi="Arial" w:cs="Arial"/>
          <w:sz w:val="24"/>
        </w:rPr>
        <w:t xml:space="preserve"> </w:t>
      </w:r>
      <w:r w:rsidR="00B51D42">
        <w:rPr>
          <w:rFonts w:ascii="Arial" w:hAnsi="Arial" w:cs="Arial"/>
          <w:sz w:val="24"/>
        </w:rPr>
        <w:t>o ato de alimentar-se,</w:t>
      </w:r>
      <w:r w:rsidR="00850C34">
        <w:rPr>
          <w:rFonts w:ascii="Arial" w:hAnsi="Arial" w:cs="Arial"/>
          <w:sz w:val="24"/>
        </w:rPr>
        <w:t xml:space="preserve"> </w:t>
      </w:r>
      <w:r w:rsidR="00724E68">
        <w:rPr>
          <w:rFonts w:ascii="Arial" w:hAnsi="Arial" w:cs="Arial"/>
          <w:sz w:val="24"/>
        </w:rPr>
        <w:t xml:space="preserve">e </w:t>
      </w:r>
      <w:r w:rsidR="00850C34">
        <w:rPr>
          <w:rFonts w:ascii="Arial" w:hAnsi="Arial" w:cs="Arial"/>
          <w:sz w:val="24"/>
        </w:rPr>
        <w:t>d</w:t>
      </w:r>
      <w:r w:rsidR="00B51D42">
        <w:rPr>
          <w:rFonts w:ascii="Arial" w:hAnsi="Arial" w:cs="Arial"/>
          <w:sz w:val="24"/>
        </w:rPr>
        <w:t xml:space="preserve">e </w:t>
      </w:r>
      <w:r w:rsidR="009C1AF8">
        <w:rPr>
          <w:rFonts w:ascii="Arial" w:hAnsi="Arial" w:cs="Arial"/>
          <w:sz w:val="24"/>
        </w:rPr>
        <w:t xml:space="preserve">outras </w:t>
      </w:r>
      <w:r w:rsidR="00103C7E">
        <w:rPr>
          <w:rFonts w:ascii="Arial" w:hAnsi="Arial" w:cs="Arial"/>
          <w:sz w:val="24"/>
        </w:rPr>
        <w:t xml:space="preserve">atividades </w:t>
      </w:r>
      <w:r w:rsidR="009C1AF8">
        <w:rPr>
          <w:rFonts w:ascii="Arial" w:hAnsi="Arial" w:cs="Arial"/>
          <w:sz w:val="24"/>
        </w:rPr>
        <w:t>que necessitam de habilidade manual</w:t>
      </w:r>
      <w:r w:rsidR="009C1AF8">
        <w:rPr>
          <w:rFonts w:ascii="Arial" w:hAnsi="Arial" w:cs="Arial"/>
          <w:sz w:val="24"/>
        </w:rPr>
        <w:fldChar w:fldCharType="begin" w:fldLock="1"/>
      </w:r>
      <w:r w:rsidR="00624CDD">
        <w:rPr>
          <w:rFonts w:ascii="Arial" w:hAnsi="Arial" w:cs="Arial"/>
          <w:sz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"mendeley" : { "formattedCitation" : "&lt;sup&gt;4&lt;/sup&gt;", "plainTextFormattedCitation" : "4", "previouslyFormattedCitation" : "&lt;sup&gt;4&lt;/sup&gt;" }, "properties" : { "noteIndex" : 0 }, "schema" : "https://github.com/citation-style-language/schema/raw/master/csl-citation.json" }</w:instrText>
      </w:r>
      <w:r w:rsidR="009C1AF8">
        <w:rPr>
          <w:rFonts w:ascii="Arial" w:hAnsi="Arial" w:cs="Arial"/>
          <w:sz w:val="24"/>
        </w:rPr>
        <w:fldChar w:fldCharType="separate"/>
      </w:r>
      <w:r w:rsidR="009C1AF8" w:rsidRPr="009C1AF8">
        <w:rPr>
          <w:rFonts w:ascii="Arial" w:hAnsi="Arial" w:cs="Arial"/>
          <w:noProof/>
          <w:sz w:val="24"/>
          <w:vertAlign w:val="superscript"/>
        </w:rPr>
        <w:t>4</w:t>
      </w:r>
      <w:r w:rsidR="009C1AF8">
        <w:rPr>
          <w:rFonts w:ascii="Arial" w:hAnsi="Arial" w:cs="Arial"/>
          <w:sz w:val="24"/>
        </w:rPr>
        <w:fldChar w:fldCharType="end"/>
      </w:r>
      <w:r w:rsidR="009C1AF8">
        <w:rPr>
          <w:rFonts w:ascii="Arial" w:hAnsi="Arial" w:cs="Arial"/>
          <w:sz w:val="24"/>
        </w:rPr>
        <w:t xml:space="preserve">. </w:t>
      </w:r>
      <w:r w:rsidR="00F64E0C">
        <w:rPr>
          <w:rFonts w:ascii="Arial" w:hAnsi="Arial" w:cs="Arial"/>
          <w:sz w:val="24"/>
        </w:rPr>
        <w:t xml:space="preserve"> </w:t>
      </w:r>
      <w:r w:rsidR="003308C5">
        <w:rPr>
          <w:rFonts w:ascii="Arial" w:hAnsi="Arial" w:cs="Arial"/>
          <w:sz w:val="24"/>
        </w:rPr>
        <w:t xml:space="preserve"> </w:t>
      </w:r>
    </w:p>
    <w:p w:rsidR="00C87863" w:rsidRDefault="00C87863" w:rsidP="00F03F60">
      <w:pPr>
        <w:tabs>
          <w:tab w:val="left" w:pos="1418"/>
          <w:tab w:val="left" w:pos="1560"/>
        </w:tabs>
        <w:spacing w:after="0" w:line="360" w:lineRule="auto"/>
        <w:jc w:val="both"/>
        <w:rPr>
          <w:rFonts w:ascii="Arial" w:hAnsi="Arial" w:cs="Arial"/>
          <w:sz w:val="24"/>
        </w:rPr>
      </w:pPr>
    </w:p>
    <w:p w:rsidR="005A584E" w:rsidRDefault="00002414" w:rsidP="00F03F60">
      <w:pPr>
        <w:tabs>
          <w:tab w:val="left" w:pos="1418"/>
          <w:tab w:val="left" w:pos="1560"/>
        </w:tabs>
        <w:spacing w:after="0" w:line="360" w:lineRule="auto"/>
        <w:jc w:val="both"/>
        <w:rPr>
          <w:rFonts w:ascii="Arial" w:hAnsi="Arial" w:cs="Arial"/>
          <w:sz w:val="24"/>
        </w:rPr>
      </w:pPr>
      <w:r w:rsidRPr="0045336A">
        <w:rPr>
          <w:rFonts w:ascii="Arial" w:hAnsi="Arial" w:cs="Arial"/>
          <w:sz w:val="24"/>
        </w:rPr>
        <w:t>O</w:t>
      </w:r>
      <w:r w:rsidR="004E711F" w:rsidRPr="0045336A">
        <w:rPr>
          <w:rFonts w:ascii="Arial" w:hAnsi="Arial" w:cs="Arial"/>
          <w:sz w:val="24"/>
        </w:rPr>
        <w:t xml:space="preserve"> estudo </w:t>
      </w:r>
      <w:r w:rsidR="00896CA2" w:rsidRPr="0045336A">
        <w:rPr>
          <w:rFonts w:ascii="Arial" w:hAnsi="Arial" w:cs="Arial"/>
          <w:sz w:val="24"/>
        </w:rPr>
        <w:t>desenvolvido</w:t>
      </w:r>
      <w:r w:rsidR="00896CA2">
        <w:rPr>
          <w:rFonts w:ascii="Arial" w:hAnsi="Arial" w:cs="Arial"/>
          <w:sz w:val="24"/>
        </w:rPr>
        <w:t xml:space="preserve"> por O’Brien et al.</w:t>
      </w:r>
      <w:r w:rsidR="00FF6361" w:rsidRPr="00364704">
        <w:rPr>
          <w:rFonts w:ascii="Arial" w:hAnsi="Arial" w:cs="Arial"/>
          <w:sz w:val="24"/>
        </w:rPr>
        <w:fldChar w:fldCharType="begin" w:fldLock="1"/>
      </w:r>
      <w:r w:rsidR="003308C5">
        <w:rPr>
          <w:rFonts w:ascii="Arial" w:hAnsi="Arial" w:cs="Arial"/>
          <w:sz w:val="24"/>
        </w:rPr>
        <w:instrText>ADDIN CSL_CITATION { "citationItems" : [ { "id" : "ITEM-1", "itemData" : { "DOI" : "10.1097 / BPO.0000000000000168", "author" : [ { "dropping-particle" : "", "family" : "O'Brien", "given" : "Adam", "non-dropping-particle" : "", "parse-names" : false, "suffix" : "" }, { "dropping-particle" : "", "family" : "Bompadre", "given" : "Viviana", "non-dropping-particle" : "", "parse-names" : false, "suffix" : "" }, { "dropping-particle" : "", "family" : "Hale", "given" : "Susan", "non-dropping-particle" : "", "parse-names" : false, "suffix" : "" }, { "dropping-particle" : "", "family" : "White", "given" : "Klane K", "non-dropping-particle" : "", "parse-names" : false, "suffix" : "" } ], "container-title" : "J Pediatr Orthop", "id" : "ITEM-1", "issue" : "6", "issued" : { "date-parts" : [ [ "2014" ] ] }, "page" : "650-654", "title" : "Musculoskeletal function in patients with mucopolysaccharidosis using the Pediatric Outcomes Data Collection Instrument", "type" : "article-journal", "volume" : "34" }, "uris" : [ "http://www.mendeley.com/documents/?uuid=213ddf52-1e00-4586-a729-56cbe5df9817" ] } ], "mendeley" : { "formattedCitation" : "&lt;sup&gt;109&lt;/sup&gt;", "plainTextFormattedCitation" : "109", "previouslyFormattedCitation" : "&lt;sup&gt;109&lt;/sup&gt;" }, "properties" : { "noteIndex" : 0 }, "schema" : "https://github.com/citation-style-language/schema/raw/master/csl-citation.json" }</w:instrText>
      </w:r>
      <w:r w:rsidR="00FF6361" w:rsidRPr="00364704">
        <w:rPr>
          <w:rFonts w:ascii="Arial" w:hAnsi="Arial" w:cs="Arial"/>
          <w:sz w:val="24"/>
        </w:rPr>
        <w:fldChar w:fldCharType="separate"/>
      </w:r>
      <w:r w:rsidR="00E65B95" w:rsidRPr="00E65B95">
        <w:rPr>
          <w:rFonts w:ascii="Arial" w:hAnsi="Arial" w:cs="Arial"/>
          <w:noProof/>
          <w:sz w:val="24"/>
          <w:vertAlign w:val="superscript"/>
        </w:rPr>
        <w:t>109</w:t>
      </w:r>
      <w:r w:rsidR="00FF6361" w:rsidRPr="00364704">
        <w:rPr>
          <w:rFonts w:ascii="Arial" w:hAnsi="Arial" w:cs="Arial"/>
          <w:sz w:val="24"/>
        </w:rPr>
        <w:fldChar w:fldCharType="end"/>
      </w:r>
      <w:r w:rsidR="004E711F" w:rsidRPr="00364704">
        <w:rPr>
          <w:rFonts w:ascii="Arial" w:hAnsi="Arial" w:cs="Arial"/>
          <w:sz w:val="24"/>
        </w:rPr>
        <w:t xml:space="preserve"> para avaliar </w:t>
      </w:r>
      <w:r w:rsidR="00D22142" w:rsidRPr="00364704">
        <w:rPr>
          <w:rFonts w:ascii="Arial" w:hAnsi="Arial" w:cs="Arial"/>
          <w:sz w:val="24"/>
        </w:rPr>
        <w:t>a função</w:t>
      </w:r>
      <w:r w:rsidR="009473C3" w:rsidRPr="00364704">
        <w:rPr>
          <w:rFonts w:ascii="Arial" w:hAnsi="Arial" w:cs="Arial"/>
          <w:sz w:val="24"/>
        </w:rPr>
        <w:t xml:space="preserve"> f</w:t>
      </w:r>
      <w:r w:rsidR="00D22142" w:rsidRPr="00364704">
        <w:rPr>
          <w:rFonts w:ascii="Arial" w:hAnsi="Arial" w:cs="Arial"/>
          <w:sz w:val="24"/>
        </w:rPr>
        <w:t>ísica</w:t>
      </w:r>
      <w:r w:rsidR="005A584E" w:rsidRPr="00364704">
        <w:rPr>
          <w:rFonts w:ascii="Arial" w:hAnsi="Arial" w:cs="Arial"/>
          <w:sz w:val="24"/>
        </w:rPr>
        <w:t xml:space="preserve"> </w:t>
      </w:r>
      <w:r w:rsidR="004E711F" w:rsidRPr="00364704">
        <w:rPr>
          <w:rFonts w:ascii="Arial" w:hAnsi="Arial" w:cs="Arial"/>
          <w:sz w:val="24"/>
        </w:rPr>
        <w:t>de crianças</w:t>
      </w:r>
      <w:r w:rsidR="002A25C9" w:rsidRPr="00364704">
        <w:rPr>
          <w:rFonts w:ascii="Arial" w:hAnsi="Arial" w:cs="Arial"/>
          <w:sz w:val="24"/>
        </w:rPr>
        <w:t xml:space="preserve"> e adolescentes</w:t>
      </w:r>
      <w:r w:rsidR="008C4C6C">
        <w:rPr>
          <w:rFonts w:ascii="Arial" w:hAnsi="Arial" w:cs="Arial"/>
          <w:sz w:val="24"/>
        </w:rPr>
        <w:t>, com idade entre 2 e 15 anos, diagnosticados</w:t>
      </w:r>
      <w:r w:rsidR="004E711F" w:rsidRPr="00364704">
        <w:rPr>
          <w:rFonts w:ascii="Arial" w:hAnsi="Arial" w:cs="Arial"/>
          <w:sz w:val="24"/>
        </w:rPr>
        <w:t xml:space="preserve"> com MPS</w:t>
      </w:r>
      <w:r w:rsidR="00E62999" w:rsidRPr="00364704">
        <w:rPr>
          <w:rFonts w:ascii="Arial" w:hAnsi="Arial" w:cs="Arial"/>
          <w:sz w:val="24"/>
        </w:rPr>
        <w:t xml:space="preserve"> (n=16)</w:t>
      </w:r>
      <w:r w:rsidR="00E63981" w:rsidRPr="00364704">
        <w:rPr>
          <w:rFonts w:ascii="Arial" w:hAnsi="Arial" w:cs="Arial"/>
          <w:sz w:val="24"/>
        </w:rPr>
        <w:t>,</w:t>
      </w:r>
      <w:r w:rsidR="00381180" w:rsidRPr="00364704">
        <w:rPr>
          <w:rFonts w:ascii="Arial" w:hAnsi="Arial" w:cs="Arial"/>
          <w:sz w:val="24"/>
        </w:rPr>
        <w:t xml:space="preserve"> </w:t>
      </w:r>
      <w:r w:rsidR="002778DD" w:rsidRPr="00364704">
        <w:rPr>
          <w:rFonts w:ascii="Arial" w:hAnsi="Arial" w:cs="Arial"/>
          <w:sz w:val="24"/>
        </w:rPr>
        <w:t>constat</w:t>
      </w:r>
      <w:r w:rsidR="000C2984" w:rsidRPr="00364704">
        <w:rPr>
          <w:rFonts w:ascii="Arial" w:hAnsi="Arial" w:cs="Arial"/>
          <w:sz w:val="24"/>
        </w:rPr>
        <w:t xml:space="preserve">ou que </w:t>
      </w:r>
      <w:r w:rsidR="000D61D6" w:rsidRPr="00364704">
        <w:rPr>
          <w:rFonts w:ascii="Arial" w:hAnsi="Arial" w:cs="Arial"/>
          <w:sz w:val="24"/>
        </w:rPr>
        <w:t>aquel</w:t>
      </w:r>
      <w:r w:rsidR="002A25C9" w:rsidRPr="00364704">
        <w:rPr>
          <w:rFonts w:ascii="Arial" w:hAnsi="Arial" w:cs="Arial"/>
          <w:sz w:val="24"/>
        </w:rPr>
        <w:t>e</w:t>
      </w:r>
      <w:r w:rsidR="000D61D6" w:rsidRPr="00364704">
        <w:rPr>
          <w:rFonts w:ascii="Arial" w:hAnsi="Arial" w:cs="Arial"/>
          <w:sz w:val="24"/>
        </w:rPr>
        <w:t xml:space="preserve">s </w:t>
      </w:r>
      <w:r w:rsidR="004E711F" w:rsidRPr="00364704">
        <w:rPr>
          <w:rFonts w:ascii="Arial" w:hAnsi="Arial" w:cs="Arial"/>
          <w:sz w:val="24"/>
        </w:rPr>
        <w:t>com</w:t>
      </w:r>
      <w:r w:rsidR="00381180" w:rsidRPr="00364704">
        <w:rPr>
          <w:rFonts w:ascii="Arial" w:hAnsi="Arial" w:cs="Arial"/>
          <w:sz w:val="24"/>
        </w:rPr>
        <w:t xml:space="preserve"> o </w:t>
      </w:r>
      <w:r w:rsidR="004E711F" w:rsidRPr="00364704">
        <w:rPr>
          <w:rFonts w:ascii="Arial" w:hAnsi="Arial" w:cs="Arial"/>
          <w:sz w:val="24"/>
        </w:rPr>
        <w:t>tipo II</w:t>
      </w:r>
      <w:r w:rsidR="005A584E" w:rsidRPr="00364704">
        <w:rPr>
          <w:rFonts w:ascii="Arial" w:hAnsi="Arial" w:cs="Arial"/>
          <w:sz w:val="24"/>
        </w:rPr>
        <w:t xml:space="preserve"> (n=7)</w:t>
      </w:r>
      <w:r w:rsidR="00A26131" w:rsidRPr="00364704">
        <w:rPr>
          <w:rFonts w:ascii="Arial" w:hAnsi="Arial" w:cs="Arial"/>
          <w:sz w:val="24"/>
        </w:rPr>
        <w:t xml:space="preserve"> </w:t>
      </w:r>
      <w:r w:rsidR="004E711F" w:rsidRPr="00364704">
        <w:rPr>
          <w:rFonts w:ascii="Arial" w:hAnsi="Arial" w:cs="Arial"/>
          <w:sz w:val="24"/>
        </w:rPr>
        <w:t xml:space="preserve">tiveram menor desempenho </w:t>
      </w:r>
      <w:r w:rsidR="000D61D6" w:rsidRPr="00364704">
        <w:rPr>
          <w:rFonts w:ascii="Arial" w:hAnsi="Arial" w:cs="Arial"/>
          <w:sz w:val="24"/>
        </w:rPr>
        <w:t>funcional quando comparad</w:t>
      </w:r>
      <w:r w:rsidR="002A25C9" w:rsidRPr="00364704">
        <w:rPr>
          <w:rFonts w:ascii="Arial" w:hAnsi="Arial" w:cs="Arial"/>
          <w:sz w:val="24"/>
        </w:rPr>
        <w:t>o</w:t>
      </w:r>
      <w:r w:rsidR="000C2984" w:rsidRPr="00364704">
        <w:rPr>
          <w:rFonts w:ascii="Arial" w:hAnsi="Arial" w:cs="Arial"/>
          <w:sz w:val="24"/>
        </w:rPr>
        <w:t xml:space="preserve">s </w:t>
      </w:r>
      <w:r w:rsidR="005A584E" w:rsidRPr="00364704">
        <w:rPr>
          <w:rFonts w:ascii="Arial" w:hAnsi="Arial" w:cs="Arial"/>
          <w:sz w:val="24"/>
        </w:rPr>
        <w:t>às crianças e adolescentes com MPS tipo I (n=4), IV (n=4) e VI (n=1) e, também, quando comparados a crianças com desenvolvimento motor típico</w:t>
      </w:r>
      <w:r w:rsidR="005804C1" w:rsidRPr="00364704">
        <w:rPr>
          <w:rFonts w:ascii="Arial" w:hAnsi="Arial" w:cs="Arial"/>
          <w:sz w:val="24"/>
        </w:rPr>
        <w:t>. Os domínios avaliados pelo instrumento aplicado no</w:t>
      </w:r>
      <w:r w:rsidR="00FB1AC8" w:rsidRPr="00364704">
        <w:rPr>
          <w:rFonts w:ascii="Arial" w:hAnsi="Arial" w:cs="Arial"/>
          <w:sz w:val="24"/>
        </w:rPr>
        <w:t xml:space="preserve"> referido</w:t>
      </w:r>
      <w:r w:rsidR="005804C1" w:rsidRPr="00364704">
        <w:rPr>
          <w:rFonts w:ascii="Arial" w:hAnsi="Arial" w:cs="Arial"/>
          <w:sz w:val="24"/>
        </w:rPr>
        <w:t xml:space="preserve"> estudo – </w:t>
      </w:r>
      <w:r w:rsidR="005804C1" w:rsidRPr="00364704">
        <w:rPr>
          <w:rFonts w:ascii="Arial" w:hAnsi="Arial" w:cs="Arial"/>
          <w:i/>
          <w:sz w:val="24"/>
        </w:rPr>
        <w:t xml:space="preserve">Pediatric </w:t>
      </w:r>
      <w:proofErr w:type="spellStart"/>
      <w:r w:rsidR="005804C1" w:rsidRPr="00364704">
        <w:rPr>
          <w:rFonts w:ascii="Arial" w:hAnsi="Arial" w:cs="Arial"/>
          <w:i/>
          <w:sz w:val="24"/>
        </w:rPr>
        <w:lastRenderedPageBreak/>
        <w:t>Outcomes</w:t>
      </w:r>
      <w:proofErr w:type="spellEnd"/>
      <w:r w:rsidR="005804C1" w:rsidRPr="00364704">
        <w:rPr>
          <w:rFonts w:ascii="Arial" w:hAnsi="Arial" w:cs="Arial"/>
          <w:i/>
          <w:sz w:val="24"/>
        </w:rPr>
        <w:t xml:space="preserve"> Data </w:t>
      </w:r>
      <w:proofErr w:type="spellStart"/>
      <w:r w:rsidR="005804C1" w:rsidRPr="00364704">
        <w:rPr>
          <w:rFonts w:ascii="Arial" w:hAnsi="Arial" w:cs="Arial"/>
          <w:i/>
          <w:sz w:val="24"/>
        </w:rPr>
        <w:t>Collection</w:t>
      </w:r>
      <w:proofErr w:type="spellEnd"/>
      <w:r w:rsidR="005804C1" w:rsidRPr="00364704">
        <w:rPr>
          <w:rFonts w:ascii="Arial" w:hAnsi="Arial" w:cs="Arial"/>
          <w:i/>
          <w:sz w:val="24"/>
        </w:rPr>
        <w:t xml:space="preserve"> </w:t>
      </w:r>
      <w:proofErr w:type="spellStart"/>
      <w:r w:rsidR="005804C1" w:rsidRPr="00364704">
        <w:rPr>
          <w:rFonts w:ascii="Arial" w:hAnsi="Arial" w:cs="Arial"/>
          <w:i/>
          <w:sz w:val="24"/>
        </w:rPr>
        <w:t>Instrument</w:t>
      </w:r>
      <w:proofErr w:type="spellEnd"/>
      <w:r w:rsidR="005804C1" w:rsidRPr="00364704">
        <w:rPr>
          <w:rFonts w:ascii="Arial" w:hAnsi="Arial" w:cs="Arial"/>
          <w:sz w:val="24"/>
        </w:rPr>
        <w:t xml:space="preserve"> (PODCI) – correspondiam à função das extremidades superiores, transferência/mobilidade, esporte/condicionamento físico, dor/conforto, felicidade e funcionamento global.</w:t>
      </w:r>
      <w:r w:rsidR="00D306C2" w:rsidRPr="00364704">
        <w:rPr>
          <w:rFonts w:ascii="Arial" w:hAnsi="Arial" w:cs="Arial"/>
          <w:sz w:val="24"/>
        </w:rPr>
        <w:t xml:space="preserve"> </w:t>
      </w:r>
      <w:r w:rsidR="00EE26E4" w:rsidRPr="00364704">
        <w:rPr>
          <w:rFonts w:ascii="Arial" w:hAnsi="Arial" w:cs="Arial"/>
          <w:sz w:val="24"/>
        </w:rPr>
        <w:t xml:space="preserve">Na comparação entre os </w:t>
      </w:r>
      <w:r w:rsidR="00982B66" w:rsidRPr="00364704">
        <w:rPr>
          <w:rFonts w:ascii="Arial" w:hAnsi="Arial" w:cs="Arial"/>
          <w:sz w:val="24"/>
        </w:rPr>
        <w:t>pacientes com MPS</w:t>
      </w:r>
      <w:r w:rsidR="00EE26E4" w:rsidRPr="00364704">
        <w:rPr>
          <w:rFonts w:ascii="Arial" w:hAnsi="Arial" w:cs="Arial"/>
          <w:sz w:val="24"/>
        </w:rPr>
        <w:t xml:space="preserve">, </w:t>
      </w:r>
      <w:r w:rsidR="002C7BC4" w:rsidRPr="00364704">
        <w:rPr>
          <w:rFonts w:ascii="Arial" w:hAnsi="Arial" w:cs="Arial"/>
          <w:sz w:val="24"/>
        </w:rPr>
        <w:t>a</w:t>
      </w:r>
      <w:r w:rsidR="00D503DA" w:rsidRPr="00364704">
        <w:rPr>
          <w:rFonts w:ascii="Arial" w:hAnsi="Arial" w:cs="Arial"/>
          <w:sz w:val="24"/>
        </w:rPr>
        <w:t>s crianças e adolescentes c</w:t>
      </w:r>
      <w:r w:rsidR="00982B66" w:rsidRPr="00364704">
        <w:rPr>
          <w:rFonts w:ascii="Arial" w:hAnsi="Arial" w:cs="Arial"/>
          <w:sz w:val="24"/>
        </w:rPr>
        <w:t xml:space="preserve">om </w:t>
      </w:r>
      <w:r w:rsidR="00FB1AC8" w:rsidRPr="00364704">
        <w:rPr>
          <w:rFonts w:ascii="Arial" w:hAnsi="Arial" w:cs="Arial"/>
          <w:sz w:val="24"/>
        </w:rPr>
        <w:t>o tipo</w:t>
      </w:r>
      <w:r w:rsidR="00982B66" w:rsidRPr="00364704">
        <w:rPr>
          <w:rFonts w:ascii="Arial" w:hAnsi="Arial" w:cs="Arial"/>
          <w:sz w:val="24"/>
        </w:rPr>
        <w:t xml:space="preserve"> II obtiveram </w:t>
      </w:r>
      <w:r w:rsidR="002C7BC4" w:rsidRPr="00364704">
        <w:rPr>
          <w:rFonts w:ascii="Arial" w:hAnsi="Arial" w:cs="Arial"/>
          <w:sz w:val="24"/>
        </w:rPr>
        <w:t>menor pontuação no</w:t>
      </w:r>
      <w:r w:rsidR="00DF3BB3" w:rsidRPr="00364704">
        <w:rPr>
          <w:rFonts w:ascii="Arial" w:hAnsi="Arial" w:cs="Arial"/>
          <w:sz w:val="24"/>
        </w:rPr>
        <w:t xml:space="preserve"> </w:t>
      </w:r>
      <w:r w:rsidR="005804C1" w:rsidRPr="00364704">
        <w:rPr>
          <w:rFonts w:ascii="Arial" w:hAnsi="Arial" w:cs="Arial"/>
          <w:sz w:val="24"/>
        </w:rPr>
        <w:t>domínio funcionamento das extremidades superiores</w:t>
      </w:r>
      <w:r w:rsidR="002C7BC4" w:rsidRPr="00364704">
        <w:rPr>
          <w:rFonts w:ascii="Arial" w:hAnsi="Arial" w:cs="Arial"/>
          <w:sz w:val="24"/>
        </w:rPr>
        <w:t>. Est</w:t>
      </w:r>
      <w:r w:rsidR="005804C1" w:rsidRPr="00364704">
        <w:rPr>
          <w:rFonts w:ascii="Arial" w:hAnsi="Arial" w:cs="Arial"/>
          <w:sz w:val="24"/>
        </w:rPr>
        <w:t>e</w:t>
      </w:r>
      <w:r w:rsidR="00012C37" w:rsidRPr="00364704">
        <w:rPr>
          <w:rFonts w:ascii="Arial" w:hAnsi="Arial" w:cs="Arial"/>
          <w:sz w:val="24"/>
        </w:rPr>
        <w:t xml:space="preserve"> domínio</w:t>
      </w:r>
      <w:r w:rsidR="005804C1" w:rsidRPr="00364704">
        <w:rPr>
          <w:rFonts w:ascii="Arial" w:hAnsi="Arial" w:cs="Arial"/>
          <w:sz w:val="24"/>
        </w:rPr>
        <w:t xml:space="preserve"> foi superior apenas ao domínio </w:t>
      </w:r>
      <w:r w:rsidR="002C7BC4" w:rsidRPr="00364704">
        <w:rPr>
          <w:rFonts w:ascii="Arial" w:hAnsi="Arial" w:cs="Arial"/>
          <w:sz w:val="24"/>
        </w:rPr>
        <w:t>esporte/</w:t>
      </w:r>
      <w:r w:rsidR="005804C1" w:rsidRPr="00364704">
        <w:rPr>
          <w:rFonts w:ascii="Arial" w:hAnsi="Arial" w:cs="Arial"/>
          <w:sz w:val="24"/>
        </w:rPr>
        <w:t>condicionamento físico,</w:t>
      </w:r>
      <w:r w:rsidR="00F210E5" w:rsidRPr="00364704">
        <w:rPr>
          <w:rFonts w:ascii="Arial" w:hAnsi="Arial" w:cs="Arial"/>
          <w:sz w:val="24"/>
        </w:rPr>
        <w:t xml:space="preserve"> o</w:t>
      </w:r>
      <w:r w:rsidR="005804C1" w:rsidRPr="00364704">
        <w:rPr>
          <w:rFonts w:ascii="Arial" w:hAnsi="Arial" w:cs="Arial"/>
          <w:sz w:val="24"/>
        </w:rPr>
        <w:t xml:space="preserve"> qu</w:t>
      </w:r>
      <w:r w:rsidR="00F210E5" w:rsidRPr="00364704">
        <w:rPr>
          <w:rFonts w:ascii="Arial" w:hAnsi="Arial" w:cs="Arial"/>
          <w:sz w:val="24"/>
        </w:rPr>
        <w:t>al</w:t>
      </w:r>
      <w:r w:rsidR="005804C1" w:rsidRPr="00364704">
        <w:rPr>
          <w:rFonts w:ascii="Arial" w:hAnsi="Arial" w:cs="Arial"/>
          <w:sz w:val="24"/>
        </w:rPr>
        <w:t xml:space="preserve"> apresentou menor escore em todos os tipos de MPS estudados.</w:t>
      </w:r>
      <w:r w:rsidR="005804C1" w:rsidRPr="00364704">
        <w:rPr>
          <w:rFonts w:ascii="Arial" w:hAnsi="Arial" w:cs="Arial"/>
          <w:sz w:val="24"/>
        </w:rPr>
        <w:fldChar w:fldCharType="begin" w:fldLock="1"/>
      </w:r>
      <w:r w:rsidR="003308C5">
        <w:rPr>
          <w:rFonts w:ascii="Arial" w:hAnsi="Arial" w:cs="Arial"/>
          <w:sz w:val="24"/>
        </w:rPr>
        <w:instrText>ADDIN CSL_CITATION { "citationItems" : [ { "id" : "ITEM-1", "itemData" : { "DOI" : "10.1097 / BPO.0000000000000168", "author" : [ { "dropping-particle" : "", "family" : "O'Brien", "given" : "Adam", "non-dropping-particle" : "", "parse-names" : false, "suffix" : "" }, { "dropping-particle" : "", "family" : "Bompadre", "given" : "Viviana", "non-dropping-particle" : "", "parse-names" : false, "suffix" : "" }, { "dropping-particle" : "", "family" : "Hale", "given" : "Susan", "non-dropping-particle" : "", "parse-names" : false, "suffix" : "" }, { "dropping-particle" : "", "family" : "White", "given" : "Klane K", "non-dropping-particle" : "", "parse-names" : false, "suffix" : "" } ], "container-title" : "J Pediatr Orthop", "id" : "ITEM-1", "issue" : "6", "issued" : { "date-parts" : [ [ "2014" ] ] }, "page" : "650-654", "title" : "Musculoskeletal function in patients with mucopolysaccharidosis using the Pediatric Outcomes Data Collection Instrument", "type" : "article-journal", "volume" : "34" }, "uris" : [ "http://www.mendeley.com/documents/?uuid=213ddf52-1e00-4586-a729-56cbe5df9817" ] } ], "mendeley" : { "formattedCitation" : "&lt;sup&gt;109&lt;/sup&gt;", "plainTextFormattedCitation" : "109", "previouslyFormattedCitation" : "&lt;sup&gt;109&lt;/sup&gt;" }, "properties" : { "noteIndex" : 0 }, "schema" : "https://github.com/citation-style-language/schema/raw/master/csl-citation.json" }</w:instrText>
      </w:r>
      <w:r w:rsidR="005804C1" w:rsidRPr="00364704">
        <w:rPr>
          <w:rFonts w:ascii="Arial" w:hAnsi="Arial" w:cs="Arial"/>
          <w:sz w:val="24"/>
        </w:rPr>
        <w:fldChar w:fldCharType="separate"/>
      </w:r>
      <w:r w:rsidR="00E65B95" w:rsidRPr="00E65B95">
        <w:rPr>
          <w:rFonts w:ascii="Arial" w:hAnsi="Arial" w:cs="Arial"/>
          <w:noProof/>
          <w:sz w:val="24"/>
          <w:vertAlign w:val="superscript"/>
        </w:rPr>
        <w:t>109</w:t>
      </w:r>
      <w:r w:rsidR="005804C1" w:rsidRPr="00364704">
        <w:rPr>
          <w:rFonts w:ascii="Arial" w:hAnsi="Arial" w:cs="Arial"/>
          <w:sz w:val="24"/>
        </w:rPr>
        <w:fldChar w:fldCharType="end"/>
      </w:r>
    </w:p>
    <w:p w:rsidR="00B55498" w:rsidRDefault="00B55498" w:rsidP="00F03F60">
      <w:pPr>
        <w:tabs>
          <w:tab w:val="left" w:pos="1418"/>
          <w:tab w:val="left" w:pos="1560"/>
        </w:tabs>
        <w:spacing w:after="0" w:line="360" w:lineRule="auto"/>
        <w:jc w:val="both"/>
        <w:rPr>
          <w:rFonts w:ascii="Arial" w:hAnsi="Arial" w:cs="Arial"/>
          <w:sz w:val="24"/>
        </w:rPr>
      </w:pPr>
    </w:p>
    <w:p w:rsidR="001C5789" w:rsidRDefault="00E95173" w:rsidP="00F03F60">
      <w:pPr>
        <w:tabs>
          <w:tab w:val="left" w:pos="1418"/>
          <w:tab w:val="left" w:pos="1560"/>
        </w:tabs>
        <w:spacing w:after="0" w:line="360" w:lineRule="auto"/>
        <w:jc w:val="both"/>
        <w:rPr>
          <w:rFonts w:ascii="Arial" w:hAnsi="Arial" w:cs="Arial"/>
          <w:sz w:val="24"/>
        </w:rPr>
      </w:pPr>
      <w:r w:rsidRPr="00A83631">
        <w:rPr>
          <w:rFonts w:ascii="Arial" w:hAnsi="Arial" w:cs="Arial"/>
          <w:sz w:val="24"/>
        </w:rPr>
        <w:t>A hipótese para explicar</w:t>
      </w:r>
      <w:r>
        <w:rPr>
          <w:rFonts w:ascii="Arial" w:hAnsi="Arial" w:cs="Arial"/>
          <w:sz w:val="24"/>
        </w:rPr>
        <w:t xml:space="preserve"> </w:t>
      </w:r>
      <w:r w:rsidR="007952E4">
        <w:rPr>
          <w:rFonts w:ascii="Arial" w:hAnsi="Arial" w:cs="Arial"/>
          <w:sz w:val="24"/>
        </w:rPr>
        <w:t>os</w:t>
      </w:r>
      <w:r>
        <w:rPr>
          <w:rFonts w:ascii="Arial" w:hAnsi="Arial" w:cs="Arial"/>
          <w:sz w:val="24"/>
        </w:rPr>
        <w:t xml:space="preserve"> </w:t>
      </w:r>
      <w:r w:rsidR="00BC5BC4">
        <w:rPr>
          <w:rFonts w:ascii="Arial" w:hAnsi="Arial" w:cs="Arial"/>
          <w:sz w:val="24"/>
        </w:rPr>
        <w:t>resulta</w:t>
      </w:r>
      <w:r>
        <w:rPr>
          <w:rFonts w:ascii="Arial" w:hAnsi="Arial" w:cs="Arial"/>
          <w:sz w:val="24"/>
        </w:rPr>
        <w:t xml:space="preserve">dos </w:t>
      </w:r>
      <w:r w:rsidR="007952E4">
        <w:rPr>
          <w:rFonts w:ascii="Arial" w:hAnsi="Arial" w:cs="Arial"/>
          <w:sz w:val="24"/>
        </w:rPr>
        <w:t>d</w:t>
      </w:r>
      <w:r w:rsidR="00847BF1">
        <w:rPr>
          <w:rFonts w:ascii="Arial" w:hAnsi="Arial" w:cs="Arial"/>
          <w:sz w:val="24"/>
        </w:rPr>
        <w:t>esse</w:t>
      </w:r>
      <w:r w:rsidR="00624CDD">
        <w:rPr>
          <w:rFonts w:ascii="Arial" w:hAnsi="Arial" w:cs="Arial"/>
          <w:sz w:val="24"/>
        </w:rPr>
        <w:t>s</w:t>
      </w:r>
      <w:r w:rsidR="007952E4">
        <w:rPr>
          <w:rFonts w:ascii="Arial" w:hAnsi="Arial" w:cs="Arial"/>
          <w:sz w:val="24"/>
        </w:rPr>
        <w:t xml:space="preserve"> estudo</w:t>
      </w:r>
      <w:r w:rsidR="00624CDD">
        <w:rPr>
          <w:rFonts w:ascii="Arial" w:hAnsi="Arial" w:cs="Arial"/>
          <w:sz w:val="24"/>
        </w:rPr>
        <w:t>s</w:t>
      </w:r>
      <w:r w:rsidR="000D3B71">
        <w:rPr>
          <w:rFonts w:ascii="Arial" w:hAnsi="Arial" w:cs="Arial"/>
          <w:sz w:val="24"/>
        </w:rPr>
        <w:t xml:space="preserve"> </w:t>
      </w:r>
      <w:r>
        <w:rPr>
          <w:rFonts w:ascii="Arial" w:hAnsi="Arial" w:cs="Arial"/>
          <w:sz w:val="24"/>
        </w:rPr>
        <w:t xml:space="preserve">é </w:t>
      </w:r>
      <w:r w:rsidR="00B54DDB">
        <w:rPr>
          <w:rFonts w:ascii="Arial" w:hAnsi="Arial" w:cs="Arial"/>
          <w:sz w:val="24"/>
        </w:rPr>
        <w:t xml:space="preserve">de </w:t>
      </w:r>
      <w:r>
        <w:rPr>
          <w:rFonts w:ascii="Arial" w:hAnsi="Arial" w:cs="Arial"/>
          <w:sz w:val="24"/>
        </w:rPr>
        <w:t xml:space="preserve">que </w:t>
      </w:r>
      <w:r w:rsidR="00847BF1">
        <w:rPr>
          <w:rFonts w:ascii="Arial" w:hAnsi="Arial" w:cs="Arial"/>
          <w:sz w:val="24"/>
        </w:rPr>
        <w:t>o</w:t>
      </w:r>
      <w:r>
        <w:rPr>
          <w:rFonts w:ascii="Arial" w:hAnsi="Arial" w:cs="Arial"/>
          <w:sz w:val="24"/>
        </w:rPr>
        <w:t xml:space="preserve"> comprometimento</w:t>
      </w:r>
      <w:r w:rsidR="001C5789">
        <w:rPr>
          <w:rFonts w:ascii="Arial" w:hAnsi="Arial" w:cs="Arial"/>
          <w:sz w:val="24"/>
        </w:rPr>
        <w:t xml:space="preserve"> significativo</w:t>
      </w:r>
      <w:r w:rsidR="007952E4">
        <w:rPr>
          <w:rFonts w:ascii="Arial" w:hAnsi="Arial" w:cs="Arial"/>
          <w:sz w:val="24"/>
        </w:rPr>
        <w:t xml:space="preserve"> da função da mão em</w:t>
      </w:r>
      <w:r>
        <w:rPr>
          <w:rFonts w:ascii="Arial" w:hAnsi="Arial" w:cs="Arial"/>
          <w:sz w:val="24"/>
        </w:rPr>
        <w:t xml:space="preserve"> pacientes</w:t>
      </w:r>
      <w:r w:rsidR="00D6272D">
        <w:rPr>
          <w:rFonts w:ascii="Arial" w:hAnsi="Arial" w:cs="Arial"/>
          <w:sz w:val="24"/>
        </w:rPr>
        <w:t xml:space="preserve"> </w:t>
      </w:r>
      <w:r w:rsidR="007952E4">
        <w:rPr>
          <w:rFonts w:ascii="Arial" w:hAnsi="Arial" w:cs="Arial"/>
          <w:sz w:val="24"/>
        </w:rPr>
        <w:t>com</w:t>
      </w:r>
      <w:r w:rsidR="0039713C">
        <w:rPr>
          <w:rFonts w:ascii="Arial" w:hAnsi="Arial" w:cs="Arial"/>
          <w:sz w:val="24"/>
        </w:rPr>
        <w:t xml:space="preserve"> MPS </w:t>
      </w:r>
      <w:r w:rsidR="00847BF1">
        <w:rPr>
          <w:rFonts w:ascii="Arial" w:hAnsi="Arial" w:cs="Arial"/>
          <w:sz w:val="24"/>
        </w:rPr>
        <w:t>interfere no desempenho funcional desses indivíduos</w:t>
      </w:r>
      <w:r w:rsidR="00B71075">
        <w:rPr>
          <w:rFonts w:ascii="Arial" w:hAnsi="Arial" w:cs="Arial"/>
          <w:sz w:val="24"/>
        </w:rPr>
        <w:t>. Ao estudar a ocorrência da síndrome do túnel do carpo em c</w:t>
      </w:r>
      <w:r w:rsidR="00624CDD">
        <w:rPr>
          <w:rFonts w:ascii="Arial" w:hAnsi="Arial" w:cs="Arial"/>
          <w:sz w:val="24"/>
        </w:rPr>
        <w:t>rianças diagnosticadas com</w:t>
      </w:r>
      <w:r w:rsidR="003454CE">
        <w:rPr>
          <w:rFonts w:ascii="Arial" w:hAnsi="Arial" w:cs="Arial"/>
          <w:sz w:val="24"/>
        </w:rPr>
        <w:t xml:space="preserve"> MPS</w:t>
      </w:r>
      <w:r w:rsidR="00624CDD">
        <w:rPr>
          <w:rFonts w:ascii="Arial" w:hAnsi="Arial" w:cs="Arial"/>
          <w:sz w:val="24"/>
        </w:rPr>
        <w:t xml:space="preserve"> tipo II</w:t>
      </w:r>
      <w:r w:rsidR="00B71075">
        <w:rPr>
          <w:rFonts w:ascii="Arial" w:hAnsi="Arial" w:cs="Arial"/>
          <w:sz w:val="24"/>
        </w:rPr>
        <w:t xml:space="preserve">,  </w:t>
      </w:r>
      <w:r w:rsidR="007A23FF">
        <w:rPr>
          <w:rFonts w:ascii="Arial" w:hAnsi="Arial" w:cs="Arial"/>
          <w:sz w:val="24"/>
        </w:rPr>
        <w:t>Know et al</w:t>
      </w:r>
      <w:r w:rsidR="00CE4335">
        <w:rPr>
          <w:rFonts w:ascii="Arial" w:hAnsi="Arial" w:cs="Arial"/>
          <w:sz w:val="24"/>
        </w:rPr>
        <w:t>.</w:t>
      </w:r>
      <w:r w:rsidR="00FC7718">
        <w:rPr>
          <w:rFonts w:ascii="Arial" w:hAnsi="Arial" w:cs="Arial"/>
          <w:sz w:val="24"/>
        </w:rPr>
        <w:fldChar w:fldCharType="begin" w:fldLock="1"/>
      </w:r>
      <w:r w:rsidR="00195481">
        <w:rPr>
          <w:rFonts w:ascii="Arial" w:hAnsi="Arial" w:cs="Arial"/>
          <w:sz w:val="24"/>
        </w:rPr>
        <w:instrText>ADDIN CSL_CITATION { "citationItems" : [ { "id" : "ITEM-1", "itemData" : { "DOI" : "10.1002/ajmg.a.34013", "ISSN" : "1552-4833", "PMID" : "21567931", "abstract" : "Although carpal tunnel syndrome (CTS) is the most common compressive neuropathy seen in the upper extremity of adults, it is rarely seen in children. Several reports have shown that mucopolysaccharidosis type II (Hunter syndrome), a rare genetic disorder, is one of the causes of CTS in children. Usual symptoms of CTS are pain, weakness, and paresthesias in the hand and digits. However, the diagnosis of CTS in Hunter syndrome is often delayed or unrecognized because of atypical symptoms and cognitive impairment. Here, we report the prevalence, clinical manifestation, and nerve conduction profiles of CTS in 45 Hunter syndrome patients. The mean age of the study participants was 117.1 (74.9) months (range: 4-408 months); all patients were male. Forty-three (96.0%) of the 45 patients with Hunter syndrome had CTS. Bilateral CTS was observed in all patients; 73 (82.0%) of the patients' hands had severe degree of CTS. Intriguingly, in contrast with other nerve velocities, decreases in forearm conduction velocities of the median nerve were observed in 28 (31.5%) of 89 hands with CTS. There was a significant difference in age (P &lt; 0.001) between hands with normal, mild, moderate, and severe grades of CTS. The compound muscle action potential and sensory nerve action potential amplitudes of the median nerves decreased with age (CMAP, r = -0.526, P &lt; 0.001; SNAP, r = -0.564, P &lt; 0.001). Early recognition and intervention to ameliorate the symptoms of CTS are important in improving the quality of life of Hunter syndrome patients.", "author" : [ { "dropping-particle" : "", "family" : "Kwon", "given" : "Jeong-Yi", "non-dropping-particle" : "", "parse-names" : false, "suffix" : "" }, { "dropping-particle" : "", "family" : "Ko", "given" : "Kiljun", "non-dropping-particle" : "", "parse-names" : false, "suffix" : "" }, { "dropping-particle" : "", "family" : "Sohn", "given" : "Young Bae", "non-dropping-particle" : "", "parse-names" : false, "suffix" : "" }, { "dropping-particle" : "", "family" : "Kim", "given" : "Su Jin", "non-dropping-particle" : "", "parse-names" : false, "suffix" : "" }, { "dropping-particle" : "", "family" : "Park", "given" : "Sung Won", "non-dropping-particle" : "", "parse-names" : false, "suffix" : "" }, { "dropping-particle" : "", "family" : "Kim", "given" : "Se-Hwa", "non-dropping-particle" : "", "parse-names" : false, "suffix" : "" }, { "dropping-particle" : "", "family" : "Cho", "given" : "Sung-Yoon", "non-dropping-particle" : "", "parse-names" : false, "suffix" : "" }, { "dropping-particle" : "", "family" : "Jin", "given" : "Dong-Kyu", "non-dropping-particle" : "", "parse-names" : false, "suffix" : "" } ], "container-title" : "American journal of medical genetics. Part A", "id" : "ITEM-1", "issued" : { "date-parts" : [ [ "2011" ] ] }, "page" : "1329-1335", "title" : "High prevalence of carpal tunnel syndrome in children with mucopolysaccharidosis type II (Hunter syndrome).", "type" : "article-journal", "volume" : "155A" }, "uris" : [ "http://www.mendeley.com/documents/?uuid=3b0b0d7b-9cb5-45a6-8027-ae368376e55d" ] } ], "mendeley" : { "formattedCitation" : "&lt;sup&gt;57&lt;/sup&gt;", "plainTextFormattedCitation" : "57", "previouslyFormattedCitation" : "&lt;sup&gt;57&lt;/sup&gt;" }, "properties" : { "noteIndex" : 0 }, "schema" : "https://github.com/citation-style-language/schema/raw/master/csl-citation.json" }</w:instrText>
      </w:r>
      <w:r w:rsidR="00FC7718">
        <w:rPr>
          <w:rFonts w:ascii="Arial" w:hAnsi="Arial" w:cs="Arial"/>
          <w:sz w:val="24"/>
        </w:rPr>
        <w:fldChar w:fldCharType="separate"/>
      </w:r>
      <w:r w:rsidR="00412B48" w:rsidRPr="00412B48">
        <w:rPr>
          <w:rFonts w:ascii="Arial" w:hAnsi="Arial" w:cs="Arial"/>
          <w:noProof/>
          <w:sz w:val="24"/>
          <w:vertAlign w:val="superscript"/>
        </w:rPr>
        <w:t>57</w:t>
      </w:r>
      <w:r w:rsidR="00FC7718">
        <w:rPr>
          <w:rFonts w:ascii="Arial" w:hAnsi="Arial" w:cs="Arial"/>
          <w:sz w:val="24"/>
        </w:rPr>
        <w:fldChar w:fldCharType="end"/>
      </w:r>
      <w:r w:rsidR="00226EBB">
        <w:rPr>
          <w:rFonts w:ascii="Arial" w:hAnsi="Arial" w:cs="Arial"/>
          <w:sz w:val="24"/>
        </w:rPr>
        <w:t xml:space="preserve"> </w:t>
      </w:r>
      <w:r w:rsidR="00C26336">
        <w:rPr>
          <w:rFonts w:ascii="Arial" w:hAnsi="Arial" w:cs="Arial"/>
          <w:sz w:val="24"/>
        </w:rPr>
        <w:t>afirmaram</w:t>
      </w:r>
      <w:r w:rsidR="00226EBB">
        <w:rPr>
          <w:rFonts w:ascii="Arial" w:hAnsi="Arial" w:cs="Arial"/>
          <w:sz w:val="24"/>
        </w:rPr>
        <w:t xml:space="preserve"> que </w:t>
      </w:r>
      <w:r w:rsidR="00B71075">
        <w:rPr>
          <w:rFonts w:ascii="Arial" w:hAnsi="Arial" w:cs="Arial"/>
          <w:sz w:val="24"/>
        </w:rPr>
        <w:t>essa injúria</w:t>
      </w:r>
      <w:r w:rsidR="00226EBB">
        <w:rPr>
          <w:rFonts w:ascii="Arial" w:hAnsi="Arial" w:cs="Arial"/>
          <w:sz w:val="24"/>
        </w:rPr>
        <w:t xml:space="preserve"> tem </w:t>
      </w:r>
      <w:r w:rsidR="009D3350">
        <w:rPr>
          <w:rFonts w:ascii="Arial" w:hAnsi="Arial" w:cs="Arial"/>
          <w:sz w:val="24"/>
        </w:rPr>
        <w:t>etiologia</w:t>
      </w:r>
      <w:r w:rsidR="00226EBB">
        <w:rPr>
          <w:rFonts w:ascii="Arial" w:hAnsi="Arial" w:cs="Arial"/>
          <w:sz w:val="24"/>
        </w:rPr>
        <w:t xml:space="preserve"> genética</w:t>
      </w:r>
      <w:r w:rsidR="00D6272D">
        <w:rPr>
          <w:rFonts w:ascii="Arial" w:hAnsi="Arial" w:cs="Arial"/>
          <w:sz w:val="24"/>
        </w:rPr>
        <w:t>;</w:t>
      </w:r>
      <w:r w:rsidR="00226EBB">
        <w:rPr>
          <w:rFonts w:ascii="Arial" w:hAnsi="Arial" w:cs="Arial"/>
          <w:sz w:val="24"/>
        </w:rPr>
        <w:t xml:space="preserve"> e o diagnóstico tardio</w:t>
      </w:r>
      <w:r w:rsidR="004D6916">
        <w:rPr>
          <w:rFonts w:ascii="Arial" w:hAnsi="Arial" w:cs="Arial"/>
          <w:sz w:val="24"/>
        </w:rPr>
        <w:t>,</w:t>
      </w:r>
      <w:r w:rsidR="00226EBB">
        <w:rPr>
          <w:rFonts w:ascii="Arial" w:hAnsi="Arial" w:cs="Arial"/>
          <w:sz w:val="24"/>
        </w:rPr>
        <w:t xml:space="preserve"> em virtude </w:t>
      </w:r>
      <w:r w:rsidR="007B002A">
        <w:rPr>
          <w:rFonts w:ascii="Arial" w:hAnsi="Arial" w:cs="Arial"/>
          <w:sz w:val="24"/>
        </w:rPr>
        <w:t>d</w:t>
      </w:r>
      <w:r w:rsidR="00D6272D">
        <w:rPr>
          <w:rFonts w:ascii="Arial" w:hAnsi="Arial" w:cs="Arial"/>
          <w:sz w:val="24"/>
        </w:rPr>
        <w:t>o comprometimento cognitivo e d</w:t>
      </w:r>
      <w:r w:rsidR="007B002A">
        <w:rPr>
          <w:rFonts w:ascii="Arial" w:hAnsi="Arial" w:cs="Arial"/>
          <w:sz w:val="24"/>
        </w:rPr>
        <w:t>a difi</w:t>
      </w:r>
      <w:r w:rsidR="009929B0">
        <w:rPr>
          <w:rFonts w:ascii="Arial" w:hAnsi="Arial" w:cs="Arial"/>
          <w:sz w:val="24"/>
        </w:rPr>
        <w:t>culdade de compreensão</w:t>
      </w:r>
      <w:r w:rsidR="007769BE">
        <w:rPr>
          <w:rFonts w:ascii="Arial" w:hAnsi="Arial" w:cs="Arial"/>
          <w:sz w:val="24"/>
        </w:rPr>
        <w:t xml:space="preserve"> desencadeados pela doença</w:t>
      </w:r>
      <w:r w:rsidR="00811B09">
        <w:rPr>
          <w:rFonts w:ascii="Arial" w:hAnsi="Arial" w:cs="Arial"/>
          <w:sz w:val="24"/>
        </w:rPr>
        <w:t>,</w:t>
      </w:r>
      <w:r w:rsidR="00D6272D">
        <w:rPr>
          <w:rFonts w:ascii="Arial" w:hAnsi="Arial" w:cs="Arial"/>
          <w:sz w:val="24"/>
        </w:rPr>
        <w:t xml:space="preserve"> contribui</w:t>
      </w:r>
      <w:r w:rsidR="007B002A">
        <w:rPr>
          <w:rFonts w:ascii="Arial" w:hAnsi="Arial" w:cs="Arial"/>
          <w:sz w:val="24"/>
        </w:rPr>
        <w:t xml:space="preserve"> para a perda completa da função</w:t>
      </w:r>
      <w:r w:rsidR="00226EBB">
        <w:rPr>
          <w:rFonts w:ascii="Arial" w:hAnsi="Arial" w:cs="Arial"/>
          <w:sz w:val="24"/>
        </w:rPr>
        <w:t xml:space="preserve"> </w:t>
      </w:r>
      <w:r w:rsidR="003F238A">
        <w:rPr>
          <w:rFonts w:ascii="Arial" w:hAnsi="Arial" w:cs="Arial"/>
          <w:sz w:val="24"/>
        </w:rPr>
        <w:t>da mão</w:t>
      </w:r>
      <w:r w:rsidR="00226EBB">
        <w:rPr>
          <w:rFonts w:ascii="Arial" w:hAnsi="Arial" w:cs="Arial"/>
          <w:sz w:val="24"/>
        </w:rPr>
        <w:t>.</w:t>
      </w:r>
      <w:r w:rsidR="00226EBB">
        <w:rPr>
          <w:rFonts w:ascii="Arial" w:hAnsi="Arial" w:cs="Arial"/>
          <w:sz w:val="24"/>
        </w:rPr>
        <w:fldChar w:fldCharType="begin" w:fldLock="1"/>
      </w:r>
      <w:r w:rsidR="00195481">
        <w:rPr>
          <w:rFonts w:ascii="Arial" w:hAnsi="Arial" w:cs="Arial"/>
          <w:sz w:val="24"/>
        </w:rPr>
        <w:instrText>ADDIN CSL_CITATION { "citationItems" : [ { "id" : "ITEM-1", "itemData" : { "DOI" : "10.1002/ajmg.a.34013", "ISSN" : "1552-4833", "PMID" : "21567931", "abstract" : "Although carpal tunnel syndrome (CTS) is the most common compressive neuropathy seen in the upper extremity of adults, it is rarely seen in children. Several reports have shown that mucopolysaccharidosis type II (Hunter syndrome), a rare genetic disorder, is one of the causes of CTS in children. Usual symptoms of CTS are pain, weakness, and paresthesias in the hand and digits. However, the diagnosis of CTS in Hunter syndrome is often delayed or unrecognized because of atypical symptoms and cognitive impairment. Here, we report the prevalence, clinical manifestation, and nerve conduction profiles of CTS in 45 Hunter syndrome patients. The mean age of the study participants was 117.1 (74.9) months (range: 4-408 months); all patients were male. Forty-three (96.0%) of the 45 patients with Hunter syndrome had CTS. Bilateral CTS was observed in all patients; 73 (82.0%) of the patients' hands had severe degree of CTS. Intriguingly, in contrast with other nerve velocities, decreases in forearm conduction velocities of the median nerve were observed in 28 (31.5%) of 89 hands with CTS. There was a significant difference in age (P &lt; 0.001) between hands with normal, mild, moderate, and severe grades of CTS. The compound muscle action potential and sensory nerve action potential amplitudes of the median nerves decreased with age (CMAP, r = -0.526, P &lt; 0.001; SNAP, r = -0.564, P &lt; 0.001). Early recognition and intervention to ameliorate the symptoms of CTS are important in improving the quality of life of Hunter syndrome patients.", "author" : [ { "dropping-particle" : "", "family" : "Kwon", "given" : "Jeong-Yi", "non-dropping-particle" : "", "parse-names" : false, "suffix" : "" }, { "dropping-particle" : "", "family" : "Ko", "given" : "Kiljun", "non-dropping-particle" : "", "parse-names" : false, "suffix" : "" }, { "dropping-particle" : "", "family" : "Sohn", "given" : "Young Bae", "non-dropping-particle" : "", "parse-names" : false, "suffix" : "" }, { "dropping-particle" : "", "family" : "Kim", "given" : "Su Jin", "non-dropping-particle" : "", "parse-names" : false, "suffix" : "" }, { "dropping-particle" : "", "family" : "Park", "given" : "Sung Won", "non-dropping-particle" : "", "parse-names" : false, "suffix" : "" }, { "dropping-particle" : "", "family" : "Kim", "given" : "Se-Hwa", "non-dropping-particle" : "", "parse-names" : false, "suffix" : "" }, { "dropping-particle" : "", "family" : "Cho", "given" : "Sung-Yoon", "non-dropping-particle" : "", "parse-names" : false, "suffix" : "" }, { "dropping-particle" : "", "family" : "Jin", "given" : "Dong-Kyu", "non-dropping-particle" : "", "parse-names" : false, "suffix" : "" } ], "container-title" : "American journal of medical genetics. Part A", "id" : "ITEM-1", "issued" : { "date-parts" : [ [ "2011" ] ] }, "page" : "1329-1335", "title" : "High prevalence of carpal tunnel syndrome in children with mucopolysaccharidosis type II (Hunter syndrome).", "type" : "article-journal", "volume" : "155A" }, "uris" : [ "http://www.mendeley.com/documents/?uuid=3b0b0d7b-9cb5-45a6-8027-ae368376e55d" ] } ], "mendeley" : { "formattedCitation" : "&lt;sup&gt;57&lt;/sup&gt;", "plainTextFormattedCitation" : "57", "previouslyFormattedCitation" : "&lt;sup&gt;57&lt;/sup&gt;" }, "properties" : { "noteIndex" : 0 }, "schema" : "https://github.com/citation-style-language/schema/raw/master/csl-citation.json" }</w:instrText>
      </w:r>
      <w:r w:rsidR="00226EBB">
        <w:rPr>
          <w:rFonts w:ascii="Arial" w:hAnsi="Arial" w:cs="Arial"/>
          <w:sz w:val="24"/>
        </w:rPr>
        <w:fldChar w:fldCharType="separate"/>
      </w:r>
      <w:r w:rsidR="00412B48" w:rsidRPr="00412B48">
        <w:rPr>
          <w:rFonts w:ascii="Arial" w:hAnsi="Arial" w:cs="Arial"/>
          <w:noProof/>
          <w:sz w:val="24"/>
          <w:vertAlign w:val="superscript"/>
        </w:rPr>
        <w:t>57</w:t>
      </w:r>
      <w:r w:rsidR="00226EBB">
        <w:rPr>
          <w:rFonts w:ascii="Arial" w:hAnsi="Arial" w:cs="Arial"/>
          <w:sz w:val="24"/>
        </w:rPr>
        <w:fldChar w:fldCharType="end"/>
      </w:r>
      <w:r w:rsidR="002973C7">
        <w:rPr>
          <w:rFonts w:ascii="Arial" w:hAnsi="Arial" w:cs="Arial"/>
          <w:sz w:val="24"/>
        </w:rPr>
        <w:t xml:space="preserve"> </w:t>
      </w:r>
      <w:r w:rsidR="00D10927">
        <w:rPr>
          <w:rFonts w:ascii="Arial" w:hAnsi="Arial" w:cs="Arial"/>
          <w:sz w:val="24"/>
        </w:rPr>
        <w:t>Ten</w:t>
      </w:r>
      <w:r w:rsidR="001C1996">
        <w:rPr>
          <w:rFonts w:ascii="Arial" w:hAnsi="Arial" w:cs="Arial"/>
          <w:sz w:val="24"/>
        </w:rPr>
        <w:t>do em vista</w:t>
      </w:r>
      <w:r w:rsidR="009E4A84">
        <w:rPr>
          <w:rFonts w:ascii="Arial" w:hAnsi="Arial" w:cs="Arial"/>
          <w:sz w:val="24"/>
        </w:rPr>
        <w:t xml:space="preserve"> que </w:t>
      </w:r>
      <w:r w:rsidR="007A23FF">
        <w:rPr>
          <w:rFonts w:ascii="Arial" w:hAnsi="Arial" w:cs="Arial"/>
          <w:sz w:val="24"/>
        </w:rPr>
        <w:t>parte</w:t>
      </w:r>
      <w:r w:rsidR="009E4A84">
        <w:rPr>
          <w:rFonts w:ascii="Arial" w:hAnsi="Arial" w:cs="Arial"/>
          <w:sz w:val="24"/>
        </w:rPr>
        <w:t xml:space="preserve"> das atividades </w:t>
      </w:r>
      <w:r w:rsidR="004527F1">
        <w:rPr>
          <w:rFonts w:ascii="Arial" w:hAnsi="Arial" w:cs="Arial"/>
          <w:sz w:val="24"/>
        </w:rPr>
        <w:t>cotidianas</w:t>
      </w:r>
      <w:r w:rsidR="009E4A84">
        <w:rPr>
          <w:rFonts w:ascii="Arial" w:hAnsi="Arial" w:cs="Arial"/>
          <w:sz w:val="24"/>
        </w:rPr>
        <w:t xml:space="preserve"> exige habilidade</w:t>
      </w:r>
      <w:r w:rsidR="001C5789">
        <w:rPr>
          <w:rFonts w:ascii="Arial" w:hAnsi="Arial" w:cs="Arial"/>
          <w:sz w:val="24"/>
        </w:rPr>
        <w:t xml:space="preserve"> e/ou força manual, </w:t>
      </w:r>
      <w:r>
        <w:rPr>
          <w:rFonts w:ascii="Arial" w:hAnsi="Arial" w:cs="Arial"/>
          <w:sz w:val="24"/>
        </w:rPr>
        <w:t xml:space="preserve">quanto </w:t>
      </w:r>
      <w:r w:rsidR="007A23FF">
        <w:rPr>
          <w:rFonts w:ascii="Arial" w:hAnsi="Arial" w:cs="Arial"/>
          <w:sz w:val="24"/>
        </w:rPr>
        <w:t xml:space="preserve">maior o acometimento da mão, </w:t>
      </w:r>
      <w:r w:rsidR="00F5788D">
        <w:rPr>
          <w:rFonts w:ascii="Arial" w:hAnsi="Arial" w:cs="Arial"/>
          <w:sz w:val="24"/>
        </w:rPr>
        <w:t xml:space="preserve">maior </w:t>
      </w:r>
      <w:r w:rsidR="00720292">
        <w:rPr>
          <w:rFonts w:ascii="Arial" w:hAnsi="Arial" w:cs="Arial"/>
          <w:sz w:val="24"/>
        </w:rPr>
        <w:t xml:space="preserve">será </w:t>
      </w:r>
      <w:r w:rsidR="00F5788D">
        <w:rPr>
          <w:rFonts w:ascii="Arial" w:hAnsi="Arial" w:cs="Arial"/>
          <w:sz w:val="24"/>
        </w:rPr>
        <w:t xml:space="preserve">a necessidade de assistência para </w:t>
      </w:r>
      <w:r w:rsidR="007769BE">
        <w:rPr>
          <w:rFonts w:ascii="Arial" w:hAnsi="Arial" w:cs="Arial"/>
          <w:sz w:val="24"/>
        </w:rPr>
        <w:t>realizá-las</w:t>
      </w:r>
      <w:r w:rsidR="00D0377B">
        <w:rPr>
          <w:rFonts w:ascii="Arial" w:hAnsi="Arial" w:cs="Arial"/>
          <w:sz w:val="24"/>
        </w:rPr>
        <w:t>.</w:t>
      </w:r>
      <w:r w:rsidR="00B461F5">
        <w:rPr>
          <w:rFonts w:ascii="Arial" w:hAnsi="Arial" w:cs="Arial"/>
          <w:sz w:val="24"/>
        </w:rPr>
        <w:t xml:space="preserve"> </w:t>
      </w:r>
      <w:r w:rsidR="00831222">
        <w:rPr>
          <w:rFonts w:ascii="Arial" w:hAnsi="Arial" w:cs="Arial"/>
          <w:sz w:val="24"/>
        </w:rPr>
        <w:t>E, por conseguinte, maiores as</w:t>
      </w:r>
      <w:r w:rsidR="00DD640D">
        <w:rPr>
          <w:rFonts w:ascii="Arial" w:hAnsi="Arial" w:cs="Arial"/>
          <w:sz w:val="24"/>
        </w:rPr>
        <w:t xml:space="preserve"> dificuldade</w:t>
      </w:r>
      <w:r w:rsidR="00831222">
        <w:rPr>
          <w:rFonts w:ascii="Arial" w:hAnsi="Arial" w:cs="Arial"/>
          <w:sz w:val="24"/>
        </w:rPr>
        <w:t>s</w:t>
      </w:r>
      <w:r w:rsidR="00DD640D">
        <w:rPr>
          <w:rFonts w:ascii="Arial" w:hAnsi="Arial" w:cs="Arial"/>
          <w:sz w:val="24"/>
        </w:rPr>
        <w:t xml:space="preserve"> para </w:t>
      </w:r>
      <w:r w:rsidR="00831222">
        <w:rPr>
          <w:rFonts w:ascii="Arial" w:hAnsi="Arial" w:cs="Arial"/>
          <w:sz w:val="24"/>
        </w:rPr>
        <w:t xml:space="preserve">o autocuidado, pois </w:t>
      </w:r>
      <w:r w:rsidR="00B461F5">
        <w:rPr>
          <w:rFonts w:ascii="Arial" w:hAnsi="Arial" w:cs="Arial"/>
          <w:sz w:val="24"/>
        </w:rPr>
        <w:t>este domínio inclui atividades</w:t>
      </w:r>
      <w:r w:rsidR="00831222">
        <w:rPr>
          <w:rFonts w:ascii="Arial" w:hAnsi="Arial" w:cs="Arial"/>
          <w:sz w:val="24"/>
        </w:rPr>
        <w:t xml:space="preserve"> que, normalmente, </w:t>
      </w:r>
      <w:r w:rsidR="00B22860">
        <w:rPr>
          <w:rFonts w:ascii="Arial" w:hAnsi="Arial" w:cs="Arial"/>
          <w:sz w:val="24"/>
        </w:rPr>
        <w:t>requere</w:t>
      </w:r>
      <w:r w:rsidR="00831222">
        <w:rPr>
          <w:rFonts w:ascii="Arial" w:hAnsi="Arial" w:cs="Arial"/>
          <w:sz w:val="24"/>
        </w:rPr>
        <w:t xml:space="preserve">m </w:t>
      </w:r>
      <w:r w:rsidR="008D25BC">
        <w:rPr>
          <w:rFonts w:ascii="Arial" w:hAnsi="Arial" w:cs="Arial"/>
          <w:sz w:val="24"/>
        </w:rPr>
        <w:t>o uso</w:t>
      </w:r>
      <w:r w:rsidR="00831222">
        <w:rPr>
          <w:rFonts w:ascii="Arial" w:hAnsi="Arial" w:cs="Arial"/>
          <w:sz w:val="24"/>
        </w:rPr>
        <w:t xml:space="preserve"> dos membros superiores</w:t>
      </w:r>
      <w:r w:rsidR="0076565B">
        <w:rPr>
          <w:rFonts w:ascii="Arial" w:hAnsi="Arial" w:cs="Arial"/>
          <w:sz w:val="24"/>
        </w:rPr>
        <w:t>, como escovar os dentes e usar uma toalha após o banho</w:t>
      </w:r>
      <w:r w:rsidR="00B461F5">
        <w:rPr>
          <w:rFonts w:ascii="Arial" w:hAnsi="Arial" w:cs="Arial"/>
          <w:sz w:val="24"/>
        </w:rPr>
        <w:t>.</w:t>
      </w:r>
      <w:r w:rsidR="002973C7">
        <w:rPr>
          <w:rFonts w:ascii="Arial" w:hAnsi="Arial" w:cs="Arial"/>
          <w:sz w:val="24"/>
        </w:rPr>
        <w:t xml:space="preserve"> O nosso estudo, porém, não avaliou a função da mão isoladamente, nem de outras articulações,</w:t>
      </w:r>
      <w:r w:rsidR="001E6953">
        <w:rPr>
          <w:rFonts w:ascii="Arial" w:hAnsi="Arial" w:cs="Arial"/>
          <w:sz w:val="24"/>
        </w:rPr>
        <w:t xml:space="preserve"> a exemplo d</w:t>
      </w:r>
      <w:r w:rsidR="002973C7">
        <w:rPr>
          <w:rFonts w:ascii="Arial" w:hAnsi="Arial" w:cs="Arial"/>
          <w:sz w:val="24"/>
        </w:rPr>
        <w:t>o ombro e cotovelo</w:t>
      </w:r>
      <w:r w:rsidR="0059707B">
        <w:rPr>
          <w:rFonts w:ascii="Arial" w:hAnsi="Arial" w:cs="Arial"/>
          <w:sz w:val="24"/>
        </w:rPr>
        <w:t>.</w:t>
      </w:r>
    </w:p>
    <w:p w:rsidR="00E26A03" w:rsidRDefault="00E26A03" w:rsidP="00F03F60">
      <w:pPr>
        <w:tabs>
          <w:tab w:val="left" w:pos="1418"/>
          <w:tab w:val="left" w:pos="1560"/>
        </w:tabs>
        <w:spacing w:after="0" w:line="360" w:lineRule="auto"/>
        <w:jc w:val="both"/>
        <w:rPr>
          <w:rFonts w:ascii="Arial" w:hAnsi="Arial" w:cs="Arial"/>
          <w:sz w:val="24"/>
        </w:rPr>
      </w:pPr>
    </w:p>
    <w:p w:rsidR="003A3489" w:rsidRDefault="00DA3ECF" w:rsidP="00F03F60">
      <w:pPr>
        <w:tabs>
          <w:tab w:val="left" w:pos="1418"/>
          <w:tab w:val="left" w:pos="1560"/>
        </w:tabs>
        <w:spacing w:after="0" w:line="360" w:lineRule="auto"/>
        <w:jc w:val="both"/>
        <w:rPr>
          <w:rFonts w:ascii="Arial" w:hAnsi="Arial" w:cs="Arial"/>
          <w:sz w:val="24"/>
        </w:rPr>
      </w:pPr>
      <w:r w:rsidRPr="0091356D">
        <w:rPr>
          <w:rFonts w:ascii="Arial" w:hAnsi="Arial" w:cs="Arial"/>
          <w:sz w:val="24"/>
        </w:rPr>
        <w:t>Na pesquisa</w:t>
      </w:r>
      <w:r w:rsidR="00C26336" w:rsidRPr="0091356D">
        <w:rPr>
          <w:rFonts w:ascii="Arial" w:hAnsi="Arial" w:cs="Arial"/>
          <w:sz w:val="24"/>
        </w:rPr>
        <w:t xml:space="preserve"> </w:t>
      </w:r>
      <w:r w:rsidRPr="0091356D">
        <w:rPr>
          <w:rFonts w:ascii="Arial" w:hAnsi="Arial" w:cs="Arial"/>
          <w:sz w:val="24"/>
        </w:rPr>
        <w:t>desenvolvida</w:t>
      </w:r>
      <w:r w:rsidR="003454CE">
        <w:rPr>
          <w:rFonts w:ascii="Arial" w:hAnsi="Arial" w:cs="Arial"/>
          <w:sz w:val="24"/>
        </w:rPr>
        <w:t xml:space="preserve"> por Matos et al.</w:t>
      </w:r>
      <w:r w:rsidR="003A3489">
        <w:rPr>
          <w:rFonts w:ascii="Arial" w:hAnsi="Arial" w:cs="Arial"/>
          <w:sz w:val="24"/>
        </w:rPr>
        <w:fldChar w:fldCharType="begin" w:fldLock="1"/>
      </w:r>
      <w:r w:rsidR="005C2E82">
        <w:rPr>
          <w:rFonts w:ascii="Arial" w:hAnsi="Arial" w:cs="Arial"/>
          <w:sz w:val="24"/>
        </w:rPr>
        <w:instrText>ADDIN CSL_CITATION { "citationItems" : [ { "id" : "ITEM-1", "itemData" : { "DOI" : "10.5604/15093492.1084240", "ISSN" : "15093492", "PMID" : "24431250", "abstract" : "BACKGROUND. The objective of this study is to evaluate the response of the musculoskeletal system to enzyme replacement therapy in a group of patients with Mucopolysaccharidosis (MPS). MATERIAL AND METHODS. A retrospective study was done based on records from 22 patients with different types of MPS (I, II and VI) who were treated with enzyme replacement therapy (ERT). Patient data were evaluated after an average of 21.4 months. Data collected were: Global Motor Function Classification System (GMFCS); measured range of motion (ROM) of the knee, elbow, and shoulder joints; and an evaluation of hand function as proposed by Haddad. A comparison was done between data from the \"pre-treatment\" and \"posttreatment\" groups to evaluate the significant clinical differences between the pre and post-treatment periods. RESULTS. In the total group, 13 (59.1%) maintained or improved their motor score and 8 (36.3%) ended up with a worse score. Only ROM of the shoulders saw a statistically significant improvement. The right shoulder increased from 59.7\u00ba to 78.4\u00ba (p = 0.017), and the left one from 65.2\u00ba to 80.2\u00ba (p=0,036). CONCLUSIONS. Based on the data, it is possible to conclude that ERT was able to stabilize or improve motor function in the majority of patients and also significantly increase the range of motion of shoulder joints in patients with MPS.", "author" : [ { "dropping-particle" : "", "family" : "Matos", "given" : "Marcos Almeida", "non-dropping-particle" : "", "parse-names" : false, "suffix" : "" }, { "dropping-particle" : "", "family" : "Barreto", "given" : "Rosa", "non-dropping-particle" : "", "parse-names" : false, "suffix" : "" }, { "dropping-particle" : "", "family" : "Acosta", "given" : "Angelina Xavier", "non-dropping-particle" : "", "parse-names" : false, "suffix" : "" } ], "container-title" : "Ortopedia Traumatologia Rehabilitacja", "id" : "ITEM-1", "issue" : "5", "issued" : { "date-parts" : [ [ "2013" ] ] }, "page" : "389-393", "title" : "Evaluation of motor response in mucopolysaccharidosis patients treated with enzyme replacement therapy", "type" : "article-journal", "volume" : "15" }, "uris" : [ "http://www.mendeley.com/documents/?uuid=747518da-67ff-4121-aed4-4c168a770986" ] } ], "mendeley" : { "formattedCitation" : "&lt;sup&gt;21&lt;/sup&gt;", "plainTextFormattedCitation" : "21", "previouslyFormattedCitation" : "&lt;sup&gt;21&lt;/sup&gt;" }, "properties" : { "noteIndex" : 0 }, "schema" : "https://github.com/citation-style-language/schema/raw/master/csl-citation.json" }</w:instrText>
      </w:r>
      <w:r w:rsidR="003A3489">
        <w:rPr>
          <w:rFonts w:ascii="Arial" w:hAnsi="Arial" w:cs="Arial"/>
          <w:sz w:val="24"/>
        </w:rPr>
        <w:fldChar w:fldCharType="separate"/>
      </w:r>
      <w:r w:rsidR="001F649C" w:rsidRPr="001F649C">
        <w:rPr>
          <w:rFonts w:ascii="Arial" w:hAnsi="Arial" w:cs="Arial"/>
          <w:noProof/>
          <w:sz w:val="24"/>
          <w:vertAlign w:val="superscript"/>
        </w:rPr>
        <w:t>21</w:t>
      </w:r>
      <w:r w:rsidR="003A3489">
        <w:rPr>
          <w:rFonts w:ascii="Arial" w:hAnsi="Arial" w:cs="Arial"/>
          <w:sz w:val="24"/>
        </w:rPr>
        <w:fldChar w:fldCharType="end"/>
      </w:r>
      <w:r w:rsidR="003A3489">
        <w:rPr>
          <w:rFonts w:ascii="Arial" w:hAnsi="Arial" w:cs="Arial"/>
          <w:sz w:val="24"/>
        </w:rPr>
        <w:t xml:space="preserve"> para avaliação da resposta motora à TRE, os autores procederam à classificação do estado funcional da mão de pacientes acometidos por MPS tipo I, II e VI, com idade entre 7 meses </w:t>
      </w:r>
      <w:r w:rsidR="002D13CD">
        <w:rPr>
          <w:rFonts w:ascii="Arial" w:hAnsi="Arial" w:cs="Arial"/>
          <w:sz w:val="24"/>
        </w:rPr>
        <w:t>e</w:t>
      </w:r>
      <w:r w:rsidR="003A3489">
        <w:rPr>
          <w:rFonts w:ascii="Arial" w:hAnsi="Arial" w:cs="Arial"/>
          <w:sz w:val="24"/>
        </w:rPr>
        <w:t xml:space="preserve"> 18 anos, usando a escala proposta por Haddad et al.</w:t>
      </w:r>
      <w:r w:rsidR="003A3489">
        <w:rPr>
          <w:rFonts w:ascii="Arial" w:hAnsi="Arial" w:cs="Arial"/>
          <w:sz w:val="24"/>
        </w:rPr>
        <w:fldChar w:fldCharType="begin" w:fldLock="1"/>
      </w:r>
      <w:r w:rsidR="003308C5">
        <w:rPr>
          <w:rFonts w:ascii="Arial" w:hAnsi="Arial" w:cs="Arial"/>
          <w:sz w:val="24"/>
        </w:rPr>
        <w:instrText>ADDIN CSL_CITATION { "citationItems" : [ { "id" : "ITEM-1", "itemData" : { "author" : [ { "dropping-particle" : "", "family" : "Haddad", "given" : "F.S.", "non-dropping-particle" : "", "parse-names" : false, "suffix" : "" }, { "dropping-particle" : "", "family" : "JONES", "given" : "D.H.A.", "non-dropping-particle" : "", "parse-names" : false, "suffix" : "" }, { "dropping-particle" : "", "family" : "VELLODI", "given" : "A.", "non-dropping-particle" : "", "parse-names" : false, "suffix" : "" }, { "dropping-particle" : "", "family" : "KANE", "given" : "N.", "non-dropping-particle" : "", "parse-names" : false, "suffix" : "" }, { "dropping-particle" : "", "family" : "PITT", "given" : "M.C.", "non-dropping-particle" : "", "parse-names" : false, "suffix" : "" } ], "container-title" : "J Bone Joint Surg Br", "id" : "ITEM-1", "issue" : "4", "issued" : { "date-parts" : [ [ "1997" ] ] }, "page" : "576-582", "title" : "CARPAL TUNNEL SYNDROME IN THE", "type" : "article-journal", "volume" : "79" }, "uris" : [ "http://www.mendeley.com/documents/?uuid=5479ebcd-90f0-4c39-9493-c571ac88063b" ] } ], "mendeley" : { "formattedCitation" : "&lt;sup&gt;110&lt;/sup&gt;", "plainTextFormattedCitation" : "110", "previouslyFormattedCitation" : "&lt;sup&gt;110&lt;/sup&gt;" }, "properties" : { "noteIndex" : 0 }, "schema" : "https://github.com/citation-style-language/schema/raw/master/csl-citation.json" }</w:instrText>
      </w:r>
      <w:r w:rsidR="003A3489">
        <w:rPr>
          <w:rFonts w:ascii="Arial" w:hAnsi="Arial" w:cs="Arial"/>
          <w:sz w:val="24"/>
        </w:rPr>
        <w:fldChar w:fldCharType="separate"/>
      </w:r>
      <w:r w:rsidR="00E65B95" w:rsidRPr="00E65B95">
        <w:rPr>
          <w:rFonts w:ascii="Arial" w:hAnsi="Arial" w:cs="Arial"/>
          <w:noProof/>
          <w:sz w:val="24"/>
          <w:vertAlign w:val="superscript"/>
        </w:rPr>
        <w:t>110</w:t>
      </w:r>
      <w:r w:rsidR="003A3489">
        <w:rPr>
          <w:rFonts w:ascii="Arial" w:hAnsi="Arial" w:cs="Arial"/>
          <w:sz w:val="24"/>
        </w:rPr>
        <w:fldChar w:fldCharType="end"/>
      </w:r>
      <w:r w:rsidR="003A3489">
        <w:rPr>
          <w:rFonts w:ascii="Arial" w:hAnsi="Arial" w:cs="Arial"/>
          <w:sz w:val="24"/>
        </w:rPr>
        <w:t xml:space="preserve">. Esta escala inclui </w:t>
      </w:r>
      <w:r w:rsidR="00CD4762">
        <w:rPr>
          <w:rFonts w:ascii="Arial" w:hAnsi="Arial" w:cs="Arial"/>
          <w:sz w:val="24"/>
        </w:rPr>
        <w:t xml:space="preserve">como critério de classificação </w:t>
      </w:r>
      <w:r w:rsidR="003A3489">
        <w:rPr>
          <w:rFonts w:ascii="Arial" w:hAnsi="Arial" w:cs="Arial"/>
          <w:sz w:val="24"/>
        </w:rPr>
        <w:t xml:space="preserve">desde a capacidade para realizar apenas atividades passivas (nível 1 de funcionalidade) até atividades mais elaboradas (nível 5). Os resultados </w:t>
      </w:r>
      <w:r w:rsidR="00461389">
        <w:rPr>
          <w:rFonts w:ascii="Arial" w:hAnsi="Arial" w:cs="Arial"/>
          <w:sz w:val="24"/>
        </w:rPr>
        <w:t>mostrara</w:t>
      </w:r>
      <w:r w:rsidR="003A3489">
        <w:rPr>
          <w:rFonts w:ascii="Arial" w:hAnsi="Arial" w:cs="Arial"/>
          <w:sz w:val="24"/>
        </w:rPr>
        <w:t>m que não houve alteração na função da mão desses pacientes após a terapia de reposição.</w:t>
      </w:r>
      <w:r w:rsidR="00C26336">
        <w:rPr>
          <w:rFonts w:ascii="Arial" w:hAnsi="Arial" w:cs="Arial"/>
          <w:sz w:val="24"/>
        </w:rPr>
        <w:t xml:space="preserve"> No entanto, </w:t>
      </w:r>
      <w:r w:rsidR="00BD6F55">
        <w:rPr>
          <w:rFonts w:ascii="Arial" w:hAnsi="Arial" w:cs="Arial"/>
          <w:sz w:val="24"/>
        </w:rPr>
        <w:t>ocorreu</w:t>
      </w:r>
      <w:r w:rsidR="00C26336">
        <w:rPr>
          <w:rFonts w:ascii="Arial" w:hAnsi="Arial" w:cs="Arial"/>
          <w:sz w:val="24"/>
        </w:rPr>
        <w:t xml:space="preserve"> aumento estatisticamente significativo da ADM</w:t>
      </w:r>
      <w:r w:rsidR="00461389">
        <w:rPr>
          <w:rFonts w:ascii="Arial" w:hAnsi="Arial" w:cs="Arial"/>
          <w:sz w:val="24"/>
        </w:rPr>
        <w:t xml:space="preserve"> par</w:t>
      </w:r>
      <w:r w:rsidR="00C26336">
        <w:rPr>
          <w:rFonts w:ascii="Arial" w:hAnsi="Arial" w:cs="Arial"/>
          <w:sz w:val="24"/>
        </w:rPr>
        <w:t xml:space="preserve">a </w:t>
      </w:r>
      <w:r w:rsidR="00461389">
        <w:rPr>
          <w:rFonts w:ascii="Arial" w:hAnsi="Arial" w:cs="Arial"/>
          <w:sz w:val="24"/>
        </w:rPr>
        <w:t>flexão</w:t>
      </w:r>
      <w:r w:rsidR="00C26336">
        <w:rPr>
          <w:rFonts w:ascii="Arial" w:hAnsi="Arial" w:cs="Arial"/>
          <w:sz w:val="24"/>
        </w:rPr>
        <w:t xml:space="preserve"> d</w:t>
      </w:r>
      <w:r w:rsidR="00461389">
        <w:rPr>
          <w:rFonts w:ascii="Arial" w:hAnsi="Arial" w:cs="Arial"/>
          <w:sz w:val="24"/>
        </w:rPr>
        <w:t>e</w:t>
      </w:r>
      <w:r w:rsidR="00C26336">
        <w:rPr>
          <w:rFonts w:ascii="Arial" w:hAnsi="Arial" w:cs="Arial"/>
          <w:sz w:val="24"/>
        </w:rPr>
        <w:t xml:space="preserve"> ombro, após um período de 21,4 meses de TRE.</w:t>
      </w:r>
      <w:r w:rsidR="00C51D2A">
        <w:rPr>
          <w:rFonts w:ascii="Arial" w:hAnsi="Arial" w:cs="Arial"/>
          <w:sz w:val="24"/>
        </w:rPr>
        <w:fldChar w:fldCharType="begin" w:fldLock="1"/>
      </w:r>
      <w:r w:rsidR="005C2E82">
        <w:rPr>
          <w:rFonts w:ascii="Arial" w:hAnsi="Arial" w:cs="Arial"/>
          <w:sz w:val="24"/>
        </w:rPr>
        <w:instrText>ADDIN CSL_CITATION { "citationItems" : [ { "id" : "ITEM-1", "itemData" : { "DOI" : "10.5604/15093492.1084240", "ISSN" : "15093492", "PMID" : "24431250", "abstract" : "BACKGROUND. The objective of this study is to evaluate the response of the musculoskeletal system to enzyme replacement therapy in a group of patients with Mucopolysaccharidosis (MPS). MATERIAL AND METHODS. A retrospective study was done based on records from 22 patients with different types of MPS (I, II and VI) who were treated with enzyme replacement therapy (ERT). Patient data were evaluated after an average of 21.4 months. Data collected were: Global Motor Function Classification System (GMFCS); measured range of motion (ROM) of the knee, elbow, and shoulder joints; and an evaluation of hand function as proposed by Haddad. A comparison was done between data from the \"pre-treatment\" and \"posttreatment\" groups to evaluate the significant clinical differences between the pre and post-treatment periods. RESULTS. In the total group, 13 (59.1%) maintained or improved their motor score and 8 (36.3%) ended up with a worse score. Only ROM of the shoulders saw a statistically significant improvement. The right shoulder increased from 59.7\u00ba to 78.4\u00ba (p = 0.017), and the left one from 65.2\u00ba to 80.2\u00ba (p=0,036). CONCLUSIONS. Based on the data, it is possible to conclude that ERT was able to stabilize or improve motor function in the majority of patients and also significantly increase the range of motion of shoulder joints in patients with MPS.", "author" : [ { "dropping-particle" : "", "family" : "Matos", "given" : "Marcos Almeida", "non-dropping-particle" : "", "parse-names" : false, "suffix" : "" }, { "dropping-particle" : "", "family" : "Barreto", "given" : "Rosa", "non-dropping-particle" : "", "parse-names" : false, "suffix" : "" }, { "dropping-particle" : "", "family" : "Acosta", "given" : "Angelina Xavier", "non-dropping-particle" : "", "parse-names" : false, "suffix" : "" } ], "container-title" : "Ortopedia Traumatologia Rehabilitacja", "id" : "ITEM-1", "issue" : "5", "issued" : { "date-parts" : [ [ "2013" ] ] }, "page" : "389-393", "title" : "Evaluation of motor response in mucopolysaccharidosis patients treated with enzyme replacement therapy", "type" : "article-journal", "volume" : "15" }, "uris" : [ "http://www.mendeley.com/documents/?uuid=747518da-67ff-4121-aed4-4c168a770986" ] } ], "mendeley" : { "formattedCitation" : "&lt;sup&gt;21&lt;/sup&gt;", "plainTextFormattedCitation" : "21", "previouslyFormattedCitation" : "&lt;sup&gt;21&lt;/sup&gt;" }, "properties" : { "noteIndex" : 0 }, "schema" : "https://github.com/citation-style-language/schema/raw/master/csl-citation.json" }</w:instrText>
      </w:r>
      <w:r w:rsidR="00C51D2A">
        <w:rPr>
          <w:rFonts w:ascii="Arial" w:hAnsi="Arial" w:cs="Arial"/>
          <w:sz w:val="24"/>
        </w:rPr>
        <w:fldChar w:fldCharType="separate"/>
      </w:r>
      <w:r w:rsidR="001F649C" w:rsidRPr="001F649C">
        <w:rPr>
          <w:rFonts w:ascii="Arial" w:hAnsi="Arial" w:cs="Arial"/>
          <w:noProof/>
          <w:sz w:val="24"/>
          <w:vertAlign w:val="superscript"/>
        </w:rPr>
        <w:t>21</w:t>
      </w:r>
      <w:r w:rsidR="00C51D2A">
        <w:rPr>
          <w:rFonts w:ascii="Arial" w:hAnsi="Arial" w:cs="Arial"/>
          <w:sz w:val="24"/>
        </w:rPr>
        <w:fldChar w:fldCharType="end"/>
      </w:r>
    </w:p>
    <w:p w:rsidR="005B76A9" w:rsidRDefault="005B76A9" w:rsidP="00F03F60">
      <w:pPr>
        <w:tabs>
          <w:tab w:val="left" w:pos="1418"/>
          <w:tab w:val="left" w:pos="1560"/>
        </w:tabs>
        <w:spacing w:after="0" w:line="360" w:lineRule="auto"/>
        <w:jc w:val="both"/>
        <w:rPr>
          <w:rFonts w:ascii="Arial" w:hAnsi="Arial" w:cs="Arial"/>
          <w:sz w:val="24"/>
        </w:rPr>
      </w:pPr>
    </w:p>
    <w:p w:rsidR="00DE4E63" w:rsidRDefault="00DE4E63" w:rsidP="00F03F60">
      <w:pPr>
        <w:tabs>
          <w:tab w:val="left" w:pos="1418"/>
          <w:tab w:val="left" w:pos="1560"/>
        </w:tabs>
        <w:spacing w:after="0" w:line="360" w:lineRule="auto"/>
        <w:jc w:val="both"/>
        <w:rPr>
          <w:rFonts w:ascii="Arial" w:hAnsi="Arial" w:cs="Arial"/>
          <w:sz w:val="24"/>
        </w:rPr>
      </w:pPr>
      <w:r w:rsidRPr="00CB1D6E">
        <w:rPr>
          <w:rFonts w:ascii="Arial" w:hAnsi="Arial" w:cs="Arial"/>
          <w:sz w:val="24"/>
        </w:rPr>
        <w:t>O estudo de Tylki-Szymanska</w:t>
      </w:r>
      <w:r>
        <w:rPr>
          <w:rFonts w:ascii="Arial" w:hAnsi="Arial" w:cs="Arial"/>
          <w:sz w:val="24"/>
        </w:rPr>
        <w:t xml:space="preserve"> et al.</w:t>
      </w:r>
      <w:r w:rsidR="00F205CC">
        <w:rPr>
          <w:rFonts w:ascii="Arial" w:hAnsi="Arial" w:cs="Arial"/>
          <w:sz w:val="24"/>
        </w:rPr>
        <w:fldChar w:fldCharType="begin" w:fldLock="1"/>
      </w:r>
      <w:r w:rsidR="003308C5">
        <w:rPr>
          <w:rFonts w:ascii="Arial" w:hAnsi="Arial" w:cs="Arial"/>
          <w:sz w:val="24"/>
        </w:rPr>
        <w:instrText>ADDIN CSL_CITATION { "citationItems" : [ { "id" : "ITEM-1", "itemData" : { "DOI" : "10.1007/s10545-010-9059-9", "author" : [ { "dropping-particle" : "", "family" : "Tylki-Szymanska", "given" : "A.", "non-dropping-particle" : "", "parse-names" : false, "suffix" : "" }, { "dropping-particle" : "", "family" : "Marucha", "given" : "J.", "non-dropping-particle" : "", "parse-names" : false, "suffix" : "" }, { "dropping-particle" : "", "family" : "Jurecka", "given" : "A.", "non-dropping-particle" : "", "parse-names" : false, "suffix" : "" }, { "dropping-particle" : "", "family" : "Syczewska", "given" : "M.", "non-dropping-particle" : "", "parse-names" : false, "suffix" : "" }, { "dropping-particle" : "", "family" : "Czartoryska", "given" : "B.", "non-dropping-particle" : "", "parse-names" : false, "suffix" : "" } ], "container-title" : "J Inherit Metab Dis", "id" : "ITEM-1", "issue" : "2", "issued" : { "date-parts" : [ [ "2010" ] ] }, "page" : "151-157", "title" : "Efficacy of recombinant human Alpha-L-Iduronidase (laronidase) on restricted range of motion of upper extremities in mucopolysaccharidosis type I patients", "type" : "article-journal", "volume" : "33" }, "uris" : [ "http://www.mendeley.com/documents/?uuid=53359822-0cab-4b45-80af-ba70a51da634" ] } ], "mendeley" : { "formattedCitation" : "&lt;sup&gt;111&lt;/sup&gt;", "plainTextFormattedCitation" : "111", "previouslyFormattedCitation" : "&lt;sup&gt;111&lt;/sup&gt;" }, "properties" : { "noteIndex" : 0 }, "schema" : "https://github.com/citation-style-language/schema/raw/master/csl-citation.json" }</w:instrText>
      </w:r>
      <w:r w:rsidR="00F205CC">
        <w:rPr>
          <w:rFonts w:ascii="Arial" w:hAnsi="Arial" w:cs="Arial"/>
          <w:sz w:val="24"/>
        </w:rPr>
        <w:fldChar w:fldCharType="separate"/>
      </w:r>
      <w:r w:rsidR="00E65B95" w:rsidRPr="00E65B95">
        <w:rPr>
          <w:rFonts w:ascii="Arial" w:hAnsi="Arial" w:cs="Arial"/>
          <w:noProof/>
          <w:sz w:val="24"/>
          <w:vertAlign w:val="superscript"/>
        </w:rPr>
        <w:t>111</w:t>
      </w:r>
      <w:r w:rsidR="00F205CC">
        <w:rPr>
          <w:rFonts w:ascii="Arial" w:hAnsi="Arial" w:cs="Arial"/>
          <w:sz w:val="24"/>
        </w:rPr>
        <w:fldChar w:fldCharType="end"/>
      </w:r>
      <w:r w:rsidR="00E344B4">
        <w:rPr>
          <w:rFonts w:ascii="Arial" w:hAnsi="Arial" w:cs="Arial"/>
          <w:sz w:val="24"/>
        </w:rPr>
        <w:t>,</w:t>
      </w:r>
      <w:r>
        <w:rPr>
          <w:rFonts w:ascii="Arial" w:hAnsi="Arial" w:cs="Arial"/>
          <w:sz w:val="24"/>
        </w:rPr>
        <w:t xml:space="preserve"> para avaliar a eficácia da TRE com laronidase na A</w:t>
      </w:r>
      <w:r w:rsidR="00925739">
        <w:rPr>
          <w:rFonts w:ascii="Arial" w:hAnsi="Arial" w:cs="Arial"/>
          <w:sz w:val="24"/>
        </w:rPr>
        <w:t>DM de pacientes diagnosticados com</w:t>
      </w:r>
      <w:r>
        <w:rPr>
          <w:rFonts w:ascii="Arial" w:hAnsi="Arial" w:cs="Arial"/>
          <w:sz w:val="24"/>
        </w:rPr>
        <w:t xml:space="preserve"> MPS tipo I</w:t>
      </w:r>
      <w:r w:rsidR="00E344B4">
        <w:rPr>
          <w:rFonts w:ascii="Arial" w:hAnsi="Arial" w:cs="Arial"/>
          <w:sz w:val="24"/>
        </w:rPr>
        <w:t>,</w:t>
      </w:r>
      <w:r>
        <w:rPr>
          <w:rFonts w:ascii="Arial" w:hAnsi="Arial" w:cs="Arial"/>
          <w:sz w:val="24"/>
        </w:rPr>
        <w:t xml:space="preserve"> constatou melhora </w:t>
      </w:r>
      <w:r>
        <w:rPr>
          <w:rFonts w:ascii="Arial" w:hAnsi="Arial" w:cs="Arial"/>
          <w:sz w:val="24"/>
        </w:rPr>
        <w:lastRenderedPageBreak/>
        <w:t>na mobilidade das extremidades superiores d</w:t>
      </w:r>
      <w:r w:rsidR="00925739">
        <w:rPr>
          <w:rFonts w:ascii="Arial" w:hAnsi="Arial" w:cs="Arial"/>
          <w:sz w:val="24"/>
        </w:rPr>
        <w:t>os sujeitos participantes da pesquisa</w:t>
      </w:r>
      <w:r>
        <w:rPr>
          <w:rFonts w:ascii="Arial" w:hAnsi="Arial" w:cs="Arial"/>
          <w:sz w:val="24"/>
        </w:rPr>
        <w:t>. O acompanhamento da ADM ocorreu d</w:t>
      </w:r>
      <w:r w:rsidR="003B0F30">
        <w:rPr>
          <w:rFonts w:ascii="Arial" w:hAnsi="Arial" w:cs="Arial"/>
          <w:sz w:val="24"/>
        </w:rPr>
        <w:t xml:space="preserve">esde </w:t>
      </w:r>
      <w:r>
        <w:rPr>
          <w:rFonts w:ascii="Arial" w:hAnsi="Arial" w:cs="Arial"/>
          <w:sz w:val="24"/>
        </w:rPr>
        <w:t xml:space="preserve">o primeiro ano de vida até a introdução da TRE. E, </w:t>
      </w:r>
      <w:r w:rsidR="00B31AB2">
        <w:rPr>
          <w:rFonts w:ascii="Arial" w:hAnsi="Arial" w:cs="Arial"/>
          <w:sz w:val="24"/>
        </w:rPr>
        <w:t xml:space="preserve">após </w:t>
      </w:r>
      <w:r>
        <w:rPr>
          <w:rFonts w:ascii="Arial" w:hAnsi="Arial" w:cs="Arial"/>
          <w:sz w:val="24"/>
        </w:rPr>
        <w:t xml:space="preserve">52 a 208 semanas de tratamento, os achados obtidos evidenciaram progressão mais lenta dos sintomas da MPS, o que, de acordo com </w:t>
      </w:r>
      <w:r w:rsidR="009249D1">
        <w:rPr>
          <w:rFonts w:ascii="Arial" w:hAnsi="Arial" w:cs="Arial"/>
          <w:sz w:val="24"/>
        </w:rPr>
        <w:t>esses</w:t>
      </w:r>
      <w:r>
        <w:rPr>
          <w:rFonts w:ascii="Arial" w:hAnsi="Arial" w:cs="Arial"/>
          <w:sz w:val="24"/>
        </w:rPr>
        <w:t xml:space="preserve"> autores, influenciou significativamente a melhora da função do</w:t>
      </w:r>
      <w:r w:rsidR="00765F1F">
        <w:rPr>
          <w:rFonts w:ascii="Arial" w:hAnsi="Arial" w:cs="Arial"/>
          <w:sz w:val="24"/>
        </w:rPr>
        <w:t>s</w:t>
      </w:r>
      <w:r>
        <w:rPr>
          <w:rFonts w:ascii="Arial" w:hAnsi="Arial" w:cs="Arial"/>
          <w:sz w:val="24"/>
        </w:rPr>
        <w:t xml:space="preserve"> membro</w:t>
      </w:r>
      <w:r w:rsidR="00765F1F">
        <w:rPr>
          <w:rFonts w:ascii="Arial" w:hAnsi="Arial" w:cs="Arial"/>
          <w:sz w:val="24"/>
        </w:rPr>
        <w:t>s</w:t>
      </w:r>
      <w:r>
        <w:rPr>
          <w:rFonts w:ascii="Arial" w:hAnsi="Arial" w:cs="Arial"/>
          <w:sz w:val="24"/>
        </w:rPr>
        <w:t xml:space="preserve"> superior</w:t>
      </w:r>
      <w:r w:rsidR="00765F1F">
        <w:rPr>
          <w:rFonts w:ascii="Arial" w:hAnsi="Arial" w:cs="Arial"/>
          <w:sz w:val="24"/>
        </w:rPr>
        <w:t>es</w:t>
      </w:r>
      <w:r>
        <w:rPr>
          <w:rFonts w:ascii="Arial" w:hAnsi="Arial" w:cs="Arial"/>
          <w:sz w:val="24"/>
        </w:rPr>
        <w:t>, assim como da capacidade para realizar AVD, principalmente atividades relacionadas ao autocuidado.</w:t>
      </w:r>
      <w:r w:rsidR="00F205CC">
        <w:rPr>
          <w:rFonts w:ascii="Arial" w:hAnsi="Arial" w:cs="Arial"/>
          <w:sz w:val="24"/>
        </w:rPr>
        <w:fldChar w:fldCharType="begin" w:fldLock="1"/>
      </w:r>
      <w:r w:rsidR="003308C5">
        <w:rPr>
          <w:rFonts w:ascii="Arial" w:hAnsi="Arial" w:cs="Arial"/>
          <w:sz w:val="24"/>
        </w:rPr>
        <w:instrText>ADDIN CSL_CITATION { "citationItems" : [ { "id" : "ITEM-1", "itemData" : { "DOI" : "10.1007/s10545-010-9059-9", "author" : [ { "dropping-particle" : "", "family" : "Tylki-Szymanska", "given" : "A.", "non-dropping-particle" : "", "parse-names" : false, "suffix" : "" }, { "dropping-particle" : "", "family" : "Marucha", "given" : "J.", "non-dropping-particle" : "", "parse-names" : false, "suffix" : "" }, { "dropping-particle" : "", "family" : "Jurecka", "given" : "A.", "non-dropping-particle" : "", "parse-names" : false, "suffix" : "" }, { "dropping-particle" : "", "family" : "Syczewska", "given" : "M.", "non-dropping-particle" : "", "parse-names" : false, "suffix" : "" }, { "dropping-particle" : "", "family" : "Czartoryska", "given" : "B.", "non-dropping-particle" : "", "parse-names" : false, "suffix" : "" } ], "container-title" : "J Inherit Metab Dis", "id" : "ITEM-1", "issue" : "2", "issued" : { "date-parts" : [ [ "2010" ] ] }, "page" : "151-157", "title" : "Efficacy of recombinant human Alpha-L-Iduronidase (laronidase) on restricted range of motion of upper extremities in mucopolysaccharidosis type I patients", "type" : "article-journal", "volume" : "33" }, "uris" : [ "http://www.mendeley.com/documents/?uuid=53359822-0cab-4b45-80af-ba70a51da634" ] } ], "mendeley" : { "formattedCitation" : "&lt;sup&gt;111&lt;/sup&gt;", "plainTextFormattedCitation" : "111", "previouslyFormattedCitation" : "&lt;sup&gt;111&lt;/sup&gt;" }, "properties" : { "noteIndex" : 0 }, "schema" : "https://github.com/citation-style-language/schema/raw/master/csl-citation.json" }</w:instrText>
      </w:r>
      <w:r w:rsidR="00F205CC">
        <w:rPr>
          <w:rFonts w:ascii="Arial" w:hAnsi="Arial" w:cs="Arial"/>
          <w:sz w:val="24"/>
        </w:rPr>
        <w:fldChar w:fldCharType="separate"/>
      </w:r>
      <w:r w:rsidR="00E65B95" w:rsidRPr="00E65B95">
        <w:rPr>
          <w:rFonts w:ascii="Arial" w:hAnsi="Arial" w:cs="Arial"/>
          <w:noProof/>
          <w:sz w:val="24"/>
          <w:vertAlign w:val="superscript"/>
        </w:rPr>
        <w:t>111</w:t>
      </w:r>
      <w:r w:rsidR="00F205CC">
        <w:rPr>
          <w:rFonts w:ascii="Arial" w:hAnsi="Arial" w:cs="Arial"/>
          <w:sz w:val="24"/>
        </w:rPr>
        <w:fldChar w:fldCharType="end"/>
      </w:r>
      <w:r w:rsidR="000F7703">
        <w:rPr>
          <w:rFonts w:ascii="Arial" w:hAnsi="Arial" w:cs="Arial"/>
          <w:sz w:val="24"/>
        </w:rPr>
        <w:t xml:space="preserve"> O tempo de tratamento através da TRE, provavelmente, interfere na progressão dos sintomas e no comprometimento funcional dos indivíduos acometidos pela doença.</w:t>
      </w:r>
    </w:p>
    <w:p w:rsidR="00B55498" w:rsidRDefault="00B55498" w:rsidP="00F03F60">
      <w:pPr>
        <w:tabs>
          <w:tab w:val="left" w:pos="1418"/>
          <w:tab w:val="left" w:pos="1560"/>
        </w:tabs>
        <w:spacing w:after="0" w:line="360" w:lineRule="auto"/>
        <w:jc w:val="both"/>
        <w:rPr>
          <w:rFonts w:ascii="Arial" w:hAnsi="Arial" w:cs="Arial"/>
          <w:sz w:val="24"/>
        </w:rPr>
      </w:pPr>
    </w:p>
    <w:p w:rsidR="0088284D" w:rsidRDefault="00DC1DA4" w:rsidP="00F03F60">
      <w:pPr>
        <w:tabs>
          <w:tab w:val="left" w:pos="1418"/>
          <w:tab w:val="left" w:pos="1560"/>
        </w:tabs>
        <w:spacing w:after="0" w:line="360" w:lineRule="auto"/>
        <w:jc w:val="both"/>
        <w:rPr>
          <w:rFonts w:ascii="Arial" w:hAnsi="Arial" w:cs="Arial"/>
          <w:sz w:val="24"/>
        </w:rPr>
      </w:pPr>
      <w:r>
        <w:rPr>
          <w:rFonts w:ascii="Arial" w:hAnsi="Arial" w:cs="Arial"/>
          <w:sz w:val="24"/>
        </w:rPr>
        <w:t>Em relação às alterações geradas pela MPS, estima-se que são produzidas não apenas implicações físicas, mas também, outra</w:t>
      </w:r>
      <w:r w:rsidR="00CA7C19">
        <w:rPr>
          <w:rFonts w:ascii="Arial" w:hAnsi="Arial" w:cs="Arial"/>
          <w:sz w:val="24"/>
        </w:rPr>
        <w:t>s de ordem psicológica e social</w:t>
      </w:r>
      <w:r>
        <w:rPr>
          <w:rFonts w:ascii="Arial" w:hAnsi="Arial" w:cs="Arial"/>
          <w:sz w:val="24"/>
        </w:rPr>
        <w:t xml:space="preserve"> que, de forma semelhante, podem ocasionar prejuízos à qualidade de vida dos </w:t>
      </w:r>
      <w:r w:rsidR="00DB34F4">
        <w:rPr>
          <w:rFonts w:ascii="Arial" w:hAnsi="Arial" w:cs="Arial"/>
          <w:sz w:val="24"/>
        </w:rPr>
        <w:t>pacientes diagnosticados com est</w:t>
      </w:r>
      <w:r>
        <w:rPr>
          <w:rFonts w:ascii="Arial" w:hAnsi="Arial" w:cs="Arial"/>
          <w:sz w:val="24"/>
        </w:rPr>
        <w:t>a doença</w:t>
      </w:r>
      <w:r w:rsidR="007A4BA5">
        <w:rPr>
          <w:rFonts w:ascii="Arial" w:hAnsi="Arial" w:cs="Arial"/>
          <w:sz w:val="24"/>
        </w:rPr>
        <w:t>.</w:t>
      </w:r>
      <w:r w:rsidR="003E2DDF">
        <w:rPr>
          <w:rFonts w:ascii="Arial" w:hAnsi="Arial" w:cs="Arial"/>
          <w:sz w:val="24"/>
        </w:rPr>
        <w:fldChar w:fldCharType="begin" w:fldLock="1"/>
      </w:r>
      <w:r w:rsidR="005C2E82">
        <w:rPr>
          <w:rFonts w:ascii="Arial" w:hAnsi="Arial" w:cs="Arial"/>
          <w:sz w:val="24"/>
        </w:rPr>
        <w:instrText>ADDIN CSL_CITATION { "citationItems" : [ { "id" : "ITEM-1", "itemData" : { "DOI" : "10.1186/s13023-016-0503-2", "ISSN" : "1750-1172 (Electronic)", "PMID" : "27561270", "abstract" : "The mucopolysaccharidoses (MPS) comprise a heterogeneous family of rare, genetic lysosomal storage disorders that result in severe morbidity and reduced life expectancy. Emerging treatments for several of these disorders have triggered the search for clinically relevant biomarkers and clinical markers associated with treatment efficacy in populations and individuals. However, biomedical measures do not tell the whole story when characterizing a complex chronic disorder such as MPS. Health-related quality of life (HRQoL) tools that utilize patient reported outcomes to address patient parameters such as symptoms (pain, fatigue, psychological health), functioning (activity and limitations), or quality of life, have been used to supplement traditional biomedical endpoints. Many of these HRQoL tools have demonstrated that quality of life is negatively impacted in patients with MPS. There is both the opportunity and need to formally standardize and validate HRQoL tools for the different MPS disorders.", "author" : [ { "dropping-particle" : "", "family" : "Hendriksz", "given" : "Christian J", "non-dropping-particle" : "", "parse-names" : false, "suffix" : "" }, { "dropping-particle" : "", "family" : "Berger", "given" : "Kenneth I", "non-dropping-particle" : "", "parse-names" : false, "suffix" : "" }, { "dropping-particle" : "", "family" : "Lampe", "given" : "Christina", "non-dropping-particle" : "", "parse-names" : false, "suffix" : "" }, { "dropping-particle" : "", "family" : "Kircher", "given" : "Susanne G", "non-dropping-particle" : "", "parse-names" : false, "suffix" : "" }, { "dropping-particle" : "", "family" : "Orchard", "given" : "Paul J", "non-dropping-particle" : "", "parse-names" : false, "suffix" : "" }, { "dropping-particle" : "", "family" : "Southall", "given" : "Rebecca", "non-dropping-particle" : "", "parse-names" : false, "suffix" : "" }, { "dropping-particle" : "", "family" : "Long", "given" : "Sarah", "non-dropping-particle" : "", "parse-names" : false, "suffix" : "" }, { "dropping-particle" : "", "family" : "Sande", "given" : "Stephen", "non-dropping-particle" : "", "parse-names" : false, "suffix" : "" }, { "dropping-particle" : "", "family" : "Gold", "given" : "Jeffrey I", "non-dropping-particle" : "", "parse-names" : false, "suffix" : "" } ], "container-title" : "Orphanet Journal of Rare Diseases", "id" : "ITEM-1", "issue" : "119", "issued" : { "date-parts" : [ [ "2016" ] ] }, "page" : "1-15", "title" : "Health-related quality of life in mucopolysaccharidosis: looking beyond biomedical issues", "type" : "article-journal", "volume" : "11" }, "uris" : [ "http://www.mendeley.com/documents/?uuid=e0a666de-3614-31b7-b842-57e2b6e5c374" ] } ], "mendeley" : { "formattedCitation" : "&lt;sup&gt;10&lt;/sup&gt;", "plainTextFormattedCitation" : "10", "previouslyFormattedCitation" : "&lt;sup&gt;10&lt;/sup&gt;" }, "properties" : { "noteIndex" : 0 }, "schema" : "https://github.com/citation-style-language/schema/raw/master/csl-citation.json" }</w:instrText>
      </w:r>
      <w:r w:rsidR="003E2DDF">
        <w:rPr>
          <w:rFonts w:ascii="Arial" w:hAnsi="Arial" w:cs="Arial"/>
          <w:sz w:val="24"/>
        </w:rPr>
        <w:fldChar w:fldCharType="separate"/>
      </w:r>
      <w:r w:rsidR="001F649C" w:rsidRPr="001F649C">
        <w:rPr>
          <w:rFonts w:ascii="Arial" w:hAnsi="Arial" w:cs="Arial"/>
          <w:noProof/>
          <w:sz w:val="24"/>
          <w:vertAlign w:val="superscript"/>
        </w:rPr>
        <w:t>10</w:t>
      </w:r>
      <w:r w:rsidR="003E2DDF">
        <w:rPr>
          <w:rFonts w:ascii="Arial" w:hAnsi="Arial" w:cs="Arial"/>
          <w:sz w:val="24"/>
        </w:rPr>
        <w:fldChar w:fldCharType="end"/>
      </w:r>
      <w:r w:rsidR="00704032">
        <w:rPr>
          <w:rFonts w:ascii="Arial" w:hAnsi="Arial" w:cs="Arial"/>
          <w:sz w:val="24"/>
        </w:rPr>
        <w:t xml:space="preserve"> </w:t>
      </w:r>
      <w:r w:rsidR="00075DDB">
        <w:rPr>
          <w:rFonts w:ascii="Arial" w:hAnsi="Arial" w:cs="Arial"/>
          <w:sz w:val="24"/>
        </w:rPr>
        <w:t>Diante disto</w:t>
      </w:r>
      <w:r w:rsidR="007A4BA5">
        <w:rPr>
          <w:rFonts w:ascii="Arial" w:hAnsi="Arial" w:cs="Arial"/>
          <w:sz w:val="24"/>
        </w:rPr>
        <w:t>, a avaliação da QVRS, principalmente em caso</w:t>
      </w:r>
      <w:r w:rsidR="00632D76">
        <w:rPr>
          <w:rFonts w:ascii="Arial" w:hAnsi="Arial" w:cs="Arial"/>
          <w:sz w:val="24"/>
        </w:rPr>
        <w:t>s</w:t>
      </w:r>
      <w:r w:rsidR="007A4BA5">
        <w:rPr>
          <w:rFonts w:ascii="Arial" w:hAnsi="Arial" w:cs="Arial"/>
          <w:sz w:val="24"/>
        </w:rPr>
        <w:t xml:space="preserve"> de doença</w:t>
      </w:r>
      <w:r w:rsidR="00331584">
        <w:rPr>
          <w:rFonts w:ascii="Arial" w:hAnsi="Arial" w:cs="Arial"/>
          <w:sz w:val="24"/>
        </w:rPr>
        <w:t xml:space="preserve">s crônicas, tem sido </w:t>
      </w:r>
      <w:r w:rsidR="009F6037">
        <w:rPr>
          <w:rFonts w:ascii="Arial" w:hAnsi="Arial" w:cs="Arial"/>
          <w:sz w:val="24"/>
        </w:rPr>
        <w:t>importante</w:t>
      </w:r>
      <w:r w:rsidR="007A4BA5">
        <w:rPr>
          <w:rFonts w:ascii="Arial" w:hAnsi="Arial" w:cs="Arial"/>
          <w:sz w:val="24"/>
        </w:rPr>
        <w:t xml:space="preserve"> também no período da infância e adolescência. </w:t>
      </w:r>
      <w:r w:rsidR="00E5251F">
        <w:rPr>
          <w:rFonts w:ascii="Arial" w:hAnsi="Arial" w:cs="Arial"/>
          <w:sz w:val="24"/>
        </w:rPr>
        <w:t>A</w:t>
      </w:r>
      <w:r w:rsidR="007A4BA5">
        <w:rPr>
          <w:rFonts w:ascii="Arial" w:hAnsi="Arial" w:cs="Arial"/>
          <w:sz w:val="24"/>
        </w:rPr>
        <w:t xml:space="preserve">o avaliar a QVRS tenta-se evidenciar a influência </w:t>
      </w:r>
      <w:r w:rsidR="007F7132">
        <w:rPr>
          <w:rFonts w:ascii="Arial" w:hAnsi="Arial" w:cs="Arial"/>
          <w:sz w:val="24"/>
        </w:rPr>
        <w:t>da patologia</w:t>
      </w:r>
      <w:r w:rsidR="007A4BA5">
        <w:rPr>
          <w:rFonts w:ascii="Arial" w:hAnsi="Arial" w:cs="Arial"/>
          <w:sz w:val="24"/>
        </w:rPr>
        <w:t xml:space="preserve"> sobre a condição </w:t>
      </w:r>
      <w:r w:rsidR="00015D99">
        <w:rPr>
          <w:rFonts w:ascii="Arial" w:hAnsi="Arial" w:cs="Arial"/>
          <w:sz w:val="24"/>
        </w:rPr>
        <w:t>clínica do paciente e, também, mensurar</w:t>
      </w:r>
      <w:r w:rsidR="007A4BA5">
        <w:rPr>
          <w:rFonts w:ascii="Arial" w:hAnsi="Arial" w:cs="Arial"/>
          <w:sz w:val="24"/>
        </w:rPr>
        <w:t xml:space="preserve"> </w:t>
      </w:r>
      <w:r w:rsidR="00A23E2F">
        <w:rPr>
          <w:rFonts w:ascii="Arial" w:hAnsi="Arial" w:cs="Arial"/>
          <w:sz w:val="24"/>
        </w:rPr>
        <w:t>o resultado da</w:t>
      </w:r>
      <w:r w:rsidR="007A4BA5">
        <w:rPr>
          <w:rFonts w:ascii="Arial" w:hAnsi="Arial" w:cs="Arial"/>
          <w:sz w:val="24"/>
        </w:rPr>
        <w:t>s intervenções terapêuticas</w:t>
      </w:r>
      <w:r w:rsidR="00D33826">
        <w:rPr>
          <w:rFonts w:ascii="Arial" w:hAnsi="Arial" w:cs="Arial"/>
          <w:sz w:val="24"/>
        </w:rPr>
        <w:t xml:space="preserve"> instituídas</w:t>
      </w:r>
      <w:r w:rsidR="00AD15B3">
        <w:rPr>
          <w:rFonts w:ascii="Arial" w:hAnsi="Arial" w:cs="Arial"/>
          <w:sz w:val="24"/>
        </w:rPr>
        <w:t xml:space="preserve"> e</w:t>
      </w:r>
      <w:r w:rsidR="006F6027">
        <w:rPr>
          <w:rFonts w:ascii="Arial" w:hAnsi="Arial" w:cs="Arial"/>
          <w:sz w:val="24"/>
        </w:rPr>
        <w:t xml:space="preserve"> a </w:t>
      </w:r>
      <w:r w:rsidR="00AD15B3">
        <w:rPr>
          <w:rFonts w:ascii="Arial" w:hAnsi="Arial" w:cs="Arial"/>
          <w:sz w:val="24"/>
        </w:rPr>
        <w:t xml:space="preserve">satisfação </w:t>
      </w:r>
      <w:r w:rsidR="006F6027">
        <w:rPr>
          <w:rFonts w:ascii="Arial" w:hAnsi="Arial" w:cs="Arial"/>
          <w:sz w:val="24"/>
        </w:rPr>
        <w:t xml:space="preserve">do indivíduo </w:t>
      </w:r>
      <w:r w:rsidR="00AD15B3">
        <w:rPr>
          <w:rFonts w:ascii="Arial" w:hAnsi="Arial" w:cs="Arial"/>
          <w:sz w:val="24"/>
        </w:rPr>
        <w:t>com a vida como um todo</w:t>
      </w:r>
      <w:r w:rsidR="00A23E2F">
        <w:rPr>
          <w:rFonts w:ascii="Arial" w:hAnsi="Arial" w:cs="Arial"/>
          <w:sz w:val="24"/>
        </w:rPr>
        <w:t>, em resposta aos agravos provocados pela</w:t>
      </w:r>
      <w:r w:rsidR="00EC4341">
        <w:rPr>
          <w:rFonts w:ascii="Arial" w:hAnsi="Arial" w:cs="Arial"/>
          <w:sz w:val="24"/>
        </w:rPr>
        <w:t xml:space="preserve"> enfermidade</w:t>
      </w:r>
      <w:r w:rsidR="00A467B8">
        <w:rPr>
          <w:rFonts w:ascii="Arial" w:hAnsi="Arial" w:cs="Arial"/>
          <w:sz w:val="24"/>
        </w:rPr>
        <w:t>.</w:t>
      </w:r>
      <w:r w:rsidR="00A467B8">
        <w:rPr>
          <w:rFonts w:ascii="Arial" w:hAnsi="Arial" w:cs="Arial"/>
          <w:sz w:val="24"/>
        </w:rPr>
        <w:fldChar w:fldCharType="begin" w:fldLock="1"/>
      </w:r>
      <w:r w:rsidR="00195481">
        <w:rPr>
          <w:rFonts w:ascii="Arial" w:hAnsi="Arial" w:cs="Arial"/>
          <w:sz w:val="24"/>
        </w:rPr>
        <w:instrText>ADDIN CSL_CITATION { "citationItems" : [ { "id" : "ITEM-1", "itemData" : { "DOI" : "10.5935/abc.20130244", "author" : [ { "dropping-particle" : "", "family" : "Bertoletti", "given" : "Juliana", "non-dropping-particle" : "", "parse-names" : false, "suffix" : "" }, { "dropping-particle" : "", "family" : "Marx", "given" : "Giovana Caroline", "non-dropping-particle" : "", "parse-names" : false, "suffix" : "" }, { "dropping-particle" : "", "family" : "Hattge J\u00fanior", "given" : "S\u00e9rgio Pedro", "non-dropping-particle" : "", "parse-names" : false, "suffix" : "" }, { "dropping-particle" : "", "family" : "Pellanda", "given" : "Lucia Campos", "non-dropping-particle" : "", "parse-names" : false, "suffix" : "" } ], "container-title" : "Arq Bras Cardiol.", "id" : "ITEM-1", "issue" : "2", "issued" : { "date-parts" : [ [ "2014" ] ] }, "page" : "192-198", "title" : "Qualidade de vida e cardiopatia cong\u00eanita na inf\u00e2ncia e adolesc\u00eancia", "type" : "article-journal", "volume" : "10" }, "uris" : [ "http://www.mendeley.com/documents/?uuid=149554b7-e763-446d-87a3-305e558f84cc" ] } ], "mendeley" : { "formattedCitation" : "&lt;sup&gt;95&lt;/sup&gt;", "plainTextFormattedCitation" : "95", "previouslyFormattedCitation" : "&lt;sup&gt;95&lt;/sup&gt;" }, "properties" : { "noteIndex" : 0 }, "schema" : "https://github.com/citation-style-language/schema/raw/master/csl-citation.json" }</w:instrText>
      </w:r>
      <w:r w:rsidR="00A467B8">
        <w:rPr>
          <w:rFonts w:ascii="Arial" w:hAnsi="Arial" w:cs="Arial"/>
          <w:sz w:val="24"/>
        </w:rPr>
        <w:fldChar w:fldCharType="separate"/>
      </w:r>
      <w:r w:rsidR="00412B48" w:rsidRPr="00412B48">
        <w:rPr>
          <w:rFonts w:ascii="Arial" w:hAnsi="Arial" w:cs="Arial"/>
          <w:noProof/>
          <w:sz w:val="24"/>
          <w:vertAlign w:val="superscript"/>
        </w:rPr>
        <w:t>95</w:t>
      </w:r>
      <w:r w:rsidR="00A467B8">
        <w:rPr>
          <w:rFonts w:ascii="Arial" w:hAnsi="Arial" w:cs="Arial"/>
          <w:sz w:val="24"/>
        </w:rPr>
        <w:fldChar w:fldCharType="end"/>
      </w:r>
    </w:p>
    <w:p w:rsidR="00A8797F" w:rsidRDefault="00A8797F" w:rsidP="00F03F60">
      <w:pPr>
        <w:tabs>
          <w:tab w:val="left" w:pos="1418"/>
          <w:tab w:val="left" w:pos="1560"/>
        </w:tabs>
        <w:spacing w:after="0" w:line="360" w:lineRule="auto"/>
        <w:jc w:val="both"/>
        <w:rPr>
          <w:rFonts w:ascii="Arial" w:hAnsi="Arial" w:cs="Arial"/>
          <w:sz w:val="24"/>
        </w:rPr>
      </w:pPr>
    </w:p>
    <w:p w:rsidR="007A4BA5" w:rsidRDefault="000143F4" w:rsidP="00F03F60">
      <w:pPr>
        <w:tabs>
          <w:tab w:val="left" w:pos="1418"/>
          <w:tab w:val="left" w:pos="1560"/>
        </w:tabs>
        <w:spacing w:after="0" w:line="360" w:lineRule="auto"/>
        <w:jc w:val="both"/>
        <w:rPr>
          <w:rFonts w:ascii="Arial" w:hAnsi="Arial" w:cs="Arial"/>
          <w:sz w:val="24"/>
        </w:rPr>
      </w:pPr>
      <w:r w:rsidRPr="00C83656">
        <w:rPr>
          <w:rFonts w:ascii="Arial" w:hAnsi="Arial" w:cs="Arial"/>
          <w:sz w:val="24"/>
        </w:rPr>
        <w:t>Nosso</w:t>
      </w:r>
      <w:r w:rsidR="00E5251F" w:rsidRPr="00C83656">
        <w:rPr>
          <w:rFonts w:ascii="Arial" w:hAnsi="Arial" w:cs="Arial"/>
          <w:sz w:val="24"/>
        </w:rPr>
        <w:t xml:space="preserve"> estudo </w:t>
      </w:r>
      <w:r w:rsidRPr="00C83656">
        <w:rPr>
          <w:rFonts w:ascii="Arial" w:hAnsi="Arial" w:cs="Arial"/>
          <w:sz w:val="24"/>
        </w:rPr>
        <w:t>apresenta</w:t>
      </w:r>
      <w:r w:rsidR="00E5251F">
        <w:rPr>
          <w:rFonts w:ascii="Arial" w:hAnsi="Arial" w:cs="Arial"/>
          <w:sz w:val="24"/>
        </w:rPr>
        <w:t xml:space="preserve"> </w:t>
      </w:r>
      <w:r>
        <w:rPr>
          <w:rFonts w:ascii="Arial" w:hAnsi="Arial" w:cs="Arial"/>
          <w:sz w:val="24"/>
        </w:rPr>
        <w:t xml:space="preserve">a </w:t>
      </w:r>
      <w:r w:rsidR="00E5251F">
        <w:rPr>
          <w:rFonts w:ascii="Arial" w:hAnsi="Arial" w:cs="Arial"/>
          <w:sz w:val="24"/>
        </w:rPr>
        <w:t xml:space="preserve">abordagem quantitativa </w:t>
      </w:r>
      <w:r>
        <w:rPr>
          <w:rFonts w:ascii="Arial" w:hAnsi="Arial" w:cs="Arial"/>
          <w:sz w:val="24"/>
        </w:rPr>
        <w:t>d</w:t>
      </w:r>
      <w:r w:rsidR="00E5251F">
        <w:rPr>
          <w:rFonts w:ascii="Arial" w:hAnsi="Arial" w:cs="Arial"/>
          <w:sz w:val="24"/>
        </w:rPr>
        <w:t>a QVRS de crianças e adolescentes acometid</w:t>
      </w:r>
      <w:r w:rsidR="005408CE">
        <w:rPr>
          <w:rFonts w:ascii="Arial" w:hAnsi="Arial" w:cs="Arial"/>
          <w:sz w:val="24"/>
        </w:rPr>
        <w:t>o</w:t>
      </w:r>
      <w:r w:rsidR="00E5251F">
        <w:rPr>
          <w:rFonts w:ascii="Arial" w:hAnsi="Arial" w:cs="Arial"/>
          <w:sz w:val="24"/>
        </w:rPr>
        <w:t xml:space="preserve">s por MPS, </w:t>
      </w:r>
      <w:r w:rsidR="003C4DB0">
        <w:rPr>
          <w:rFonts w:ascii="Arial" w:hAnsi="Arial" w:cs="Arial"/>
          <w:sz w:val="24"/>
        </w:rPr>
        <w:t xml:space="preserve">sob </w:t>
      </w:r>
      <w:r w:rsidR="00B76A2A">
        <w:rPr>
          <w:rFonts w:ascii="Arial" w:hAnsi="Arial" w:cs="Arial"/>
          <w:sz w:val="24"/>
        </w:rPr>
        <w:t>a perspectiva dos</w:t>
      </w:r>
      <w:r w:rsidR="006E1836">
        <w:rPr>
          <w:rFonts w:ascii="Arial" w:hAnsi="Arial" w:cs="Arial"/>
          <w:sz w:val="24"/>
        </w:rPr>
        <w:t xml:space="preserve"> seus </w:t>
      </w:r>
      <w:r w:rsidR="00B76A2A">
        <w:rPr>
          <w:rFonts w:ascii="Arial" w:hAnsi="Arial" w:cs="Arial"/>
          <w:sz w:val="24"/>
        </w:rPr>
        <w:t xml:space="preserve">pais </w:t>
      </w:r>
      <w:r w:rsidR="00E5251F">
        <w:rPr>
          <w:rFonts w:ascii="Arial" w:hAnsi="Arial" w:cs="Arial"/>
          <w:sz w:val="24"/>
        </w:rPr>
        <w:t xml:space="preserve">ou cuidadores. </w:t>
      </w:r>
      <w:r w:rsidR="00D233C2">
        <w:rPr>
          <w:rFonts w:ascii="Arial" w:hAnsi="Arial" w:cs="Arial"/>
          <w:sz w:val="24"/>
        </w:rPr>
        <w:t xml:space="preserve">No entanto, </w:t>
      </w:r>
      <w:r w:rsidR="00116469">
        <w:rPr>
          <w:rFonts w:ascii="Arial" w:hAnsi="Arial" w:cs="Arial"/>
          <w:sz w:val="24"/>
        </w:rPr>
        <w:t xml:space="preserve">ponderamos que </w:t>
      </w:r>
      <w:r w:rsidR="00D233C2">
        <w:rPr>
          <w:rFonts w:ascii="Arial" w:hAnsi="Arial" w:cs="Arial"/>
          <w:sz w:val="24"/>
        </w:rPr>
        <w:t>a</w:t>
      </w:r>
      <w:r w:rsidR="00F53877">
        <w:rPr>
          <w:rFonts w:ascii="Arial" w:hAnsi="Arial" w:cs="Arial"/>
          <w:sz w:val="24"/>
        </w:rPr>
        <w:t xml:space="preserve"> utilização de um instrumento genérico para avalia</w:t>
      </w:r>
      <w:r w:rsidR="004D0138">
        <w:rPr>
          <w:rFonts w:ascii="Arial" w:hAnsi="Arial" w:cs="Arial"/>
          <w:sz w:val="24"/>
        </w:rPr>
        <w:t xml:space="preserve">r a </w:t>
      </w:r>
      <w:r w:rsidR="005408CE">
        <w:rPr>
          <w:rFonts w:ascii="Arial" w:hAnsi="Arial" w:cs="Arial"/>
          <w:sz w:val="24"/>
        </w:rPr>
        <w:t>QVRS</w:t>
      </w:r>
      <w:r w:rsidR="00525C3F">
        <w:rPr>
          <w:rFonts w:ascii="Arial" w:hAnsi="Arial" w:cs="Arial"/>
          <w:sz w:val="24"/>
        </w:rPr>
        <w:t>,</w:t>
      </w:r>
      <w:r w:rsidR="004D0138">
        <w:rPr>
          <w:rFonts w:ascii="Arial" w:hAnsi="Arial" w:cs="Arial"/>
          <w:sz w:val="24"/>
        </w:rPr>
        <w:t xml:space="preserve"> </w:t>
      </w:r>
      <w:r w:rsidR="00AA100E">
        <w:rPr>
          <w:rFonts w:ascii="Arial" w:hAnsi="Arial" w:cs="Arial"/>
          <w:sz w:val="24"/>
        </w:rPr>
        <w:t>por meio</w:t>
      </w:r>
      <w:r w:rsidR="00DE1402">
        <w:rPr>
          <w:rFonts w:ascii="Arial" w:hAnsi="Arial" w:cs="Arial"/>
          <w:sz w:val="24"/>
        </w:rPr>
        <w:t xml:space="preserve"> da obtenção </w:t>
      </w:r>
      <w:r w:rsidR="006F6027">
        <w:rPr>
          <w:rFonts w:ascii="Arial" w:hAnsi="Arial" w:cs="Arial"/>
          <w:sz w:val="24"/>
        </w:rPr>
        <w:t>de</w:t>
      </w:r>
      <w:r w:rsidR="004D0138">
        <w:rPr>
          <w:rFonts w:ascii="Arial" w:hAnsi="Arial" w:cs="Arial"/>
          <w:sz w:val="24"/>
        </w:rPr>
        <w:t xml:space="preserve"> </w:t>
      </w:r>
      <w:r w:rsidR="00F53877">
        <w:rPr>
          <w:rFonts w:ascii="Arial" w:hAnsi="Arial" w:cs="Arial"/>
          <w:sz w:val="24"/>
        </w:rPr>
        <w:t>escores numéricos</w:t>
      </w:r>
      <w:r w:rsidR="00525C3F">
        <w:rPr>
          <w:rFonts w:ascii="Arial" w:hAnsi="Arial" w:cs="Arial"/>
          <w:sz w:val="24"/>
        </w:rPr>
        <w:t>,</w:t>
      </w:r>
      <w:r w:rsidR="00F53877">
        <w:rPr>
          <w:rFonts w:ascii="Arial" w:hAnsi="Arial" w:cs="Arial"/>
          <w:sz w:val="24"/>
        </w:rPr>
        <w:t xml:space="preserve"> não </w:t>
      </w:r>
      <w:r w:rsidR="004D0138">
        <w:rPr>
          <w:rFonts w:ascii="Arial" w:hAnsi="Arial" w:cs="Arial"/>
          <w:sz w:val="24"/>
        </w:rPr>
        <w:t>corresponde à</w:t>
      </w:r>
      <w:r w:rsidR="00F53877">
        <w:rPr>
          <w:rFonts w:ascii="Arial" w:hAnsi="Arial" w:cs="Arial"/>
          <w:sz w:val="24"/>
        </w:rPr>
        <w:t xml:space="preserve"> avaliação </w:t>
      </w:r>
      <w:r w:rsidR="006F6027">
        <w:rPr>
          <w:rFonts w:ascii="Arial" w:hAnsi="Arial" w:cs="Arial"/>
          <w:sz w:val="24"/>
        </w:rPr>
        <w:t>exata do constructo</w:t>
      </w:r>
      <w:r w:rsidR="00E238D2">
        <w:rPr>
          <w:rFonts w:ascii="Arial" w:hAnsi="Arial" w:cs="Arial"/>
          <w:sz w:val="24"/>
        </w:rPr>
        <w:t>, pois n</w:t>
      </w:r>
      <w:r w:rsidR="00DB1EB3">
        <w:rPr>
          <w:rFonts w:ascii="Arial" w:hAnsi="Arial" w:cs="Arial"/>
          <w:sz w:val="24"/>
        </w:rPr>
        <w:t>ão reflete</w:t>
      </w:r>
      <w:r w:rsidR="00DB34F4">
        <w:rPr>
          <w:rFonts w:ascii="Arial" w:hAnsi="Arial" w:cs="Arial"/>
          <w:sz w:val="24"/>
        </w:rPr>
        <w:t>,</w:t>
      </w:r>
      <w:r w:rsidR="00E238D2">
        <w:rPr>
          <w:rFonts w:ascii="Arial" w:hAnsi="Arial" w:cs="Arial"/>
          <w:sz w:val="24"/>
        </w:rPr>
        <w:t xml:space="preserve"> com precisão</w:t>
      </w:r>
      <w:r w:rsidR="00DB34F4">
        <w:rPr>
          <w:rFonts w:ascii="Arial" w:hAnsi="Arial" w:cs="Arial"/>
          <w:sz w:val="24"/>
        </w:rPr>
        <w:t>,</w:t>
      </w:r>
      <w:r w:rsidR="00E238D2">
        <w:rPr>
          <w:rFonts w:ascii="Arial" w:hAnsi="Arial" w:cs="Arial"/>
          <w:sz w:val="24"/>
        </w:rPr>
        <w:t xml:space="preserve"> percepções subjetivas de saúde e bem-estar. T</w:t>
      </w:r>
      <w:r w:rsidR="006F6027">
        <w:rPr>
          <w:rFonts w:ascii="Arial" w:hAnsi="Arial" w:cs="Arial"/>
          <w:sz w:val="24"/>
        </w:rPr>
        <w:t>rata</w:t>
      </w:r>
      <w:r w:rsidR="00DB34F4">
        <w:rPr>
          <w:rFonts w:ascii="Arial" w:hAnsi="Arial" w:cs="Arial"/>
          <w:sz w:val="24"/>
        </w:rPr>
        <w:t>m</w:t>
      </w:r>
      <w:r w:rsidR="006F6027">
        <w:rPr>
          <w:rFonts w:ascii="Arial" w:hAnsi="Arial" w:cs="Arial"/>
          <w:sz w:val="24"/>
        </w:rPr>
        <w:t>-se ap</w:t>
      </w:r>
      <w:r w:rsidR="00D33826">
        <w:rPr>
          <w:rFonts w:ascii="Arial" w:hAnsi="Arial" w:cs="Arial"/>
          <w:sz w:val="24"/>
        </w:rPr>
        <w:t>enas de valores representativos da condição geral de saúde desses pacientes</w:t>
      </w:r>
      <w:r w:rsidR="00B54CA0">
        <w:rPr>
          <w:rFonts w:ascii="Arial" w:hAnsi="Arial" w:cs="Arial"/>
          <w:sz w:val="24"/>
        </w:rPr>
        <w:t xml:space="preserve">, considerando que não houve análise qualitativa e os sujeitos não foram abordados diretamente </w:t>
      </w:r>
      <w:r w:rsidR="00C949D3">
        <w:rPr>
          <w:rFonts w:ascii="Arial" w:hAnsi="Arial" w:cs="Arial"/>
          <w:sz w:val="24"/>
        </w:rPr>
        <w:t>quanto à</w:t>
      </w:r>
      <w:r w:rsidR="00B54CA0">
        <w:rPr>
          <w:rFonts w:ascii="Arial" w:hAnsi="Arial" w:cs="Arial"/>
          <w:sz w:val="24"/>
        </w:rPr>
        <w:t xml:space="preserve"> sua própria concepção.</w:t>
      </w:r>
    </w:p>
    <w:p w:rsidR="00F03F60" w:rsidRDefault="00F03F60" w:rsidP="00F03F60">
      <w:pPr>
        <w:tabs>
          <w:tab w:val="left" w:pos="1418"/>
          <w:tab w:val="left" w:pos="1560"/>
        </w:tabs>
        <w:spacing w:after="0" w:line="360" w:lineRule="auto"/>
        <w:jc w:val="both"/>
        <w:rPr>
          <w:rFonts w:ascii="Arial" w:hAnsi="Arial" w:cs="Arial"/>
          <w:sz w:val="24"/>
        </w:rPr>
      </w:pPr>
    </w:p>
    <w:p w:rsidR="00C04CFD" w:rsidRDefault="006F6027" w:rsidP="00F03F60">
      <w:pPr>
        <w:tabs>
          <w:tab w:val="left" w:pos="1418"/>
          <w:tab w:val="left" w:pos="1560"/>
        </w:tabs>
        <w:spacing w:after="0" w:line="360" w:lineRule="auto"/>
        <w:jc w:val="both"/>
        <w:rPr>
          <w:rFonts w:ascii="Arial" w:hAnsi="Arial" w:cs="Arial"/>
          <w:sz w:val="24"/>
        </w:rPr>
      </w:pPr>
      <w:r>
        <w:rPr>
          <w:rFonts w:ascii="Arial" w:hAnsi="Arial" w:cs="Arial"/>
          <w:sz w:val="24"/>
        </w:rPr>
        <w:t xml:space="preserve">O caráter subjetivo e a abrangência multidimensional do conceito de </w:t>
      </w:r>
      <w:r w:rsidR="0038208B">
        <w:rPr>
          <w:rFonts w:ascii="Arial" w:hAnsi="Arial" w:cs="Arial"/>
          <w:sz w:val="24"/>
        </w:rPr>
        <w:t>QVRS</w:t>
      </w:r>
      <w:r>
        <w:rPr>
          <w:rFonts w:ascii="Arial" w:hAnsi="Arial" w:cs="Arial"/>
          <w:sz w:val="24"/>
        </w:rPr>
        <w:t xml:space="preserve"> dificulta</w:t>
      </w:r>
      <w:r w:rsidR="00952FE9">
        <w:rPr>
          <w:rFonts w:ascii="Arial" w:hAnsi="Arial" w:cs="Arial"/>
          <w:sz w:val="24"/>
        </w:rPr>
        <w:t>m</w:t>
      </w:r>
      <w:r>
        <w:rPr>
          <w:rFonts w:ascii="Arial" w:hAnsi="Arial" w:cs="Arial"/>
          <w:sz w:val="24"/>
        </w:rPr>
        <w:t xml:space="preserve"> </w:t>
      </w:r>
      <w:r w:rsidR="00FF5EC2">
        <w:rPr>
          <w:rFonts w:ascii="Arial" w:hAnsi="Arial" w:cs="Arial"/>
          <w:sz w:val="24"/>
        </w:rPr>
        <w:t xml:space="preserve">a sua avaliação, mesmo com a utilização de instrumentos </w:t>
      </w:r>
      <w:r w:rsidR="00DF5D29">
        <w:rPr>
          <w:rFonts w:ascii="Arial" w:hAnsi="Arial" w:cs="Arial"/>
          <w:sz w:val="24"/>
        </w:rPr>
        <w:t>padronizado</w:t>
      </w:r>
      <w:r w:rsidR="00FF5EC2">
        <w:rPr>
          <w:rFonts w:ascii="Arial" w:hAnsi="Arial" w:cs="Arial"/>
          <w:sz w:val="24"/>
        </w:rPr>
        <w:t xml:space="preserve">s. </w:t>
      </w:r>
      <w:r w:rsidR="00F25A9C">
        <w:rPr>
          <w:rFonts w:ascii="Arial" w:hAnsi="Arial" w:cs="Arial"/>
          <w:sz w:val="24"/>
        </w:rPr>
        <w:t>Uma</w:t>
      </w:r>
      <w:r w:rsidR="00FF5EC2">
        <w:rPr>
          <w:rFonts w:ascii="Arial" w:hAnsi="Arial" w:cs="Arial"/>
          <w:sz w:val="24"/>
        </w:rPr>
        <w:t xml:space="preserve"> revisão sistemática desenvolvida por Solans et al.</w:t>
      </w:r>
      <w:r w:rsidR="00F87DFC">
        <w:rPr>
          <w:rFonts w:ascii="Arial" w:hAnsi="Arial" w:cs="Arial"/>
          <w:sz w:val="24"/>
        </w:rPr>
        <w:fldChar w:fldCharType="begin" w:fldLock="1"/>
      </w:r>
      <w:r w:rsidR="003308C5">
        <w:rPr>
          <w:rFonts w:ascii="Arial" w:hAnsi="Arial" w:cs="Arial"/>
          <w:sz w:val="24"/>
        </w:rPr>
        <w:instrText>ADDIN CSL_CITATION { "citationItems" : [ { "id" : "ITEM-1", "itemData" : { "DOI" : "10.1111/j.1524-4733.2007.00293.x", "ISSN" : "1098-3015", "author" : [ { "dropping-particle" : "", "family" : "Solans", "given" : "Maite", "non-dropping-particle" : "", "parse-names" : false, "suffix" : "" }, { "dropping-particle" : "", "family" : "Pane", "given" : "Sabrina", "non-dropping-particle" : "", "parse-names" : false, "suffix" : "" }, { "dropping-particle" : "", "family" : "Estrada", "given" : "Maria-Dolors", "non-dropping-particle" : "", "parse-names" : false, "suffix" : "" }, { "dropping-particle" : "", "family" : "Serra-sutton", "given" : "Vicky", "non-dropping-particle" : "", "parse-names" : false, "suffix" : "" }, { "dropping-particle" : "", "family" : "Berra", "given" : "Silvina", "non-dropping-particle" : "", "parse-names" : false, "suffix" : "" }, { "dropping-particle" : "", "family" : "Herdman", "given" : "Michael", "non-dropping-particle" : "", "parse-names" : false, "suffix" : "" }, { "dropping-particle" : "", "family" : "Alonso", "given" : "Jordi", "non-dropping-particle" : "", "parse-names" : false, "suffix" : "" }, { "dropping-particle" : "", "family" : "Rajmil", "given" : "Luis", "non-dropping-particle" : "", "parse-names" : false, "suffix" : "" } ], "container-title" : "Value in Health", "id" : "ITEM-1", "issue" : "4", "issued" : { "date-parts" : [ [ "2008" ] ] }, "page" : "742-764", "publisher" : "International Society for Pharmacoeconomics and Outcomes Research (ISPOR)", "title" : "Health-related quality of life measurement in children and adolescents: a systematic review of generic and disease-specific instruments", "type" : "article-journal", "volume" : "11" }, "uris" : [ "http://www.mendeley.com/documents/?uuid=98bdc5e9-75d5-417b-9148-806b4606e426" ] } ], "mendeley" : { "formattedCitation" : "&lt;sup&gt;112&lt;/sup&gt;", "plainTextFormattedCitation" : "112", "previouslyFormattedCitation" : "&lt;sup&gt;112&lt;/sup&gt;" }, "properties" : { "noteIndex" : 0 }, "schema" : "https://github.com/citation-style-language/schema/raw/master/csl-citation.json" }</w:instrText>
      </w:r>
      <w:r w:rsidR="00F87DFC">
        <w:rPr>
          <w:rFonts w:ascii="Arial" w:hAnsi="Arial" w:cs="Arial"/>
          <w:sz w:val="24"/>
        </w:rPr>
        <w:fldChar w:fldCharType="separate"/>
      </w:r>
      <w:r w:rsidR="00E65B95" w:rsidRPr="00E65B95">
        <w:rPr>
          <w:rFonts w:ascii="Arial" w:hAnsi="Arial" w:cs="Arial"/>
          <w:noProof/>
          <w:sz w:val="24"/>
          <w:vertAlign w:val="superscript"/>
        </w:rPr>
        <w:t>112</w:t>
      </w:r>
      <w:r w:rsidR="00F87DFC">
        <w:rPr>
          <w:rFonts w:ascii="Arial" w:hAnsi="Arial" w:cs="Arial"/>
          <w:sz w:val="24"/>
        </w:rPr>
        <w:fldChar w:fldCharType="end"/>
      </w:r>
      <w:r w:rsidR="004C2E00">
        <w:rPr>
          <w:rFonts w:ascii="Arial" w:hAnsi="Arial" w:cs="Arial"/>
          <w:sz w:val="24"/>
        </w:rPr>
        <w:t>,</w:t>
      </w:r>
      <w:r w:rsidR="00FF5EC2">
        <w:rPr>
          <w:rFonts w:ascii="Arial" w:hAnsi="Arial" w:cs="Arial"/>
          <w:sz w:val="24"/>
        </w:rPr>
        <w:t xml:space="preserve"> sobre instrumentos genéricos (n=30) e doença-específicos (n=64) para avaliação da QVRS de crianças e adolescentes</w:t>
      </w:r>
      <w:r w:rsidR="004C2E00">
        <w:rPr>
          <w:rFonts w:ascii="Arial" w:hAnsi="Arial" w:cs="Arial"/>
          <w:sz w:val="24"/>
        </w:rPr>
        <w:t>,</w:t>
      </w:r>
      <w:r w:rsidR="00FF5EC2">
        <w:rPr>
          <w:rFonts w:ascii="Arial" w:hAnsi="Arial" w:cs="Arial"/>
          <w:sz w:val="24"/>
        </w:rPr>
        <w:t xml:space="preserve"> evidenci</w:t>
      </w:r>
      <w:r w:rsidR="009A73D8">
        <w:rPr>
          <w:rFonts w:ascii="Arial" w:hAnsi="Arial" w:cs="Arial"/>
          <w:sz w:val="24"/>
        </w:rPr>
        <w:t>ou</w:t>
      </w:r>
      <w:r w:rsidR="00FF5EC2">
        <w:rPr>
          <w:rFonts w:ascii="Arial" w:hAnsi="Arial" w:cs="Arial"/>
          <w:sz w:val="24"/>
        </w:rPr>
        <w:t xml:space="preserve"> que a maioria dos instrumentos apresent</w:t>
      </w:r>
      <w:r w:rsidR="009A73D8">
        <w:rPr>
          <w:rFonts w:ascii="Arial" w:hAnsi="Arial" w:cs="Arial"/>
          <w:sz w:val="24"/>
        </w:rPr>
        <w:t>ou</w:t>
      </w:r>
      <w:r w:rsidR="00FF5EC2">
        <w:rPr>
          <w:rFonts w:ascii="Arial" w:hAnsi="Arial" w:cs="Arial"/>
          <w:sz w:val="24"/>
        </w:rPr>
        <w:t xml:space="preserve"> propriedades </w:t>
      </w:r>
      <w:r w:rsidR="00FF5EC2">
        <w:rPr>
          <w:rFonts w:ascii="Arial" w:hAnsi="Arial" w:cs="Arial"/>
          <w:sz w:val="24"/>
        </w:rPr>
        <w:lastRenderedPageBreak/>
        <w:t>psicométricas adequadas, mas</w:t>
      </w:r>
      <w:r w:rsidR="00E40001">
        <w:rPr>
          <w:rFonts w:ascii="Arial" w:hAnsi="Arial" w:cs="Arial"/>
          <w:sz w:val="24"/>
        </w:rPr>
        <w:t>,</w:t>
      </w:r>
      <w:r w:rsidR="00FF5EC2">
        <w:rPr>
          <w:rFonts w:ascii="Arial" w:hAnsi="Arial" w:cs="Arial"/>
          <w:sz w:val="24"/>
        </w:rPr>
        <w:t xml:space="preserve"> poucos </w:t>
      </w:r>
      <w:r w:rsidR="00845D9F">
        <w:rPr>
          <w:rFonts w:ascii="Arial" w:hAnsi="Arial" w:cs="Arial"/>
          <w:sz w:val="24"/>
        </w:rPr>
        <w:t xml:space="preserve">(n=14) </w:t>
      </w:r>
      <w:r w:rsidR="00D33826">
        <w:rPr>
          <w:rFonts w:ascii="Arial" w:hAnsi="Arial" w:cs="Arial"/>
          <w:sz w:val="24"/>
        </w:rPr>
        <w:t>analisav</w:t>
      </w:r>
      <w:r w:rsidR="00FF5EC2">
        <w:rPr>
          <w:rFonts w:ascii="Arial" w:hAnsi="Arial" w:cs="Arial"/>
          <w:sz w:val="24"/>
        </w:rPr>
        <w:t>am</w:t>
      </w:r>
      <w:r w:rsidR="00367028">
        <w:rPr>
          <w:rFonts w:ascii="Arial" w:hAnsi="Arial" w:cs="Arial"/>
          <w:sz w:val="24"/>
        </w:rPr>
        <w:t>, por exemplo,</w:t>
      </w:r>
      <w:r w:rsidR="00FF5EC2">
        <w:rPr>
          <w:rFonts w:ascii="Arial" w:hAnsi="Arial" w:cs="Arial"/>
          <w:sz w:val="24"/>
        </w:rPr>
        <w:t xml:space="preserve"> a sensibilidade à mudança</w:t>
      </w:r>
      <w:r w:rsidR="00845D9F">
        <w:rPr>
          <w:rFonts w:ascii="Arial" w:hAnsi="Arial" w:cs="Arial"/>
          <w:sz w:val="24"/>
        </w:rPr>
        <w:t xml:space="preserve"> dos sintomas </w:t>
      </w:r>
      <w:r w:rsidR="009A73D8">
        <w:rPr>
          <w:rFonts w:ascii="Arial" w:hAnsi="Arial" w:cs="Arial"/>
          <w:sz w:val="24"/>
        </w:rPr>
        <w:t>(</w:t>
      </w:r>
      <w:r w:rsidR="00845D9F">
        <w:rPr>
          <w:rFonts w:ascii="Arial" w:hAnsi="Arial" w:cs="Arial"/>
          <w:sz w:val="24"/>
        </w:rPr>
        <w:t xml:space="preserve">diferença mínima importante </w:t>
      </w:r>
      <w:r w:rsidR="00375B32">
        <w:rPr>
          <w:rFonts w:ascii="Arial" w:hAnsi="Arial" w:cs="Arial"/>
          <w:sz w:val="24"/>
        </w:rPr>
        <w:t>entre o período antes e após</w:t>
      </w:r>
      <w:r w:rsidR="00845D9F">
        <w:rPr>
          <w:rFonts w:ascii="Arial" w:hAnsi="Arial" w:cs="Arial"/>
          <w:sz w:val="24"/>
        </w:rPr>
        <w:t xml:space="preserve"> interven</w:t>
      </w:r>
      <w:r w:rsidR="00375B32">
        <w:rPr>
          <w:rFonts w:ascii="Arial" w:hAnsi="Arial" w:cs="Arial"/>
          <w:sz w:val="24"/>
        </w:rPr>
        <w:t>ção</w:t>
      </w:r>
      <w:r w:rsidR="00885AAF">
        <w:rPr>
          <w:rFonts w:ascii="Arial" w:hAnsi="Arial" w:cs="Arial"/>
          <w:sz w:val="24"/>
        </w:rPr>
        <w:t>, para avaliar os</w:t>
      </w:r>
      <w:r w:rsidR="00BB0E6F">
        <w:rPr>
          <w:rFonts w:ascii="Arial" w:hAnsi="Arial" w:cs="Arial"/>
          <w:sz w:val="24"/>
        </w:rPr>
        <w:t xml:space="preserve"> possíveis</w:t>
      </w:r>
      <w:r w:rsidR="00885AAF">
        <w:rPr>
          <w:rFonts w:ascii="Arial" w:hAnsi="Arial" w:cs="Arial"/>
          <w:sz w:val="24"/>
        </w:rPr>
        <w:t xml:space="preserve"> benefícios </w:t>
      </w:r>
      <w:r w:rsidR="00CE2CB1">
        <w:rPr>
          <w:rFonts w:ascii="Arial" w:hAnsi="Arial" w:cs="Arial"/>
          <w:sz w:val="24"/>
        </w:rPr>
        <w:t>da</w:t>
      </w:r>
      <w:r w:rsidR="00885AAF">
        <w:rPr>
          <w:rFonts w:ascii="Arial" w:hAnsi="Arial" w:cs="Arial"/>
          <w:sz w:val="24"/>
        </w:rPr>
        <w:t xml:space="preserve"> terapêutica instituída</w:t>
      </w:r>
      <w:r w:rsidR="009A73D8">
        <w:rPr>
          <w:rFonts w:ascii="Arial" w:hAnsi="Arial" w:cs="Arial"/>
          <w:sz w:val="24"/>
        </w:rPr>
        <w:t>)</w:t>
      </w:r>
      <w:r w:rsidR="00CD3E6C">
        <w:rPr>
          <w:rFonts w:ascii="Arial" w:hAnsi="Arial" w:cs="Arial"/>
          <w:sz w:val="24"/>
        </w:rPr>
        <w:t>.</w:t>
      </w:r>
      <w:r w:rsidR="00F87DFC">
        <w:rPr>
          <w:rFonts w:ascii="Arial" w:hAnsi="Arial" w:cs="Arial"/>
          <w:sz w:val="24"/>
        </w:rPr>
        <w:fldChar w:fldCharType="begin" w:fldLock="1"/>
      </w:r>
      <w:r w:rsidR="003308C5">
        <w:rPr>
          <w:rFonts w:ascii="Arial" w:hAnsi="Arial" w:cs="Arial"/>
          <w:sz w:val="24"/>
        </w:rPr>
        <w:instrText>ADDIN CSL_CITATION { "citationItems" : [ { "id" : "ITEM-1", "itemData" : { "DOI" : "10.1111/j.1524-4733.2007.00293.x", "ISSN" : "1098-3015", "author" : [ { "dropping-particle" : "", "family" : "Solans", "given" : "Maite", "non-dropping-particle" : "", "parse-names" : false, "suffix" : "" }, { "dropping-particle" : "", "family" : "Pane", "given" : "Sabrina", "non-dropping-particle" : "", "parse-names" : false, "suffix" : "" }, { "dropping-particle" : "", "family" : "Estrada", "given" : "Maria-Dolors", "non-dropping-particle" : "", "parse-names" : false, "suffix" : "" }, { "dropping-particle" : "", "family" : "Serra-sutton", "given" : "Vicky", "non-dropping-particle" : "", "parse-names" : false, "suffix" : "" }, { "dropping-particle" : "", "family" : "Berra", "given" : "Silvina", "non-dropping-particle" : "", "parse-names" : false, "suffix" : "" }, { "dropping-particle" : "", "family" : "Herdman", "given" : "Michael", "non-dropping-particle" : "", "parse-names" : false, "suffix" : "" }, { "dropping-particle" : "", "family" : "Alonso", "given" : "Jordi", "non-dropping-particle" : "", "parse-names" : false, "suffix" : "" }, { "dropping-particle" : "", "family" : "Rajmil", "given" : "Luis", "non-dropping-particle" : "", "parse-names" : false, "suffix" : "" } ], "container-title" : "Value in Health", "id" : "ITEM-1", "issue" : "4", "issued" : { "date-parts" : [ [ "2008" ] ] }, "page" : "742-764", "publisher" : "International Society for Pharmacoeconomics and Outcomes Research (ISPOR)", "title" : "Health-related quality of life measurement in children and adolescents: a systematic review of generic and disease-specific instruments", "type" : "article-journal", "volume" : "11" }, "uris" : [ "http://www.mendeley.com/documents/?uuid=98bdc5e9-75d5-417b-9148-806b4606e426" ] } ], "mendeley" : { "formattedCitation" : "&lt;sup&gt;112&lt;/sup&gt;", "plainTextFormattedCitation" : "112", "previouslyFormattedCitation" : "&lt;sup&gt;112&lt;/sup&gt;" }, "properties" : { "noteIndex" : 0 }, "schema" : "https://github.com/citation-style-language/schema/raw/master/csl-citation.json" }</w:instrText>
      </w:r>
      <w:r w:rsidR="00F87DFC">
        <w:rPr>
          <w:rFonts w:ascii="Arial" w:hAnsi="Arial" w:cs="Arial"/>
          <w:sz w:val="24"/>
        </w:rPr>
        <w:fldChar w:fldCharType="separate"/>
      </w:r>
      <w:r w:rsidR="00E65B95" w:rsidRPr="00E65B95">
        <w:rPr>
          <w:rFonts w:ascii="Arial" w:hAnsi="Arial" w:cs="Arial"/>
          <w:noProof/>
          <w:sz w:val="24"/>
          <w:vertAlign w:val="superscript"/>
        </w:rPr>
        <w:t>112</w:t>
      </w:r>
      <w:r w:rsidR="00F87DFC">
        <w:rPr>
          <w:rFonts w:ascii="Arial" w:hAnsi="Arial" w:cs="Arial"/>
          <w:sz w:val="24"/>
        </w:rPr>
        <w:fldChar w:fldCharType="end"/>
      </w:r>
      <w:r w:rsidR="00320A24">
        <w:rPr>
          <w:rFonts w:ascii="Arial" w:hAnsi="Arial" w:cs="Arial"/>
          <w:sz w:val="24"/>
        </w:rPr>
        <w:t xml:space="preserve"> </w:t>
      </w:r>
      <w:r w:rsidR="00C04CFD">
        <w:rPr>
          <w:rFonts w:ascii="Arial" w:hAnsi="Arial" w:cs="Arial"/>
          <w:sz w:val="24"/>
        </w:rPr>
        <w:t>A</w:t>
      </w:r>
      <w:r w:rsidR="00E40001">
        <w:rPr>
          <w:rFonts w:ascii="Arial" w:hAnsi="Arial" w:cs="Arial"/>
          <w:sz w:val="24"/>
        </w:rPr>
        <w:t>lém dist</w:t>
      </w:r>
      <w:r w:rsidR="00320A24">
        <w:rPr>
          <w:rFonts w:ascii="Arial" w:hAnsi="Arial" w:cs="Arial"/>
          <w:sz w:val="24"/>
        </w:rPr>
        <w:t>o,</w:t>
      </w:r>
      <w:r w:rsidR="00C04CFD">
        <w:rPr>
          <w:rFonts w:ascii="Arial" w:hAnsi="Arial" w:cs="Arial"/>
          <w:sz w:val="24"/>
        </w:rPr>
        <w:t xml:space="preserve"> </w:t>
      </w:r>
      <w:r w:rsidR="002C23AB">
        <w:rPr>
          <w:rFonts w:ascii="Arial" w:hAnsi="Arial" w:cs="Arial"/>
          <w:sz w:val="24"/>
        </w:rPr>
        <w:t xml:space="preserve">a </w:t>
      </w:r>
      <w:r w:rsidR="00C04CFD">
        <w:rPr>
          <w:rFonts w:ascii="Arial" w:hAnsi="Arial" w:cs="Arial"/>
          <w:sz w:val="24"/>
        </w:rPr>
        <w:t xml:space="preserve">diversidade de instrumentos </w:t>
      </w:r>
      <w:r w:rsidR="0038208B">
        <w:rPr>
          <w:rFonts w:ascii="Arial" w:hAnsi="Arial" w:cs="Arial"/>
          <w:sz w:val="24"/>
        </w:rPr>
        <w:t>de avaliação</w:t>
      </w:r>
      <w:r w:rsidR="00CC7FD8">
        <w:rPr>
          <w:rFonts w:ascii="Arial" w:hAnsi="Arial" w:cs="Arial"/>
          <w:sz w:val="24"/>
        </w:rPr>
        <w:t>,</w:t>
      </w:r>
      <w:r w:rsidR="000D18E0">
        <w:rPr>
          <w:rFonts w:ascii="Arial" w:hAnsi="Arial" w:cs="Arial"/>
          <w:sz w:val="24"/>
        </w:rPr>
        <w:t xml:space="preserve"> contemplando </w:t>
      </w:r>
      <w:r w:rsidR="00CC7FD8">
        <w:rPr>
          <w:rFonts w:ascii="Arial" w:hAnsi="Arial" w:cs="Arial"/>
          <w:sz w:val="24"/>
        </w:rPr>
        <w:t>diferente</w:t>
      </w:r>
      <w:r w:rsidR="000D18E0">
        <w:rPr>
          <w:rFonts w:ascii="Arial" w:hAnsi="Arial" w:cs="Arial"/>
          <w:sz w:val="24"/>
        </w:rPr>
        <w:t>s itens e dimensões</w:t>
      </w:r>
      <w:r w:rsidR="00060704">
        <w:rPr>
          <w:rFonts w:ascii="Arial" w:hAnsi="Arial" w:cs="Arial"/>
          <w:sz w:val="24"/>
        </w:rPr>
        <w:t>,</w:t>
      </w:r>
      <w:r w:rsidR="000D18E0">
        <w:rPr>
          <w:rFonts w:ascii="Arial" w:hAnsi="Arial" w:cs="Arial"/>
          <w:sz w:val="24"/>
        </w:rPr>
        <w:t xml:space="preserve"> e a </w:t>
      </w:r>
      <w:r w:rsidR="009C187D">
        <w:rPr>
          <w:rFonts w:ascii="Arial" w:hAnsi="Arial" w:cs="Arial"/>
          <w:sz w:val="24"/>
        </w:rPr>
        <w:t>aplic</w:t>
      </w:r>
      <w:r w:rsidR="000D18E0">
        <w:rPr>
          <w:rFonts w:ascii="Arial" w:hAnsi="Arial" w:cs="Arial"/>
          <w:sz w:val="24"/>
        </w:rPr>
        <w:t>açã</w:t>
      </w:r>
      <w:r w:rsidR="003E0287">
        <w:rPr>
          <w:rFonts w:ascii="Arial" w:hAnsi="Arial" w:cs="Arial"/>
          <w:sz w:val="24"/>
        </w:rPr>
        <w:t xml:space="preserve">o de </w:t>
      </w:r>
      <w:r w:rsidR="00DF5D29">
        <w:rPr>
          <w:rFonts w:ascii="Arial" w:hAnsi="Arial" w:cs="Arial"/>
          <w:sz w:val="24"/>
        </w:rPr>
        <w:t xml:space="preserve">diferentes </w:t>
      </w:r>
      <w:r w:rsidR="003E0287">
        <w:rPr>
          <w:rFonts w:ascii="Arial" w:hAnsi="Arial" w:cs="Arial"/>
          <w:sz w:val="24"/>
        </w:rPr>
        <w:t>escalas de valores</w:t>
      </w:r>
      <w:r w:rsidR="000D18E0">
        <w:rPr>
          <w:rFonts w:ascii="Arial" w:hAnsi="Arial" w:cs="Arial"/>
          <w:sz w:val="24"/>
        </w:rPr>
        <w:t xml:space="preserve"> pode</w:t>
      </w:r>
      <w:r w:rsidR="00CD3E6C">
        <w:rPr>
          <w:rFonts w:ascii="Arial" w:hAnsi="Arial" w:cs="Arial"/>
          <w:sz w:val="24"/>
        </w:rPr>
        <w:t>m</w:t>
      </w:r>
      <w:r w:rsidR="000D18E0">
        <w:rPr>
          <w:rFonts w:ascii="Arial" w:hAnsi="Arial" w:cs="Arial"/>
          <w:sz w:val="24"/>
        </w:rPr>
        <w:t xml:space="preserve"> dificultar a interpretação e comparação dos resultados obtidos </w:t>
      </w:r>
      <w:r w:rsidR="009C187D">
        <w:rPr>
          <w:rFonts w:ascii="Arial" w:hAnsi="Arial" w:cs="Arial"/>
          <w:sz w:val="24"/>
        </w:rPr>
        <w:t>entre os es</w:t>
      </w:r>
      <w:r w:rsidR="000D18E0">
        <w:rPr>
          <w:rFonts w:ascii="Arial" w:hAnsi="Arial" w:cs="Arial"/>
          <w:sz w:val="24"/>
        </w:rPr>
        <w:t>tudos.</w:t>
      </w:r>
      <w:r w:rsidR="001F42CB">
        <w:rPr>
          <w:rFonts w:ascii="Arial" w:hAnsi="Arial" w:cs="Arial"/>
          <w:sz w:val="24"/>
        </w:rPr>
        <w:fldChar w:fldCharType="begin" w:fldLock="1"/>
      </w:r>
      <w:r w:rsidR="00195481">
        <w:rPr>
          <w:rFonts w:ascii="Arial" w:hAnsi="Arial" w:cs="Arial"/>
          <w:sz w:val="24"/>
        </w:rPr>
        <w:instrText>ADDIN CSL_CITATION { "citationItems" : [ { "id" : "ITEM-1", "itemData" : { "DOI" : "10.5935/abc.20130244", "author" : [ { "dropping-particle" : "", "family" : "Bertoletti", "given" : "Juliana", "non-dropping-particle" : "", "parse-names" : false, "suffix" : "" }, { "dropping-particle" : "", "family" : "Marx", "given" : "Giovana Caroline", "non-dropping-particle" : "", "parse-names" : false, "suffix" : "" }, { "dropping-particle" : "", "family" : "Hattge J\u00fanior", "given" : "S\u00e9rgio Pedro", "non-dropping-particle" : "", "parse-names" : false, "suffix" : "" }, { "dropping-particle" : "", "family" : "Pellanda", "given" : "Lucia Campos", "non-dropping-particle" : "", "parse-names" : false, "suffix" : "" } ], "container-title" : "Arq Bras Cardiol.", "id" : "ITEM-1", "issue" : "2", "issued" : { "date-parts" : [ [ "2014" ] ] }, "page" : "192-198", "title" : "Qualidade de vida e cardiopatia cong\u00eanita na inf\u00e2ncia e adolesc\u00eancia", "type" : "article-journal", "volume" : "10" }, "uris" : [ "http://www.mendeley.com/documents/?uuid=149554b7-e763-446d-87a3-305e558f84cc" ] } ], "mendeley" : { "formattedCitation" : "&lt;sup&gt;95&lt;/sup&gt;", "plainTextFormattedCitation" : "95", "previouslyFormattedCitation" : "&lt;sup&gt;95&lt;/sup&gt;" }, "properties" : { "noteIndex" : 0 }, "schema" : "https://github.com/citation-style-language/schema/raw/master/csl-citation.json" }</w:instrText>
      </w:r>
      <w:r w:rsidR="001F42CB">
        <w:rPr>
          <w:rFonts w:ascii="Arial" w:hAnsi="Arial" w:cs="Arial"/>
          <w:sz w:val="24"/>
        </w:rPr>
        <w:fldChar w:fldCharType="separate"/>
      </w:r>
      <w:r w:rsidR="00412B48" w:rsidRPr="00412B48">
        <w:rPr>
          <w:rFonts w:ascii="Arial" w:hAnsi="Arial" w:cs="Arial"/>
          <w:noProof/>
          <w:sz w:val="24"/>
          <w:vertAlign w:val="superscript"/>
        </w:rPr>
        <w:t>95</w:t>
      </w:r>
      <w:r w:rsidR="001F42CB">
        <w:rPr>
          <w:rFonts w:ascii="Arial" w:hAnsi="Arial" w:cs="Arial"/>
          <w:sz w:val="24"/>
        </w:rPr>
        <w:fldChar w:fldCharType="end"/>
      </w:r>
    </w:p>
    <w:p w:rsidR="00885AAF" w:rsidRDefault="00885AAF" w:rsidP="00F03F60">
      <w:pPr>
        <w:tabs>
          <w:tab w:val="left" w:pos="1418"/>
          <w:tab w:val="left" w:pos="1560"/>
        </w:tabs>
        <w:spacing w:after="0" w:line="360" w:lineRule="auto"/>
        <w:jc w:val="both"/>
        <w:rPr>
          <w:rFonts w:ascii="Arial" w:hAnsi="Arial" w:cs="Arial"/>
          <w:sz w:val="24"/>
        </w:rPr>
      </w:pPr>
    </w:p>
    <w:p w:rsidR="00217FF3" w:rsidRDefault="00B95925" w:rsidP="00F03F60">
      <w:pPr>
        <w:tabs>
          <w:tab w:val="left" w:pos="1418"/>
          <w:tab w:val="left" w:pos="1560"/>
        </w:tabs>
        <w:spacing w:after="0" w:line="360" w:lineRule="auto"/>
        <w:jc w:val="both"/>
        <w:rPr>
          <w:rFonts w:ascii="Arial" w:hAnsi="Arial" w:cs="Arial"/>
          <w:sz w:val="24"/>
        </w:rPr>
      </w:pPr>
      <w:r w:rsidRPr="003E1EF3">
        <w:rPr>
          <w:rFonts w:ascii="Arial" w:hAnsi="Arial" w:cs="Arial"/>
          <w:sz w:val="24"/>
        </w:rPr>
        <w:t>Comumente,</w:t>
      </w:r>
      <w:r>
        <w:rPr>
          <w:rFonts w:ascii="Arial" w:hAnsi="Arial" w:cs="Arial"/>
          <w:sz w:val="24"/>
        </w:rPr>
        <w:t xml:space="preserve"> a QVRS é mensurada por autoavaliação. Mas, na população pediátrica, em razão das possíveis dificuldades relacionadas à interpretação dos itens</w:t>
      </w:r>
      <w:r w:rsidR="00EC0F93">
        <w:rPr>
          <w:rFonts w:ascii="Arial" w:hAnsi="Arial" w:cs="Arial"/>
          <w:sz w:val="24"/>
        </w:rPr>
        <w:t xml:space="preserve"> </w:t>
      </w:r>
      <w:r w:rsidR="008E2B2D">
        <w:rPr>
          <w:rFonts w:ascii="Arial" w:hAnsi="Arial" w:cs="Arial"/>
          <w:sz w:val="24"/>
        </w:rPr>
        <w:t>por causa da</w:t>
      </w:r>
      <w:r w:rsidR="00EC0F93">
        <w:rPr>
          <w:rFonts w:ascii="Arial" w:hAnsi="Arial" w:cs="Arial"/>
          <w:sz w:val="24"/>
        </w:rPr>
        <w:t xml:space="preserve"> idade</w:t>
      </w:r>
      <w:r>
        <w:rPr>
          <w:rFonts w:ascii="Arial" w:hAnsi="Arial" w:cs="Arial"/>
          <w:sz w:val="24"/>
        </w:rPr>
        <w:t xml:space="preserve">, a percepção </w:t>
      </w:r>
      <w:r w:rsidR="00007CAB">
        <w:rPr>
          <w:rFonts w:ascii="Arial" w:hAnsi="Arial" w:cs="Arial"/>
          <w:sz w:val="24"/>
        </w:rPr>
        <w:t xml:space="preserve">dos pais </w:t>
      </w:r>
      <w:r>
        <w:rPr>
          <w:rFonts w:ascii="Arial" w:hAnsi="Arial" w:cs="Arial"/>
          <w:sz w:val="24"/>
        </w:rPr>
        <w:t>constitui uma opção ú</w:t>
      </w:r>
      <w:r w:rsidR="00406463">
        <w:rPr>
          <w:rFonts w:ascii="Arial" w:hAnsi="Arial" w:cs="Arial"/>
          <w:sz w:val="24"/>
        </w:rPr>
        <w:t>til pa</w:t>
      </w:r>
      <w:r w:rsidR="00C61445">
        <w:rPr>
          <w:rFonts w:ascii="Arial" w:hAnsi="Arial" w:cs="Arial"/>
          <w:sz w:val="24"/>
        </w:rPr>
        <w:t xml:space="preserve">ra </w:t>
      </w:r>
      <w:r w:rsidR="00C61445" w:rsidRPr="00D06375">
        <w:rPr>
          <w:rFonts w:ascii="Arial" w:hAnsi="Arial" w:cs="Arial"/>
          <w:sz w:val="24"/>
        </w:rPr>
        <w:t>a</w:t>
      </w:r>
      <w:r w:rsidR="003E1EF3" w:rsidRPr="00D06375">
        <w:rPr>
          <w:rFonts w:ascii="Arial" w:hAnsi="Arial" w:cs="Arial"/>
          <w:sz w:val="24"/>
        </w:rPr>
        <w:t>borda</w:t>
      </w:r>
      <w:r w:rsidR="00C61445" w:rsidRPr="00D06375">
        <w:rPr>
          <w:rFonts w:ascii="Arial" w:hAnsi="Arial" w:cs="Arial"/>
          <w:sz w:val="24"/>
        </w:rPr>
        <w:t>r</w:t>
      </w:r>
      <w:r w:rsidR="00C61445">
        <w:rPr>
          <w:rFonts w:ascii="Arial" w:hAnsi="Arial" w:cs="Arial"/>
          <w:sz w:val="24"/>
        </w:rPr>
        <w:t xml:space="preserve"> a QV</w:t>
      </w:r>
      <w:r w:rsidR="00F32B8A">
        <w:rPr>
          <w:rFonts w:ascii="Arial" w:hAnsi="Arial" w:cs="Arial"/>
          <w:sz w:val="24"/>
        </w:rPr>
        <w:t>RS</w:t>
      </w:r>
      <w:r w:rsidR="00C61445">
        <w:rPr>
          <w:rFonts w:ascii="Arial" w:hAnsi="Arial" w:cs="Arial"/>
          <w:sz w:val="24"/>
        </w:rPr>
        <w:t xml:space="preserve"> des</w:t>
      </w:r>
      <w:r w:rsidR="00A45B43">
        <w:rPr>
          <w:rFonts w:ascii="Arial" w:hAnsi="Arial" w:cs="Arial"/>
          <w:sz w:val="24"/>
        </w:rPr>
        <w:t>t</w:t>
      </w:r>
      <w:r w:rsidR="00C61445">
        <w:rPr>
          <w:rFonts w:ascii="Arial" w:hAnsi="Arial" w:cs="Arial"/>
          <w:sz w:val="24"/>
        </w:rPr>
        <w:t>a população.</w:t>
      </w:r>
      <w:r w:rsidR="00007CAB">
        <w:rPr>
          <w:rFonts w:ascii="Arial" w:hAnsi="Arial" w:cs="Arial"/>
          <w:sz w:val="24"/>
        </w:rPr>
        <w:fldChar w:fldCharType="begin" w:fldLock="1"/>
      </w:r>
      <w:r w:rsidR="003308C5">
        <w:rPr>
          <w:rFonts w:ascii="Arial" w:hAnsi="Arial" w:cs="Arial"/>
          <w:sz w:val="24"/>
        </w:rPr>
        <w:instrText>ADDIN CSL_CITATION { "citationItems" : [ { "id" : "ITEM-1", "itemData" : { "DOI" : "10.1016/j.jpedp.2015.09.015", "author" : [ { "dropping-particle" : "", "family" : "Nascimento", "given" : "Melissa M.R.", "non-dropping-particle" : "", "parse-names" : false, "suffix" : "" }, { "dropping-particle" : "", "family" : "Melo", "given" : "Tatiana R.", "non-dropping-particle" : "", "parse-names" : false, "suffix" : "" }, { "dropping-particle" : "", "family" : "Pinto", "given" : "Rog\u00e9rio M.C.", "non-dropping-particle" : "", "parse-names" : false, "suffix" : "" }, { "dropping-particle" : "", "family" : "Morales", "given" : "N\u00edvea M.O.", "non-dropping-particle" : "", "parse-names" : false, "suffix" : "" }, { "dropping-particle" : "", "family" : "Mendon\u00e7a", "given" : "T\u00e2nia M.S.", "non-dropping-particle" : "", "parse-names" : false, "suffix" : "" }, { "dropping-particle" : "", "family" : "Paro", "given" : "Helena B.M.S.", "non-dropping-particle" : "", "parse-names" : false, "suffix" : "" }, { "dropping-particle" : "", "family" : "Silva", "given" : "Carlos Henrique M.", "non-dropping-particle" : "", "parse-names" : false, "suffix" : "" } ], "container-title" : "Jornal de Pediatria", "id" : "ITEM-1", "issue" : "1", "issued" : { "date-parts" : [ [ "2016" ] ] }, "page" : "65-72", "title" : "Parents' perception of health-related quality of life in children and adolescents with excess weight", "type" : "article-journal", "volume" : "92" }, "uris" : [ "http://www.mendeley.com/documents/?uuid=3cecc827-5292-4918-a80e-a3fedfc4ed50" ] } ], "mendeley" : { "formattedCitation" : "&lt;sup&gt;113&lt;/sup&gt;", "plainTextFormattedCitation" : "113", "previouslyFormattedCitation" : "&lt;sup&gt;113&lt;/sup&gt;" }, "properties" : { "noteIndex" : 0 }, "schema" : "https://github.com/citation-style-language/schema/raw/master/csl-citation.json" }</w:instrText>
      </w:r>
      <w:r w:rsidR="00007CAB">
        <w:rPr>
          <w:rFonts w:ascii="Arial" w:hAnsi="Arial" w:cs="Arial"/>
          <w:sz w:val="24"/>
        </w:rPr>
        <w:fldChar w:fldCharType="separate"/>
      </w:r>
      <w:r w:rsidR="00E65B95" w:rsidRPr="00E65B95">
        <w:rPr>
          <w:rFonts w:ascii="Arial" w:hAnsi="Arial" w:cs="Arial"/>
          <w:noProof/>
          <w:sz w:val="24"/>
          <w:vertAlign w:val="superscript"/>
        </w:rPr>
        <w:t>113</w:t>
      </w:r>
      <w:r w:rsidR="00007CAB">
        <w:rPr>
          <w:rFonts w:ascii="Arial" w:hAnsi="Arial" w:cs="Arial"/>
          <w:sz w:val="24"/>
        </w:rPr>
        <w:fldChar w:fldCharType="end"/>
      </w:r>
    </w:p>
    <w:p w:rsidR="00217FF3" w:rsidRDefault="00217FF3" w:rsidP="00F03F60">
      <w:pPr>
        <w:tabs>
          <w:tab w:val="left" w:pos="1418"/>
          <w:tab w:val="left" w:pos="1560"/>
        </w:tabs>
        <w:spacing w:after="0" w:line="360" w:lineRule="auto"/>
        <w:jc w:val="both"/>
        <w:rPr>
          <w:rFonts w:ascii="Arial" w:hAnsi="Arial" w:cs="Arial"/>
          <w:sz w:val="24"/>
        </w:rPr>
      </w:pPr>
    </w:p>
    <w:p w:rsidR="00BF6949" w:rsidRDefault="00AD0B56" w:rsidP="00F03F60">
      <w:pPr>
        <w:tabs>
          <w:tab w:val="left" w:pos="1418"/>
          <w:tab w:val="left" w:pos="1560"/>
        </w:tabs>
        <w:spacing w:after="0" w:line="360" w:lineRule="auto"/>
        <w:jc w:val="both"/>
        <w:rPr>
          <w:rFonts w:ascii="Arial" w:hAnsi="Arial" w:cs="Arial"/>
          <w:sz w:val="24"/>
        </w:rPr>
      </w:pPr>
      <w:r>
        <w:rPr>
          <w:rFonts w:ascii="Arial" w:hAnsi="Arial" w:cs="Arial"/>
          <w:sz w:val="24"/>
        </w:rPr>
        <w:t xml:space="preserve">A comparação dos resultados do </w:t>
      </w:r>
      <w:r w:rsidR="00D57548">
        <w:rPr>
          <w:rFonts w:ascii="Arial" w:hAnsi="Arial" w:cs="Arial"/>
          <w:sz w:val="24"/>
        </w:rPr>
        <w:t>nosso</w:t>
      </w:r>
      <w:r>
        <w:rPr>
          <w:rFonts w:ascii="Arial" w:hAnsi="Arial" w:cs="Arial"/>
          <w:sz w:val="24"/>
        </w:rPr>
        <w:t xml:space="preserve"> estudo com os valores de QVRS</w:t>
      </w:r>
      <w:r w:rsidR="00A540C0">
        <w:rPr>
          <w:rFonts w:ascii="Arial" w:hAnsi="Arial" w:cs="Arial"/>
          <w:sz w:val="24"/>
        </w:rPr>
        <w:t xml:space="preserve"> obtidos a partir da perspectiva dos pais</w:t>
      </w:r>
      <w:r>
        <w:rPr>
          <w:rFonts w:ascii="Arial" w:hAnsi="Arial" w:cs="Arial"/>
          <w:sz w:val="24"/>
        </w:rPr>
        <w:t xml:space="preserve"> de</w:t>
      </w:r>
      <w:r w:rsidR="00D17B18">
        <w:rPr>
          <w:rFonts w:ascii="Arial" w:hAnsi="Arial" w:cs="Arial"/>
          <w:sz w:val="24"/>
        </w:rPr>
        <w:t xml:space="preserve"> crianças e adolescentes saudáveis, provenientes da cidade de São Paulo</w:t>
      </w:r>
      <w:r w:rsidR="00471383">
        <w:rPr>
          <w:rFonts w:ascii="Arial" w:hAnsi="Arial" w:cs="Arial"/>
          <w:sz w:val="24"/>
        </w:rPr>
        <w:fldChar w:fldCharType="begin" w:fldLock="1"/>
      </w:r>
      <w:r w:rsidR="001D4016">
        <w:rPr>
          <w:rFonts w:ascii="Arial" w:hAnsi="Arial" w:cs="Arial"/>
          <w:sz w:val="24"/>
        </w:rPr>
        <w:instrText>ADDIN CSL_CITATION { "citationItems" : [ { "id" : "ITEM-1", "itemData" : { "DOI" : "10.2223/JPED.1788", "ISSN" : "0021-7557", "PMID" : "18679557", "abstract" : "OBJECTIVES: To evaluate the reliability and validity of the Brazilian version of the Pediatric Quality of Life Inventory (PedsQL 4.0) Generic Core Scales and measure the quality of life of healthy children and adolescents and patients with rheumatic diseases. METHODS: We followed the translation methodology proposed by the developer of the original English version of the PedsQL 4.0. The instrument was administered by interviews in two groups: 240 apparently healthy children and adolescents from S\u00e3o Paulo (SP, Brazil) and 105 patients with chronic rheumatic diseases matched by age, as well as their respective parents or caregivers. The parent proxy-report was administered to the children's parents or caregivers separately on the same day. RESULTS: Cronbach's alpha values were between 0.6 and 0.9 for all dimensions, demonstrating adequate internal consistency. Patients with rheumatic diseases reported significantly lower PedsQL scores on all dimensions when compared to the healthy control group (p &lt; 0.0001). Construct validity of the Brazilian Portuguese version of the PedsQL 4.0 was also confirmed. Parent proxy-report of patients with rheumatic diseases highly correlated with child self-report for physical functioning (r = 0.77, p &lt; 0.001) and school functioning (r = 0.73, p &lt; 0.001). Lower correlations were observed for emotional and social functioning (r = 0.40 and 0.59, respectively, p &lt; 0.001). CONCLUSIONS: The tool demonstrated reliability, validity, and the administration was fast and easy. Quality of life in patients with rheumatic diseases was significantly lower than in the healthy control group, supporting the necessity of a comprehensive approach to rheumatic disease management, focused on the psychosocial dimensions.", "author" : [ { "dropping-particle" : "", "family" : "Klatchoian", "given" : "Denise A", "non-dropping-particle" : "", "parse-names" : false, "suffix" : "" }, { "dropping-particle" : "", "family" : "Len", "given" : "Claudio A", "non-dropping-particle" : "", "parse-names" : false, "suffix" : "" }, { "dropping-particle" : "", "family" : "Terreri", "given" : "Maria Teresa R A", "non-dropping-particle" : "", "parse-names" : false, "suffix" : "" }, { "dropping-particle" : "", "family" : "Silva", "given" : "Marina", "non-dropping-particle" : "", "parse-names" : false, "suffix" : "" }, { "dropping-particle" : "", "family" : "Itamoto", "given" : "Caroline", "non-dropping-particle" : "", "parse-names" : false, "suffix" : "" }, { "dropping-particle" : "", "family" : "Ciconelli", "given" : "Rozana M", "non-dropping-particle" : "", "parse-names" : false, "suffix" : "" }, { "dropping-particle" : "", "family" : "Varni", "given" : "James W", "non-dropping-particle" : "", "parse-names" : false, "suffix" : "" }, { "dropping-particle" : "", "family" : "Hil\u00e1rio", "given" : "Maria Odete E", "non-dropping-particle" : "", "parse-names" : false, "suffix" : "" } ], "container-title" : "Jornal de Pediatria", "id" : "ITEM-1", "issue" : "4", "issued" : { "date-parts" : [ [ "2008" ] ] }, "page" : "308-315", "title" : "Quality of life of children and adolescents from S\u00e3o Paulo: reliability and validity of the Brazilian version of the Pediatric Quality of Life Inventory version 4.0 Generic Core Scales", "type" : "article-journal", "volume" : "84" }, "uris" : [ "http://www.mendeley.com/documents/?uuid=44dc1bef-bacf-44cc-a1cc-5f8e82b50507" ] } ], "mendeley" : { "formattedCitation" : "&lt;sup&gt;94&lt;/sup&gt;", "plainTextFormattedCitation" : "94", "previouslyFormattedCitation" : "&lt;sup&gt;94&lt;/sup&gt;" }, "properties" : { "noteIndex" : 0 }, "schema" : "https://github.com/citation-style-language/schema/raw/master/csl-citation.json" }</w:instrText>
      </w:r>
      <w:r w:rsidR="00471383">
        <w:rPr>
          <w:rFonts w:ascii="Arial" w:hAnsi="Arial" w:cs="Arial"/>
          <w:sz w:val="24"/>
        </w:rPr>
        <w:fldChar w:fldCharType="separate"/>
      </w:r>
      <w:r w:rsidR="00471383" w:rsidRPr="00471383">
        <w:rPr>
          <w:rFonts w:ascii="Arial" w:hAnsi="Arial" w:cs="Arial"/>
          <w:noProof/>
          <w:sz w:val="24"/>
          <w:vertAlign w:val="superscript"/>
        </w:rPr>
        <w:t>94</w:t>
      </w:r>
      <w:r w:rsidR="00471383">
        <w:rPr>
          <w:rFonts w:ascii="Arial" w:hAnsi="Arial" w:cs="Arial"/>
          <w:sz w:val="24"/>
        </w:rPr>
        <w:fldChar w:fldCharType="end"/>
      </w:r>
      <w:r>
        <w:rPr>
          <w:rFonts w:ascii="Arial" w:hAnsi="Arial" w:cs="Arial"/>
          <w:sz w:val="24"/>
        </w:rPr>
        <w:t xml:space="preserve">, </w:t>
      </w:r>
      <w:r w:rsidR="00250F9A">
        <w:rPr>
          <w:rFonts w:ascii="Arial" w:hAnsi="Arial" w:cs="Arial"/>
          <w:sz w:val="24"/>
        </w:rPr>
        <w:t>evidenciou</w:t>
      </w:r>
      <w:r>
        <w:rPr>
          <w:rFonts w:ascii="Arial" w:hAnsi="Arial" w:cs="Arial"/>
          <w:sz w:val="24"/>
        </w:rPr>
        <w:t xml:space="preserve"> que </w:t>
      </w:r>
      <w:r w:rsidR="008E2B2D">
        <w:rPr>
          <w:rFonts w:ascii="Arial" w:hAnsi="Arial" w:cs="Arial"/>
          <w:sz w:val="24"/>
        </w:rPr>
        <w:t>os pacientes</w:t>
      </w:r>
      <w:r>
        <w:rPr>
          <w:rFonts w:ascii="Arial" w:hAnsi="Arial" w:cs="Arial"/>
          <w:sz w:val="24"/>
        </w:rPr>
        <w:t xml:space="preserve"> com </w:t>
      </w:r>
      <w:r w:rsidR="00250F9A">
        <w:rPr>
          <w:rFonts w:ascii="Arial" w:hAnsi="Arial" w:cs="Arial"/>
          <w:sz w:val="24"/>
        </w:rPr>
        <w:t xml:space="preserve">MPS </w:t>
      </w:r>
      <w:r w:rsidR="008E2B2D">
        <w:rPr>
          <w:rFonts w:ascii="Arial" w:hAnsi="Arial" w:cs="Arial"/>
          <w:sz w:val="24"/>
        </w:rPr>
        <w:t>apresentaram</w:t>
      </w:r>
      <w:r w:rsidR="00A540C0">
        <w:rPr>
          <w:rFonts w:ascii="Arial" w:hAnsi="Arial" w:cs="Arial"/>
          <w:sz w:val="24"/>
        </w:rPr>
        <w:t xml:space="preserve"> QVRS mais</w:t>
      </w:r>
      <w:r w:rsidR="001467C9">
        <w:rPr>
          <w:rFonts w:ascii="Arial" w:hAnsi="Arial" w:cs="Arial"/>
          <w:sz w:val="24"/>
        </w:rPr>
        <w:t xml:space="preserve"> baixa</w:t>
      </w:r>
      <w:r w:rsidR="008E2B2D">
        <w:rPr>
          <w:rFonts w:ascii="Arial" w:hAnsi="Arial" w:cs="Arial"/>
          <w:sz w:val="24"/>
        </w:rPr>
        <w:t>.</w:t>
      </w:r>
      <w:r w:rsidR="00BF6949">
        <w:rPr>
          <w:rFonts w:ascii="Arial" w:hAnsi="Arial" w:cs="Arial"/>
          <w:sz w:val="24"/>
        </w:rPr>
        <w:t xml:space="preserve"> No referido estudo, os escores do PedsQL</w:t>
      </w:r>
      <w:r w:rsidR="00BF6949" w:rsidRPr="00BF6949">
        <w:rPr>
          <w:rFonts w:ascii="Arial" w:hAnsi="Arial" w:cs="Arial"/>
          <w:sz w:val="24"/>
          <w:vertAlign w:val="superscript"/>
        </w:rPr>
        <w:t>TM</w:t>
      </w:r>
      <w:r w:rsidR="00BF6949">
        <w:rPr>
          <w:rFonts w:ascii="Arial" w:hAnsi="Arial" w:cs="Arial"/>
          <w:sz w:val="24"/>
        </w:rPr>
        <w:t xml:space="preserve"> 4.0 foram mais altos</w:t>
      </w:r>
      <w:r w:rsidR="00217FF3">
        <w:rPr>
          <w:rFonts w:ascii="Arial" w:hAnsi="Arial" w:cs="Arial"/>
          <w:sz w:val="24"/>
        </w:rPr>
        <w:t>,</w:t>
      </w:r>
      <w:r w:rsidR="00BF6949">
        <w:rPr>
          <w:rFonts w:ascii="Arial" w:hAnsi="Arial" w:cs="Arial"/>
          <w:sz w:val="24"/>
        </w:rPr>
        <w:t xml:space="preserve"> tanto em relação à </w:t>
      </w:r>
      <w:r w:rsidR="001467C9">
        <w:rPr>
          <w:rFonts w:ascii="Arial" w:hAnsi="Arial" w:cs="Arial"/>
          <w:sz w:val="24"/>
        </w:rPr>
        <w:t>capacidade</w:t>
      </w:r>
      <w:r w:rsidR="00BF6949">
        <w:rPr>
          <w:rFonts w:ascii="Arial" w:hAnsi="Arial" w:cs="Arial"/>
          <w:sz w:val="24"/>
        </w:rPr>
        <w:t xml:space="preserve"> física quanto </w:t>
      </w:r>
      <w:r w:rsidR="001467C9">
        <w:rPr>
          <w:rFonts w:ascii="Arial" w:hAnsi="Arial" w:cs="Arial"/>
          <w:sz w:val="24"/>
        </w:rPr>
        <w:t xml:space="preserve">à saúde </w:t>
      </w:r>
      <w:r w:rsidR="00BF6949">
        <w:rPr>
          <w:rFonts w:ascii="Arial" w:hAnsi="Arial" w:cs="Arial"/>
          <w:sz w:val="24"/>
        </w:rPr>
        <w:t>psicossocial</w:t>
      </w:r>
      <w:r w:rsidR="000A7C97">
        <w:rPr>
          <w:rFonts w:ascii="Arial" w:hAnsi="Arial" w:cs="Arial"/>
          <w:sz w:val="24"/>
        </w:rPr>
        <w:t xml:space="preserve"> (incluindo os aspectos emocional, social e escolar)</w:t>
      </w:r>
      <w:r w:rsidR="008D72FB">
        <w:rPr>
          <w:rFonts w:ascii="Arial" w:hAnsi="Arial" w:cs="Arial"/>
          <w:sz w:val="24"/>
        </w:rPr>
        <w:t>, quando comparados aos nossos resultados</w:t>
      </w:r>
      <w:r w:rsidR="000A7C97">
        <w:rPr>
          <w:rFonts w:ascii="Arial" w:hAnsi="Arial" w:cs="Arial"/>
          <w:sz w:val="24"/>
        </w:rPr>
        <w:t>. O</w:t>
      </w:r>
      <w:r w:rsidR="00A540C0">
        <w:rPr>
          <w:rFonts w:ascii="Arial" w:hAnsi="Arial" w:cs="Arial"/>
          <w:sz w:val="24"/>
        </w:rPr>
        <w:t>s indivíduos saudáveis apresentaram escore de QV geral de 92±6</w:t>
      </w:r>
      <w:r w:rsidR="00BF6949">
        <w:rPr>
          <w:rFonts w:ascii="Arial" w:hAnsi="Arial" w:cs="Arial"/>
          <w:sz w:val="24"/>
        </w:rPr>
        <w:t xml:space="preserve"> versus 6</w:t>
      </w:r>
      <w:r w:rsidR="000A7C97">
        <w:rPr>
          <w:rFonts w:ascii="Arial" w:hAnsi="Arial" w:cs="Arial"/>
          <w:sz w:val="24"/>
        </w:rPr>
        <w:t>5±15,2</w:t>
      </w:r>
      <w:r w:rsidR="00A540C0">
        <w:rPr>
          <w:rFonts w:ascii="Arial" w:hAnsi="Arial" w:cs="Arial"/>
          <w:sz w:val="24"/>
        </w:rPr>
        <w:t>; capacidade física: 98±4,3</w:t>
      </w:r>
      <w:r w:rsidR="000A7C97">
        <w:rPr>
          <w:rFonts w:ascii="Arial" w:hAnsi="Arial" w:cs="Arial"/>
          <w:sz w:val="24"/>
        </w:rPr>
        <w:t xml:space="preserve"> versus 67±25,7</w:t>
      </w:r>
      <w:r w:rsidR="00A540C0">
        <w:rPr>
          <w:rFonts w:ascii="Arial" w:hAnsi="Arial" w:cs="Arial"/>
          <w:sz w:val="24"/>
        </w:rPr>
        <w:t>; e saúde psicossocial: 89±8,2</w:t>
      </w:r>
      <w:r w:rsidR="000A7C97">
        <w:rPr>
          <w:rFonts w:ascii="Arial" w:hAnsi="Arial" w:cs="Arial"/>
          <w:sz w:val="24"/>
        </w:rPr>
        <w:t xml:space="preserve"> versus 64±15,2</w:t>
      </w:r>
      <w:r w:rsidR="00A540C0">
        <w:rPr>
          <w:rFonts w:ascii="Arial" w:hAnsi="Arial" w:cs="Arial"/>
          <w:sz w:val="24"/>
        </w:rPr>
        <w:t>.</w:t>
      </w:r>
      <w:r w:rsidR="005876BA">
        <w:rPr>
          <w:rFonts w:ascii="Arial" w:hAnsi="Arial" w:cs="Arial"/>
          <w:sz w:val="24"/>
        </w:rPr>
        <w:t xml:space="preserve"> A diferença foi ainda maior em relação ao aspecto social (96±8,9 versus 64±22,1).</w:t>
      </w:r>
      <w:r w:rsidR="00A540C0">
        <w:rPr>
          <w:rFonts w:ascii="Arial" w:hAnsi="Arial" w:cs="Arial"/>
          <w:sz w:val="24"/>
        </w:rPr>
        <w:fldChar w:fldCharType="begin" w:fldLock="1"/>
      </w:r>
      <w:r w:rsidR="00A540C0">
        <w:rPr>
          <w:rFonts w:ascii="Arial" w:hAnsi="Arial" w:cs="Arial"/>
          <w:sz w:val="24"/>
        </w:rPr>
        <w:instrText>ADDIN CSL_CITATION { "citationItems" : [ { "id" : "ITEM-1", "itemData" : { "DOI" : "10.2223/JPED.1788", "ISSN" : "0021-7557", "PMID" : "18679557", "abstract" : "OBJECTIVES: To evaluate the reliability and validity of the Brazilian version of the Pediatric Quality of Life Inventory (PedsQL 4.0) Generic Core Scales and measure the quality of life of healthy children and adolescents and patients with rheumatic diseases. METHODS: We followed the translation methodology proposed by the developer of the original English version of the PedsQL 4.0. The instrument was administered by interviews in two groups: 240 apparently healthy children and adolescents from S\u00e3o Paulo (SP, Brazil) and 105 patients with chronic rheumatic diseases matched by age, as well as their respective parents or caregivers. The parent proxy-report was administered to the children's parents or caregivers separately on the same day. RESULTS: Cronbach's alpha values were between 0.6 and 0.9 for all dimensions, demonstrating adequate internal consistency. Patients with rheumatic diseases reported significantly lower PedsQL scores on all dimensions when compared to the healthy control group (p &lt; 0.0001). Construct validity of the Brazilian Portuguese version of the PedsQL 4.0 was also confirmed. Parent proxy-report of patients with rheumatic diseases highly correlated with child self-report for physical functioning (r = 0.77, p &lt; 0.001) and school functioning (r = 0.73, p &lt; 0.001). Lower correlations were observed for emotional and social functioning (r = 0.40 and 0.59, respectively, p &lt; 0.001). CONCLUSIONS: The tool demonstrated reliability, validity, and the administration was fast and easy. Quality of life in patients with rheumatic diseases was significantly lower than in the healthy control group, supporting the necessity of a comprehensive approach to rheumatic disease management, focused on the psychosocial dimensions.", "author" : [ { "dropping-particle" : "", "family" : "Klatchoian", "given" : "Denise A", "non-dropping-particle" : "", "parse-names" : false, "suffix" : "" }, { "dropping-particle" : "", "family" : "Len", "given" : "Claudio A", "non-dropping-particle" : "", "parse-names" : false, "suffix" : "" }, { "dropping-particle" : "", "family" : "Terreri", "given" : "Maria Teresa R A", "non-dropping-particle" : "", "parse-names" : false, "suffix" : "" }, { "dropping-particle" : "", "family" : "Silva", "given" : "Marina", "non-dropping-particle" : "", "parse-names" : false, "suffix" : "" }, { "dropping-particle" : "", "family" : "Itamoto", "given" : "Caroline", "non-dropping-particle" : "", "parse-names" : false, "suffix" : "" }, { "dropping-particle" : "", "family" : "Ciconelli", "given" : "Rozana M", "non-dropping-particle" : "", "parse-names" : false, "suffix" : "" }, { "dropping-particle" : "", "family" : "Varni", "given" : "James W", "non-dropping-particle" : "", "parse-names" : false, "suffix" : "" }, { "dropping-particle" : "", "family" : "Hil\u00e1rio", "given" : "Maria Odete E", "non-dropping-particle" : "", "parse-names" : false, "suffix" : "" } ], "container-title" : "Jornal de Pediatria", "id" : "ITEM-1", "issue" : "4", "issued" : { "date-parts" : [ [ "2008" ] ] }, "page" : "308-315", "title" : "Quality of life of children and adolescents from S\u00e3o Paulo: reliability and validity of the Brazilian version of the Pediatric Quality of Life Inventory version 4.0 Generic Core Scales", "type" : "article-journal", "volume" : "84" }, "uris" : [ "http://www.mendeley.com/documents/?uuid=44dc1bef-bacf-44cc-a1cc-5f8e82b50507" ] } ], "mendeley" : { "formattedCitation" : "&lt;sup&gt;94&lt;/sup&gt;", "plainTextFormattedCitation" : "94" }, "properties" : { "noteIndex" : 0 }, "schema" : "https://github.com/citation-style-language/schema/raw/master/csl-citation.json" }</w:instrText>
      </w:r>
      <w:r w:rsidR="00A540C0">
        <w:rPr>
          <w:rFonts w:ascii="Arial" w:hAnsi="Arial" w:cs="Arial"/>
          <w:sz w:val="24"/>
        </w:rPr>
        <w:fldChar w:fldCharType="separate"/>
      </w:r>
      <w:r w:rsidR="00A540C0" w:rsidRPr="00A540C0">
        <w:rPr>
          <w:rFonts w:ascii="Arial" w:hAnsi="Arial" w:cs="Arial"/>
          <w:noProof/>
          <w:sz w:val="24"/>
          <w:vertAlign w:val="superscript"/>
        </w:rPr>
        <w:t>94</w:t>
      </w:r>
      <w:r w:rsidR="00A540C0">
        <w:rPr>
          <w:rFonts w:ascii="Arial" w:hAnsi="Arial" w:cs="Arial"/>
          <w:sz w:val="24"/>
        </w:rPr>
        <w:fldChar w:fldCharType="end"/>
      </w:r>
      <w:r w:rsidR="0031304A">
        <w:rPr>
          <w:rFonts w:ascii="Arial" w:hAnsi="Arial" w:cs="Arial"/>
          <w:sz w:val="24"/>
        </w:rPr>
        <w:t xml:space="preserve"> </w:t>
      </w:r>
    </w:p>
    <w:p w:rsidR="00BF6949" w:rsidRDefault="00BF6949" w:rsidP="00F03F60">
      <w:pPr>
        <w:tabs>
          <w:tab w:val="left" w:pos="1418"/>
          <w:tab w:val="left" w:pos="1560"/>
        </w:tabs>
        <w:spacing w:after="0" w:line="360" w:lineRule="auto"/>
        <w:jc w:val="both"/>
        <w:rPr>
          <w:rFonts w:ascii="Arial" w:hAnsi="Arial" w:cs="Arial"/>
          <w:sz w:val="24"/>
        </w:rPr>
      </w:pPr>
    </w:p>
    <w:p w:rsidR="00217FF3" w:rsidRDefault="00D17B18" w:rsidP="00F03F60">
      <w:pPr>
        <w:tabs>
          <w:tab w:val="left" w:pos="1418"/>
          <w:tab w:val="left" w:pos="1560"/>
        </w:tabs>
        <w:spacing w:after="0" w:line="360" w:lineRule="auto"/>
        <w:jc w:val="both"/>
        <w:rPr>
          <w:rFonts w:ascii="Arial" w:hAnsi="Arial" w:cs="Arial"/>
          <w:sz w:val="24"/>
        </w:rPr>
      </w:pPr>
      <w:r>
        <w:rPr>
          <w:rFonts w:ascii="Arial" w:hAnsi="Arial" w:cs="Arial"/>
          <w:sz w:val="24"/>
        </w:rPr>
        <w:t>Na nossa pesquisa, o</w:t>
      </w:r>
      <w:r w:rsidR="0031304A">
        <w:rPr>
          <w:rFonts w:ascii="Arial" w:hAnsi="Arial" w:cs="Arial"/>
          <w:sz w:val="24"/>
        </w:rPr>
        <w:t xml:space="preserve">s itens com menor pontuação </w:t>
      </w:r>
      <w:r w:rsidR="00BF6949">
        <w:rPr>
          <w:rFonts w:ascii="Arial" w:hAnsi="Arial" w:cs="Arial"/>
          <w:sz w:val="24"/>
        </w:rPr>
        <w:t xml:space="preserve">no </w:t>
      </w:r>
      <w:r w:rsidR="0031304A">
        <w:rPr>
          <w:rFonts w:ascii="Arial" w:hAnsi="Arial" w:cs="Arial"/>
          <w:sz w:val="24"/>
        </w:rPr>
        <w:t>domínio</w:t>
      </w:r>
      <w:r w:rsidR="00BF6949">
        <w:rPr>
          <w:rFonts w:ascii="Arial" w:hAnsi="Arial" w:cs="Arial"/>
          <w:sz w:val="24"/>
        </w:rPr>
        <w:t xml:space="preserve"> psicossocial</w:t>
      </w:r>
      <w:r>
        <w:rPr>
          <w:rFonts w:ascii="Arial" w:hAnsi="Arial" w:cs="Arial"/>
          <w:sz w:val="24"/>
        </w:rPr>
        <w:t xml:space="preserve"> </w:t>
      </w:r>
      <w:r w:rsidR="00185CAE">
        <w:rPr>
          <w:rFonts w:ascii="Arial" w:hAnsi="Arial" w:cs="Arial"/>
          <w:sz w:val="24"/>
        </w:rPr>
        <w:t xml:space="preserve">da QVRS </w:t>
      </w:r>
      <w:r w:rsidR="0031304A">
        <w:rPr>
          <w:rFonts w:ascii="Arial" w:hAnsi="Arial" w:cs="Arial"/>
          <w:sz w:val="24"/>
        </w:rPr>
        <w:t>estavam relacionados à participação em atividades escolares e sociais, sugerindo que a condição de limitação</w:t>
      </w:r>
      <w:r w:rsidR="00A31DDF">
        <w:rPr>
          <w:rFonts w:ascii="Arial" w:hAnsi="Arial" w:cs="Arial"/>
          <w:sz w:val="24"/>
        </w:rPr>
        <w:t xml:space="preserve"> física</w:t>
      </w:r>
      <w:r w:rsidR="0031304A">
        <w:rPr>
          <w:rFonts w:ascii="Arial" w:hAnsi="Arial" w:cs="Arial"/>
          <w:sz w:val="24"/>
        </w:rPr>
        <w:t xml:space="preserve"> e/ou dependência funcional gera restrição à participação social, repercutindo no afastamento destas crianças ou adolescentes do seu cotidiano, principalmente das atividades do contexto educacional e recreativas.</w:t>
      </w:r>
    </w:p>
    <w:p w:rsidR="00217FF3" w:rsidRDefault="00217FF3" w:rsidP="00F03F60">
      <w:pPr>
        <w:tabs>
          <w:tab w:val="left" w:pos="1418"/>
          <w:tab w:val="left" w:pos="1560"/>
        </w:tabs>
        <w:spacing w:after="0" w:line="360" w:lineRule="auto"/>
        <w:jc w:val="both"/>
        <w:rPr>
          <w:rFonts w:ascii="Arial" w:hAnsi="Arial" w:cs="Arial"/>
          <w:sz w:val="24"/>
        </w:rPr>
      </w:pPr>
    </w:p>
    <w:p w:rsidR="00E60A07" w:rsidRDefault="00597FC6" w:rsidP="00F03F60">
      <w:pPr>
        <w:tabs>
          <w:tab w:val="left" w:pos="1418"/>
          <w:tab w:val="left" w:pos="1560"/>
        </w:tabs>
        <w:spacing w:after="0" w:line="360" w:lineRule="auto"/>
        <w:jc w:val="both"/>
        <w:rPr>
          <w:rFonts w:ascii="Arial" w:hAnsi="Arial" w:cs="Arial"/>
          <w:sz w:val="24"/>
        </w:rPr>
      </w:pPr>
      <w:r>
        <w:rPr>
          <w:rFonts w:ascii="Arial" w:hAnsi="Arial" w:cs="Arial"/>
          <w:sz w:val="24"/>
        </w:rPr>
        <w:t xml:space="preserve">Uma das hipóteses para justificar </w:t>
      </w:r>
      <w:r w:rsidR="003F6C0C">
        <w:rPr>
          <w:rFonts w:ascii="Arial" w:hAnsi="Arial" w:cs="Arial"/>
          <w:sz w:val="24"/>
        </w:rPr>
        <w:t>nosso</w:t>
      </w:r>
      <w:r w:rsidR="00590992">
        <w:rPr>
          <w:rFonts w:ascii="Arial" w:hAnsi="Arial" w:cs="Arial"/>
          <w:sz w:val="24"/>
        </w:rPr>
        <w:t>s</w:t>
      </w:r>
      <w:r>
        <w:rPr>
          <w:rFonts w:ascii="Arial" w:hAnsi="Arial" w:cs="Arial"/>
          <w:sz w:val="24"/>
        </w:rPr>
        <w:t xml:space="preserve"> achado</w:t>
      </w:r>
      <w:r w:rsidR="00590992">
        <w:rPr>
          <w:rFonts w:ascii="Arial" w:hAnsi="Arial" w:cs="Arial"/>
          <w:sz w:val="24"/>
        </w:rPr>
        <w:t>s</w:t>
      </w:r>
      <w:r>
        <w:rPr>
          <w:rFonts w:ascii="Arial" w:hAnsi="Arial" w:cs="Arial"/>
          <w:sz w:val="24"/>
        </w:rPr>
        <w:t xml:space="preserve"> baseia-se n</w:t>
      </w:r>
      <w:r w:rsidR="00DE7C11">
        <w:rPr>
          <w:rFonts w:ascii="Arial" w:hAnsi="Arial" w:cs="Arial"/>
          <w:sz w:val="24"/>
        </w:rPr>
        <w:t>a pesquisa desenvolvida</w:t>
      </w:r>
      <w:r>
        <w:rPr>
          <w:rFonts w:ascii="Arial" w:hAnsi="Arial" w:cs="Arial"/>
          <w:sz w:val="24"/>
        </w:rPr>
        <w:t xml:space="preserve"> por </w:t>
      </w:r>
      <w:r w:rsidR="00E60A07">
        <w:rPr>
          <w:rFonts w:ascii="Arial" w:hAnsi="Arial" w:cs="Arial"/>
          <w:sz w:val="24"/>
        </w:rPr>
        <w:t>Johansen et al.</w:t>
      </w:r>
      <w:r w:rsidR="001A0096">
        <w:rPr>
          <w:rFonts w:ascii="Arial" w:hAnsi="Arial" w:cs="Arial"/>
          <w:sz w:val="24"/>
        </w:rPr>
        <w:fldChar w:fldCharType="begin" w:fldLock="1"/>
      </w:r>
      <w:r w:rsidR="003308C5">
        <w:rPr>
          <w:rFonts w:ascii="Arial" w:hAnsi="Arial" w:cs="Arial"/>
          <w:sz w:val="24"/>
        </w:rPr>
        <w:instrText>ADDIN CSL_CITATION { "citationItems" : [ { "id" : "ITEM-1", "itemData" : { "DOI" : "10.1186/1477-7525-11-152", "ISSN" : "1477-7525", "author" : [ { "dropping-particle" : "", "family" : "Johansen", "given" : "Heidi", "non-dropping-particle" : "", "parse-names" : false, "suffix" : "" }, { "dropping-particle" : "", "family" : "Dammann", "given" : "Brede", "non-dropping-particle" : "", "parse-names" : false, "suffix" : "" }, { "dropping-particle" : "", "family" : "Andresen", "given" : "Inger-Lise", "non-dropping-particle" : "", "parse-names" : false, "suffix" : "" }, { "dropping-particle" : "", "family" : "Fagerland", "given" : "Morten Wang", "non-dropping-particle" : "", "parse-names" : false, "suffix" : "" } ], "container-title" : "Health and Quality of Life Outcomes", "id" : "ITEM-1", "issue" : "152", "issued" : { "date-parts" : [ [ "2013" ] ] }, "page" : "1-7", "publisher" : "Health and Quality of Life Outcomes", "title" : "Health-related quality of life for children with rare diagnoses, their parents\u2019 satisfaction with life and the association between the two", "type" : "article-journal", "volume" : "11" }, "uris" : [ "http://www.mendeley.com/documents/?uuid=937d9fa4-28d4-49f1-8a7c-b8c4affd42ac" ] } ], "mendeley" : { "formattedCitation" : "&lt;sup&gt;114&lt;/sup&gt;", "plainTextFormattedCitation" : "114", "previouslyFormattedCitation" : "&lt;sup&gt;114&lt;/sup&gt;" }, "properties" : { "noteIndex" : 0 }, "schema" : "https://github.com/citation-style-language/schema/raw/master/csl-citation.json" }</w:instrText>
      </w:r>
      <w:r w:rsidR="001A0096">
        <w:rPr>
          <w:rFonts w:ascii="Arial" w:hAnsi="Arial" w:cs="Arial"/>
          <w:sz w:val="24"/>
        </w:rPr>
        <w:fldChar w:fldCharType="separate"/>
      </w:r>
      <w:r w:rsidR="00E65B95" w:rsidRPr="00E65B95">
        <w:rPr>
          <w:rFonts w:ascii="Arial" w:hAnsi="Arial" w:cs="Arial"/>
          <w:noProof/>
          <w:sz w:val="24"/>
          <w:vertAlign w:val="superscript"/>
        </w:rPr>
        <w:t>114</w:t>
      </w:r>
      <w:r w:rsidR="001A0096">
        <w:rPr>
          <w:rFonts w:ascii="Arial" w:hAnsi="Arial" w:cs="Arial"/>
          <w:sz w:val="24"/>
        </w:rPr>
        <w:fldChar w:fldCharType="end"/>
      </w:r>
      <w:r w:rsidR="00590992">
        <w:rPr>
          <w:rFonts w:ascii="Arial" w:hAnsi="Arial" w:cs="Arial"/>
          <w:sz w:val="24"/>
        </w:rPr>
        <w:t xml:space="preserve">, </w:t>
      </w:r>
      <w:r w:rsidR="002949CE">
        <w:rPr>
          <w:rFonts w:ascii="Arial" w:hAnsi="Arial" w:cs="Arial"/>
          <w:sz w:val="24"/>
        </w:rPr>
        <w:t>a qual</w:t>
      </w:r>
      <w:r w:rsidR="00590992">
        <w:rPr>
          <w:rFonts w:ascii="Arial" w:hAnsi="Arial" w:cs="Arial"/>
          <w:sz w:val="24"/>
        </w:rPr>
        <w:t xml:space="preserve"> aponta</w:t>
      </w:r>
      <w:r>
        <w:rPr>
          <w:rFonts w:ascii="Arial" w:hAnsi="Arial" w:cs="Arial"/>
          <w:sz w:val="24"/>
        </w:rPr>
        <w:t xml:space="preserve"> necessidade </w:t>
      </w:r>
      <w:r w:rsidR="00590992">
        <w:rPr>
          <w:rFonts w:ascii="Arial" w:hAnsi="Arial" w:cs="Arial"/>
          <w:sz w:val="24"/>
        </w:rPr>
        <w:t>de múltiplos tratamentos e visita</w:t>
      </w:r>
      <w:r w:rsidR="002B141E">
        <w:rPr>
          <w:rFonts w:ascii="Arial" w:hAnsi="Arial" w:cs="Arial"/>
          <w:sz w:val="24"/>
        </w:rPr>
        <w:t>s</w:t>
      </w:r>
      <w:r w:rsidR="00590992">
        <w:rPr>
          <w:rFonts w:ascii="Arial" w:hAnsi="Arial" w:cs="Arial"/>
          <w:sz w:val="24"/>
        </w:rPr>
        <w:t xml:space="preserve"> </w:t>
      </w:r>
      <w:r w:rsidR="00FE17B0">
        <w:rPr>
          <w:rFonts w:ascii="Arial" w:hAnsi="Arial" w:cs="Arial"/>
          <w:sz w:val="24"/>
        </w:rPr>
        <w:t xml:space="preserve">frequentes </w:t>
      </w:r>
      <w:r w:rsidR="00AF5B15">
        <w:rPr>
          <w:rFonts w:ascii="Arial" w:hAnsi="Arial" w:cs="Arial"/>
          <w:sz w:val="24"/>
        </w:rPr>
        <w:t>a diversos</w:t>
      </w:r>
      <w:r>
        <w:rPr>
          <w:rFonts w:ascii="Arial" w:hAnsi="Arial" w:cs="Arial"/>
          <w:sz w:val="24"/>
        </w:rPr>
        <w:t xml:space="preserve"> serviços de saúde</w:t>
      </w:r>
      <w:r w:rsidR="00590992">
        <w:rPr>
          <w:rFonts w:ascii="Arial" w:hAnsi="Arial" w:cs="Arial"/>
          <w:sz w:val="24"/>
        </w:rPr>
        <w:t>, em casos de doenças raras. Este fato sugere</w:t>
      </w:r>
      <w:r>
        <w:rPr>
          <w:rFonts w:ascii="Arial" w:hAnsi="Arial" w:cs="Arial"/>
          <w:sz w:val="24"/>
        </w:rPr>
        <w:t xml:space="preserve"> que as demandas físicas de pacientes com diagnóstico de </w:t>
      </w:r>
      <w:r>
        <w:rPr>
          <w:rFonts w:ascii="Arial" w:hAnsi="Arial" w:cs="Arial"/>
          <w:sz w:val="24"/>
        </w:rPr>
        <w:lastRenderedPageBreak/>
        <w:t>doença rara são melhor atendidas do que as</w:t>
      </w:r>
      <w:r w:rsidR="00FE17B0">
        <w:rPr>
          <w:rFonts w:ascii="Arial" w:hAnsi="Arial" w:cs="Arial"/>
          <w:sz w:val="24"/>
        </w:rPr>
        <w:t xml:space="preserve"> suas</w:t>
      </w:r>
      <w:r>
        <w:rPr>
          <w:rFonts w:ascii="Arial" w:hAnsi="Arial" w:cs="Arial"/>
          <w:sz w:val="24"/>
        </w:rPr>
        <w:t xml:space="preserve"> demandas educacionais e </w:t>
      </w:r>
      <w:r w:rsidR="00590992">
        <w:rPr>
          <w:rFonts w:ascii="Arial" w:hAnsi="Arial" w:cs="Arial"/>
          <w:sz w:val="24"/>
        </w:rPr>
        <w:t>psicos</w:t>
      </w:r>
      <w:r>
        <w:rPr>
          <w:rFonts w:ascii="Arial" w:hAnsi="Arial" w:cs="Arial"/>
          <w:sz w:val="24"/>
        </w:rPr>
        <w:t xml:space="preserve">sociais. </w:t>
      </w:r>
      <w:r w:rsidR="00AF5B15">
        <w:rPr>
          <w:rFonts w:ascii="Arial" w:hAnsi="Arial" w:cs="Arial"/>
          <w:sz w:val="24"/>
        </w:rPr>
        <w:t xml:space="preserve">Muitas vezes, a </w:t>
      </w:r>
      <w:r>
        <w:rPr>
          <w:rFonts w:ascii="Arial" w:hAnsi="Arial" w:cs="Arial"/>
          <w:sz w:val="24"/>
        </w:rPr>
        <w:t xml:space="preserve">frequência </w:t>
      </w:r>
      <w:r w:rsidR="00E25ACB">
        <w:rPr>
          <w:rFonts w:ascii="Arial" w:hAnsi="Arial" w:cs="Arial"/>
          <w:sz w:val="24"/>
        </w:rPr>
        <w:t>aos</w:t>
      </w:r>
      <w:r>
        <w:rPr>
          <w:rFonts w:ascii="Arial" w:hAnsi="Arial" w:cs="Arial"/>
          <w:sz w:val="24"/>
        </w:rPr>
        <w:t xml:space="preserve"> serviços</w:t>
      </w:r>
      <w:r w:rsidR="003E2657">
        <w:rPr>
          <w:rFonts w:ascii="Arial" w:hAnsi="Arial" w:cs="Arial"/>
          <w:sz w:val="24"/>
        </w:rPr>
        <w:t xml:space="preserve"> especializados</w:t>
      </w:r>
      <w:r w:rsidR="00AF5B15">
        <w:rPr>
          <w:rFonts w:ascii="Arial" w:hAnsi="Arial" w:cs="Arial"/>
          <w:sz w:val="24"/>
        </w:rPr>
        <w:t xml:space="preserve"> ocorre</w:t>
      </w:r>
      <w:r>
        <w:rPr>
          <w:rFonts w:ascii="Arial" w:hAnsi="Arial" w:cs="Arial"/>
          <w:sz w:val="24"/>
        </w:rPr>
        <w:t xml:space="preserve"> de forma simultânea</w:t>
      </w:r>
      <w:r w:rsidR="00AF5B15">
        <w:rPr>
          <w:rFonts w:ascii="Arial" w:hAnsi="Arial" w:cs="Arial"/>
          <w:sz w:val="24"/>
        </w:rPr>
        <w:t>, e esta necessidade</w:t>
      </w:r>
      <w:r>
        <w:rPr>
          <w:rFonts w:ascii="Arial" w:hAnsi="Arial" w:cs="Arial"/>
          <w:sz w:val="24"/>
        </w:rPr>
        <w:t xml:space="preserve"> pode gerar conflitos </w:t>
      </w:r>
      <w:r w:rsidR="00FA6737">
        <w:rPr>
          <w:rFonts w:ascii="Arial" w:hAnsi="Arial" w:cs="Arial"/>
          <w:sz w:val="24"/>
        </w:rPr>
        <w:t>quanto</w:t>
      </w:r>
      <w:r>
        <w:rPr>
          <w:rFonts w:ascii="Arial" w:hAnsi="Arial" w:cs="Arial"/>
          <w:sz w:val="24"/>
        </w:rPr>
        <w:t xml:space="preserve"> à assiduidade</w:t>
      </w:r>
      <w:r w:rsidR="00AF5B15">
        <w:rPr>
          <w:rFonts w:ascii="Arial" w:hAnsi="Arial" w:cs="Arial"/>
          <w:sz w:val="24"/>
        </w:rPr>
        <w:t xml:space="preserve"> das crianças e adolescentes</w:t>
      </w:r>
      <w:r>
        <w:rPr>
          <w:rFonts w:ascii="Arial" w:hAnsi="Arial" w:cs="Arial"/>
          <w:sz w:val="24"/>
        </w:rPr>
        <w:t xml:space="preserve"> na escola, interferindo consideravelmente neste aspecto.</w:t>
      </w:r>
      <w:r w:rsidR="001A0096">
        <w:rPr>
          <w:rFonts w:ascii="Arial" w:hAnsi="Arial" w:cs="Arial"/>
          <w:sz w:val="24"/>
        </w:rPr>
        <w:fldChar w:fldCharType="begin" w:fldLock="1"/>
      </w:r>
      <w:r w:rsidR="003308C5">
        <w:rPr>
          <w:rFonts w:ascii="Arial" w:hAnsi="Arial" w:cs="Arial"/>
          <w:sz w:val="24"/>
        </w:rPr>
        <w:instrText>ADDIN CSL_CITATION { "citationItems" : [ { "id" : "ITEM-1", "itemData" : { "DOI" : "10.1186/1477-7525-11-152", "ISSN" : "1477-7525", "author" : [ { "dropping-particle" : "", "family" : "Johansen", "given" : "Heidi", "non-dropping-particle" : "", "parse-names" : false, "suffix" : "" }, { "dropping-particle" : "", "family" : "Dammann", "given" : "Brede", "non-dropping-particle" : "", "parse-names" : false, "suffix" : "" }, { "dropping-particle" : "", "family" : "Andresen", "given" : "Inger-Lise", "non-dropping-particle" : "", "parse-names" : false, "suffix" : "" }, { "dropping-particle" : "", "family" : "Fagerland", "given" : "Morten Wang", "non-dropping-particle" : "", "parse-names" : false, "suffix" : "" } ], "container-title" : "Health and Quality of Life Outcomes", "id" : "ITEM-1", "issue" : "152", "issued" : { "date-parts" : [ [ "2013" ] ] }, "page" : "1-7", "publisher" : "Health and Quality of Life Outcomes", "title" : "Health-related quality of life for children with rare diagnoses, their parents\u2019 satisfaction with life and the association between the two", "type" : "article-journal", "volume" : "11" }, "uris" : [ "http://www.mendeley.com/documents/?uuid=937d9fa4-28d4-49f1-8a7c-b8c4affd42ac" ] } ], "mendeley" : { "formattedCitation" : "&lt;sup&gt;114&lt;/sup&gt;", "plainTextFormattedCitation" : "114", "previouslyFormattedCitation" : "&lt;sup&gt;114&lt;/sup&gt;" }, "properties" : { "noteIndex" : 0 }, "schema" : "https://github.com/citation-style-language/schema/raw/master/csl-citation.json" }</w:instrText>
      </w:r>
      <w:r w:rsidR="001A0096">
        <w:rPr>
          <w:rFonts w:ascii="Arial" w:hAnsi="Arial" w:cs="Arial"/>
          <w:sz w:val="24"/>
        </w:rPr>
        <w:fldChar w:fldCharType="separate"/>
      </w:r>
      <w:r w:rsidR="00E65B95" w:rsidRPr="00E65B95">
        <w:rPr>
          <w:rFonts w:ascii="Arial" w:hAnsi="Arial" w:cs="Arial"/>
          <w:noProof/>
          <w:sz w:val="24"/>
          <w:vertAlign w:val="superscript"/>
        </w:rPr>
        <w:t>114</w:t>
      </w:r>
      <w:r w:rsidR="001A0096">
        <w:rPr>
          <w:rFonts w:ascii="Arial" w:hAnsi="Arial" w:cs="Arial"/>
          <w:sz w:val="24"/>
        </w:rPr>
        <w:fldChar w:fldCharType="end"/>
      </w:r>
      <w:r w:rsidR="00E60A07">
        <w:rPr>
          <w:rFonts w:ascii="Arial" w:hAnsi="Arial" w:cs="Arial"/>
          <w:sz w:val="24"/>
        </w:rPr>
        <w:t xml:space="preserve"> </w:t>
      </w:r>
    </w:p>
    <w:p w:rsidR="00EA6A85" w:rsidRDefault="00EA6A85" w:rsidP="00F03F60">
      <w:pPr>
        <w:tabs>
          <w:tab w:val="left" w:pos="1418"/>
          <w:tab w:val="left" w:pos="1560"/>
        </w:tabs>
        <w:spacing w:after="0" w:line="360" w:lineRule="auto"/>
        <w:jc w:val="both"/>
        <w:rPr>
          <w:rFonts w:ascii="Arial" w:hAnsi="Arial" w:cs="Arial"/>
          <w:sz w:val="24"/>
        </w:rPr>
      </w:pPr>
    </w:p>
    <w:p w:rsidR="004A5C92" w:rsidRDefault="0069218A" w:rsidP="00F03F60">
      <w:pPr>
        <w:tabs>
          <w:tab w:val="left" w:pos="1418"/>
          <w:tab w:val="left" w:pos="1560"/>
        </w:tabs>
        <w:spacing w:after="0" w:line="360" w:lineRule="auto"/>
        <w:jc w:val="both"/>
        <w:rPr>
          <w:rFonts w:ascii="Arial" w:hAnsi="Arial" w:cs="Arial"/>
          <w:sz w:val="24"/>
        </w:rPr>
      </w:pPr>
      <w:r>
        <w:rPr>
          <w:rFonts w:ascii="Arial" w:hAnsi="Arial" w:cs="Arial"/>
          <w:sz w:val="24"/>
        </w:rPr>
        <w:t>O</w:t>
      </w:r>
      <w:r w:rsidR="001733BE">
        <w:rPr>
          <w:rFonts w:ascii="Arial" w:hAnsi="Arial" w:cs="Arial"/>
          <w:sz w:val="24"/>
        </w:rPr>
        <w:t xml:space="preserve"> estudo </w:t>
      </w:r>
      <w:r w:rsidR="000E4930">
        <w:rPr>
          <w:rFonts w:ascii="Arial" w:hAnsi="Arial" w:cs="Arial"/>
          <w:sz w:val="24"/>
        </w:rPr>
        <w:t xml:space="preserve">observacional </w:t>
      </w:r>
      <w:r w:rsidR="001733BE">
        <w:rPr>
          <w:rFonts w:ascii="Arial" w:hAnsi="Arial" w:cs="Arial"/>
          <w:sz w:val="24"/>
        </w:rPr>
        <w:t>conduzido por Guffon et al.</w:t>
      </w:r>
      <w:r w:rsidR="002D695E">
        <w:rPr>
          <w:rFonts w:ascii="Arial" w:hAnsi="Arial" w:cs="Arial"/>
          <w:sz w:val="24"/>
        </w:rPr>
        <w:fldChar w:fldCharType="begin" w:fldLock="1"/>
      </w:r>
      <w:r w:rsidR="005C2E82">
        <w:rPr>
          <w:rFonts w:ascii="Arial" w:hAnsi="Arial" w:cs="Arial"/>
          <w:sz w:val="24"/>
        </w:rPr>
        <w:instrText>ADDIN CSL_CITATION { "citationItems" : [ { "id" : "ITEM-1", "itemData" : { "DOI" : "10.1186/s13023-015-0259-0", "ISSN" : "???", "author" : [ { "dropping-particle" : "", "family" : "Guffon", "given" : "Nathalie", "non-dropping-particle" : "", "parse-names" : false, "suffix" : "" }, { "dropping-particle" : "", "family" : "Heron", "given" : "B\u00e9n\u00e9dicte", "non-dropping-particle" : "", "parse-names" : false, "suffix" : "" }, { "dropping-particle" : "", "family" : "Chabrol", "given" : "Brigitte", "non-dropping-particle" : "", "parse-names" : false, "suffix" : "" }, { "dropping-particle" : "", "family" : "Feillet", "given" : "Fran\u00e7ois", "non-dropping-particle" : "", "parse-names" : false, "suffix" : "" }, { "dropping-particle" : "", "family" : "Montauban", "given" : "Vincent", "non-dropping-particle" : "", "parse-names" : false, "suffix" : "" }, { "dropping-particle" : "", "family" : "Valayannopoulos", "given" : "Vassili", "non-dropping-particle" : "", "parse-names" : false, "suffix" : "" } ], "container-title" : "Orphanet Journal of Rare Diseases", "id" : "ITEM-1", "issue" : "43", "issued" : { "date-parts" : [ [ "2015" ] ] }, "page" : "1-13", "publisher" : "???", "title" : "Diagnosis , quality of life , and treatment of patients with Hunter syndrome in the French healthcare system : a retrospective observational study", "type" : "article-journal", "volume" : "10" }, "uris" : [ "http://www.mendeley.com/documents/?uuid=dd6c1c93-f494-4d90-804e-e403ee1477fb" ] } ], "mendeley" : { "formattedCitation" : "&lt;sup&gt;35&lt;/sup&gt;", "plainTextFormattedCitation" : "35", "previouslyFormattedCitation" : "&lt;sup&gt;35&lt;/sup&gt;" }, "properties" : { "noteIndex" : 0 }, "schema" : "https://github.com/citation-style-language/schema/raw/master/csl-citation.json" }</w:instrText>
      </w:r>
      <w:r w:rsidR="002D695E">
        <w:rPr>
          <w:rFonts w:ascii="Arial" w:hAnsi="Arial" w:cs="Arial"/>
          <w:sz w:val="24"/>
        </w:rPr>
        <w:fldChar w:fldCharType="separate"/>
      </w:r>
      <w:r w:rsidR="001F649C" w:rsidRPr="001F649C">
        <w:rPr>
          <w:rFonts w:ascii="Arial" w:hAnsi="Arial" w:cs="Arial"/>
          <w:noProof/>
          <w:sz w:val="24"/>
          <w:vertAlign w:val="superscript"/>
        </w:rPr>
        <w:t>35</w:t>
      </w:r>
      <w:r w:rsidR="002D695E">
        <w:rPr>
          <w:rFonts w:ascii="Arial" w:hAnsi="Arial" w:cs="Arial"/>
          <w:sz w:val="24"/>
        </w:rPr>
        <w:fldChar w:fldCharType="end"/>
      </w:r>
      <w:r w:rsidR="001733BE">
        <w:rPr>
          <w:rFonts w:ascii="Arial" w:hAnsi="Arial" w:cs="Arial"/>
          <w:sz w:val="24"/>
        </w:rPr>
        <w:t xml:space="preserve"> </w:t>
      </w:r>
      <w:r w:rsidR="001036FC">
        <w:rPr>
          <w:rFonts w:ascii="Arial" w:hAnsi="Arial" w:cs="Arial"/>
          <w:sz w:val="24"/>
        </w:rPr>
        <w:t xml:space="preserve">para avaliar o impacto da MPS tipo II sobre a QVRS de </w:t>
      </w:r>
      <w:r w:rsidR="00136938">
        <w:rPr>
          <w:rFonts w:ascii="Arial" w:hAnsi="Arial" w:cs="Arial"/>
          <w:sz w:val="24"/>
        </w:rPr>
        <w:t>pacientes</w:t>
      </w:r>
      <w:r w:rsidR="0036498D">
        <w:rPr>
          <w:rFonts w:ascii="Arial" w:hAnsi="Arial" w:cs="Arial"/>
          <w:sz w:val="24"/>
        </w:rPr>
        <w:t xml:space="preserve"> franceses</w:t>
      </w:r>
      <w:r w:rsidR="00591CDC">
        <w:rPr>
          <w:rFonts w:ascii="Arial" w:hAnsi="Arial" w:cs="Arial"/>
          <w:sz w:val="24"/>
        </w:rPr>
        <w:t>, incluindo crianças e adultos,</w:t>
      </w:r>
      <w:r w:rsidR="001036FC">
        <w:rPr>
          <w:rFonts w:ascii="Arial" w:hAnsi="Arial" w:cs="Arial"/>
          <w:sz w:val="24"/>
        </w:rPr>
        <w:t xml:space="preserve"> </w:t>
      </w:r>
      <w:r>
        <w:rPr>
          <w:rFonts w:ascii="Arial" w:hAnsi="Arial" w:cs="Arial"/>
          <w:sz w:val="24"/>
        </w:rPr>
        <w:t xml:space="preserve">apresentou resultado semelhante ao nosso. Os autores </w:t>
      </w:r>
      <w:r w:rsidR="00E76094">
        <w:rPr>
          <w:rFonts w:ascii="Arial" w:hAnsi="Arial" w:cs="Arial"/>
          <w:sz w:val="24"/>
        </w:rPr>
        <w:t>verific</w:t>
      </w:r>
      <w:r>
        <w:rPr>
          <w:rFonts w:ascii="Arial" w:hAnsi="Arial" w:cs="Arial"/>
          <w:sz w:val="24"/>
        </w:rPr>
        <w:t>aram</w:t>
      </w:r>
      <w:r w:rsidR="001733BE">
        <w:rPr>
          <w:rFonts w:ascii="Arial" w:hAnsi="Arial" w:cs="Arial"/>
          <w:sz w:val="24"/>
        </w:rPr>
        <w:t xml:space="preserve"> que aspectos psicológicos, como a autoestima e a coesão familiar, estiveram </w:t>
      </w:r>
      <w:r w:rsidR="001036FC">
        <w:rPr>
          <w:rFonts w:ascii="Arial" w:hAnsi="Arial" w:cs="Arial"/>
          <w:sz w:val="24"/>
        </w:rPr>
        <w:t>mais comprometido</w:t>
      </w:r>
      <w:r w:rsidR="001733BE">
        <w:rPr>
          <w:rFonts w:ascii="Arial" w:hAnsi="Arial" w:cs="Arial"/>
          <w:sz w:val="24"/>
        </w:rPr>
        <w:t xml:space="preserve">s </w:t>
      </w:r>
      <w:r w:rsidR="001036FC">
        <w:rPr>
          <w:rFonts w:ascii="Arial" w:hAnsi="Arial" w:cs="Arial"/>
          <w:sz w:val="24"/>
        </w:rPr>
        <w:t>na população</w:t>
      </w:r>
      <w:r>
        <w:rPr>
          <w:rFonts w:ascii="Arial" w:hAnsi="Arial" w:cs="Arial"/>
          <w:sz w:val="24"/>
        </w:rPr>
        <w:t xml:space="preserve"> </w:t>
      </w:r>
      <w:r w:rsidR="00DD3A5F">
        <w:rPr>
          <w:rFonts w:ascii="Arial" w:hAnsi="Arial" w:cs="Arial"/>
          <w:sz w:val="24"/>
        </w:rPr>
        <w:t>em</w:t>
      </w:r>
      <w:r>
        <w:rPr>
          <w:rFonts w:ascii="Arial" w:hAnsi="Arial" w:cs="Arial"/>
          <w:sz w:val="24"/>
        </w:rPr>
        <w:t xml:space="preserve"> estudo,</w:t>
      </w:r>
      <w:r w:rsidR="001036FC">
        <w:rPr>
          <w:rFonts w:ascii="Arial" w:hAnsi="Arial" w:cs="Arial"/>
          <w:sz w:val="24"/>
        </w:rPr>
        <w:t xml:space="preserve"> </w:t>
      </w:r>
      <w:r w:rsidR="001733BE">
        <w:rPr>
          <w:rFonts w:ascii="Arial" w:hAnsi="Arial" w:cs="Arial"/>
          <w:sz w:val="24"/>
        </w:rPr>
        <w:t>do que os aspectos relacionados à função física</w:t>
      </w:r>
      <w:r w:rsidR="00EA01D5">
        <w:rPr>
          <w:rFonts w:ascii="Arial" w:hAnsi="Arial" w:cs="Arial"/>
          <w:sz w:val="24"/>
        </w:rPr>
        <w:t>.</w:t>
      </w:r>
      <w:r w:rsidR="002D695E">
        <w:rPr>
          <w:rFonts w:ascii="Arial" w:hAnsi="Arial" w:cs="Arial"/>
          <w:sz w:val="24"/>
        </w:rPr>
        <w:fldChar w:fldCharType="begin" w:fldLock="1"/>
      </w:r>
      <w:r w:rsidR="005C2E82">
        <w:rPr>
          <w:rFonts w:ascii="Arial" w:hAnsi="Arial" w:cs="Arial"/>
          <w:sz w:val="24"/>
        </w:rPr>
        <w:instrText>ADDIN CSL_CITATION { "citationItems" : [ { "id" : "ITEM-1", "itemData" : { "DOI" : "10.1186/s13023-015-0259-0", "ISSN" : "???", "author" : [ { "dropping-particle" : "", "family" : "Guffon", "given" : "Nathalie", "non-dropping-particle" : "", "parse-names" : false, "suffix" : "" }, { "dropping-particle" : "", "family" : "Heron", "given" : "B\u00e9n\u00e9dicte", "non-dropping-particle" : "", "parse-names" : false, "suffix" : "" }, { "dropping-particle" : "", "family" : "Chabrol", "given" : "Brigitte", "non-dropping-particle" : "", "parse-names" : false, "suffix" : "" }, { "dropping-particle" : "", "family" : "Feillet", "given" : "Fran\u00e7ois", "non-dropping-particle" : "", "parse-names" : false, "suffix" : "" }, { "dropping-particle" : "", "family" : "Montauban", "given" : "Vincent", "non-dropping-particle" : "", "parse-names" : false, "suffix" : "" }, { "dropping-particle" : "", "family" : "Valayannopoulos", "given" : "Vassili", "non-dropping-particle" : "", "parse-names" : false, "suffix" : "" } ], "container-title" : "Orphanet Journal of Rare Diseases", "id" : "ITEM-1", "issue" : "43", "issued" : { "date-parts" : [ [ "2015" ] ] }, "page" : "1-13", "publisher" : "???", "title" : "Diagnosis , quality of life , and treatment of patients with Hunter syndrome in the French healthcare system : a retrospective observational study", "type" : "article-journal", "volume" : "10" }, "uris" : [ "http://www.mendeley.com/documents/?uuid=dd6c1c93-f494-4d90-804e-e403ee1477fb" ] } ], "mendeley" : { "formattedCitation" : "&lt;sup&gt;35&lt;/sup&gt;", "plainTextFormattedCitation" : "35", "previouslyFormattedCitation" : "&lt;sup&gt;35&lt;/sup&gt;" }, "properties" : { "noteIndex" : 0 }, "schema" : "https://github.com/citation-style-language/schema/raw/master/csl-citation.json" }</w:instrText>
      </w:r>
      <w:r w:rsidR="002D695E">
        <w:rPr>
          <w:rFonts w:ascii="Arial" w:hAnsi="Arial" w:cs="Arial"/>
          <w:sz w:val="24"/>
        </w:rPr>
        <w:fldChar w:fldCharType="separate"/>
      </w:r>
      <w:r w:rsidR="001F649C" w:rsidRPr="001F649C">
        <w:rPr>
          <w:rFonts w:ascii="Arial" w:hAnsi="Arial" w:cs="Arial"/>
          <w:noProof/>
          <w:sz w:val="24"/>
          <w:vertAlign w:val="superscript"/>
        </w:rPr>
        <w:t>35</w:t>
      </w:r>
      <w:r w:rsidR="002D695E">
        <w:rPr>
          <w:rFonts w:ascii="Arial" w:hAnsi="Arial" w:cs="Arial"/>
          <w:sz w:val="24"/>
        </w:rPr>
        <w:fldChar w:fldCharType="end"/>
      </w:r>
      <w:r w:rsidR="00351224">
        <w:rPr>
          <w:rFonts w:ascii="Arial" w:hAnsi="Arial" w:cs="Arial"/>
          <w:sz w:val="24"/>
        </w:rPr>
        <w:t xml:space="preserve"> </w:t>
      </w:r>
      <w:r w:rsidR="008C1109">
        <w:rPr>
          <w:rFonts w:ascii="Arial" w:hAnsi="Arial" w:cs="Arial"/>
          <w:sz w:val="24"/>
        </w:rPr>
        <w:t>A</w:t>
      </w:r>
      <w:r w:rsidR="00351224">
        <w:rPr>
          <w:rFonts w:ascii="Arial" w:hAnsi="Arial" w:cs="Arial"/>
          <w:sz w:val="24"/>
        </w:rPr>
        <w:t xml:space="preserve"> severidade</w:t>
      </w:r>
      <w:r w:rsidR="00502D59">
        <w:rPr>
          <w:rFonts w:ascii="Arial" w:hAnsi="Arial" w:cs="Arial"/>
          <w:sz w:val="24"/>
        </w:rPr>
        <w:t xml:space="preserve"> do quadro</w:t>
      </w:r>
      <w:r w:rsidR="00E51190">
        <w:rPr>
          <w:rFonts w:ascii="Arial" w:hAnsi="Arial" w:cs="Arial"/>
          <w:sz w:val="24"/>
        </w:rPr>
        <w:t xml:space="preserve"> clínico</w:t>
      </w:r>
      <w:r w:rsidR="00426B38">
        <w:rPr>
          <w:rFonts w:ascii="Arial" w:hAnsi="Arial" w:cs="Arial"/>
          <w:sz w:val="24"/>
        </w:rPr>
        <w:t>, as limitações físicas</w:t>
      </w:r>
      <w:r w:rsidR="00502D59">
        <w:rPr>
          <w:rFonts w:ascii="Arial" w:hAnsi="Arial" w:cs="Arial"/>
          <w:sz w:val="24"/>
        </w:rPr>
        <w:t xml:space="preserve">, </w:t>
      </w:r>
      <w:r w:rsidR="00351224">
        <w:rPr>
          <w:rFonts w:ascii="Arial" w:hAnsi="Arial" w:cs="Arial"/>
          <w:sz w:val="24"/>
        </w:rPr>
        <w:t xml:space="preserve">o atraso do desenvolvimento neuropsicomotor </w:t>
      </w:r>
      <w:r w:rsidR="00502D59">
        <w:rPr>
          <w:rFonts w:ascii="Arial" w:hAnsi="Arial" w:cs="Arial"/>
          <w:sz w:val="24"/>
        </w:rPr>
        <w:t xml:space="preserve">e </w:t>
      </w:r>
      <w:r w:rsidR="00E51190">
        <w:rPr>
          <w:rFonts w:ascii="Arial" w:hAnsi="Arial" w:cs="Arial"/>
          <w:sz w:val="24"/>
        </w:rPr>
        <w:t>os traços fenótipos</w:t>
      </w:r>
      <w:r w:rsidR="00502D59">
        <w:rPr>
          <w:rFonts w:ascii="Arial" w:hAnsi="Arial" w:cs="Arial"/>
          <w:sz w:val="24"/>
        </w:rPr>
        <w:t xml:space="preserve"> inerentes à doença</w:t>
      </w:r>
      <w:r w:rsidR="008C1109">
        <w:rPr>
          <w:rFonts w:ascii="Arial" w:hAnsi="Arial" w:cs="Arial"/>
          <w:sz w:val="24"/>
        </w:rPr>
        <w:t>, provavelmente</w:t>
      </w:r>
      <w:r w:rsidR="00502D59">
        <w:rPr>
          <w:rFonts w:ascii="Arial" w:hAnsi="Arial" w:cs="Arial"/>
          <w:sz w:val="24"/>
        </w:rPr>
        <w:t xml:space="preserve"> </w:t>
      </w:r>
      <w:r w:rsidR="009C0E7C">
        <w:rPr>
          <w:rFonts w:ascii="Arial" w:hAnsi="Arial" w:cs="Arial"/>
          <w:sz w:val="24"/>
        </w:rPr>
        <w:t>estigmatizam os pacientes</w:t>
      </w:r>
      <w:r w:rsidR="007D0867">
        <w:rPr>
          <w:rFonts w:ascii="Arial" w:hAnsi="Arial" w:cs="Arial"/>
          <w:sz w:val="24"/>
        </w:rPr>
        <w:t xml:space="preserve"> e </w:t>
      </w:r>
      <w:r w:rsidR="00963DDC">
        <w:rPr>
          <w:rFonts w:ascii="Arial" w:hAnsi="Arial" w:cs="Arial"/>
          <w:sz w:val="24"/>
        </w:rPr>
        <w:t>interfer</w:t>
      </w:r>
      <w:r w:rsidR="007D0867">
        <w:rPr>
          <w:rFonts w:ascii="Arial" w:hAnsi="Arial" w:cs="Arial"/>
          <w:sz w:val="24"/>
        </w:rPr>
        <w:t xml:space="preserve">em na </w:t>
      </w:r>
      <w:r w:rsidR="00B02509">
        <w:rPr>
          <w:rFonts w:ascii="Arial" w:hAnsi="Arial" w:cs="Arial"/>
          <w:sz w:val="24"/>
        </w:rPr>
        <w:t xml:space="preserve">sua </w:t>
      </w:r>
      <w:r w:rsidR="007D0867">
        <w:rPr>
          <w:rFonts w:ascii="Arial" w:hAnsi="Arial" w:cs="Arial"/>
          <w:sz w:val="24"/>
        </w:rPr>
        <w:t>autoimagem</w:t>
      </w:r>
      <w:r w:rsidR="009C0E7C">
        <w:rPr>
          <w:rFonts w:ascii="Arial" w:hAnsi="Arial" w:cs="Arial"/>
          <w:sz w:val="24"/>
        </w:rPr>
        <w:t xml:space="preserve">, </w:t>
      </w:r>
      <w:r w:rsidR="00963DDC">
        <w:rPr>
          <w:rFonts w:ascii="Arial" w:hAnsi="Arial" w:cs="Arial"/>
          <w:sz w:val="24"/>
        </w:rPr>
        <w:t>prejudicando</w:t>
      </w:r>
      <w:r w:rsidR="00E929C5">
        <w:rPr>
          <w:rFonts w:ascii="Arial" w:hAnsi="Arial" w:cs="Arial"/>
          <w:sz w:val="24"/>
        </w:rPr>
        <w:t xml:space="preserve"> </w:t>
      </w:r>
      <w:r w:rsidR="00426B38">
        <w:rPr>
          <w:rFonts w:ascii="Arial" w:hAnsi="Arial" w:cs="Arial"/>
          <w:sz w:val="24"/>
        </w:rPr>
        <w:t>o aspecto geral da</w:t>
      </w:r>
      <w:r w:rsidR="007F52BB">
        <w:rPr>
          <w:rFonts w:ascii="Arial" w:hAnsi="Arial" w:cs="Arial"/>
          <w:sz w:val="24"/>
        </w:rPr>
        <w:t xml:space="preserve"> </w:t>
      </w:r>
      <w:r w:rsidR="00426B38">
        <w:rPr>
          <w:rFonts w:ascii="Arial" w:hAnsi="Arial" w:cs="Arial"/>
          <w:sz w:val="24"/>
        </w:rPr>
        <w:t>QV</w:t>
      </w:r>
      <w:r w:rsidR="00CA63C1">
        <w:rPr>
          <w:rFonts w:ascii="Arial" w:hAnsi="Arial" w:cs="Arial"/>
          <w:sz w:val="24"/>
        </w:rPr>
        <w:t>RS.</w:t>
      </w:r>
      <w:r w:rsidR="008C1109">
        <w:rPr>
          <w:rFonts w:ascii="Arial" w:hAnsi="Arial" w:cs="Arial"/>
          <w:sz w:val="24"/>
        </w:rPr>
        <w:t xml:space="preserve"> Além disso, com o aumento da idade, </w:t>
      </w:r>
      <w:r w:rsidR="00136938">
        <w:rPr>
          <w:rFonts w:ascii="Arial" w:hAnsi="Arial" w:cs="Arial"/>
          <w:sz w:val="24"/>
        </w:rPr>
        <w:t>há</w:t>
      </w:r>
      <w:r w:rsidR="008C1109">
        <w:rPr>
          <w:rFonts w:ascii="Arial" w:hAnsi="Arial" w:cs="Arial"/>
          <w:sz w:val="24"/>
        </w:rPr>
        <w:t xml:space="preserve"> maior conscientização sobre as diferenças entre os pares, </w:t>
      </w:r>
      <w:r w:rsidR="00963DDC">
        <w:rPr>
          <w:rFonts w:ascii="Arial" w:hAnsi="Arial" w:cs="Arial"/>
          <w:sz w:val="24"/>
        </w:rPr>
        <w:t>o que</w:t>
      </w:r>
      <w:r w:rsidR="00136938">
        <w:rPr>
          <w:rFonts w:ascii="Arial" w:hAnsi="Arial" w:cs="Arial"/>
          <w:sz w:val="24"/>
        </w:rPr>
        <w:t xml:space="preserve"> pode reduzir </w:t>
      </w:r>
      <w:r w:rsidR="00E450BE">
        <w:rPr>
          <w:rFonts w:ascii="Arial" w:hAnsi="Arial" w:cs="Arial"/>
          <w:sz w:val="24"/>
        </w:rPr>
        <w:t xml:space="preserve">a </w:t>
      </w:r>
      <w:r w:rsidR="008C1109">
        <w:rPr>
          <w:rFonts w:ascii="Arial" w:hAnsi="Arial" w:cs="Arial"/>
          <w:sz w:val="24"/>
        </w:rPr>
        <w:t>autoestima</w:t>
      </w:r>
      <w:r w:rsidR="00136938">
        <w:rPr>
          <w:rFonts w:ascii="Arial" w:hAnsi="Arial" w:cs="Arial"/>
          <w:sz w:val="24"/>
        </w:rPr>
        <w:t xml:space="preserve"> desses indivíduos</w:t>
      </w:r>
      <w:r w:rsidR="005166D9">
        <w:rPr>
          <w:rFonts w:ascii="Arial" w:hAnsi="Arial" w:cs="Arial"/>
          <w:sz w:val="24"/>
        </w:rPr>
        <w:fldChar w:fldCharType="begin" w:fldLock="1"/>
      </w:r>
      <w:r w:rsidR="005C2E82">
        <w:rPr>
          <w:rFonts w:ascii="Arial" w:hAnsi="Arial" w:cs="Arial"/>
          <w:sz w:val="24"/>
        </w:rPr>
        <w:instrText>ADDIN CSL_CITATION { "citationItems" : [ { "id" : "ITEM-1", "itemData" : { "DOI" : "10.1016/j.ymgmr.2016.03.005", "ISSN" : "22144269", "PMID" : "27114914", "abstract" : "Objectives The behavioral, adaptive and quality of life characteristics of attenuated mucopolysaccharidosis type II (MPS II) have not been well studied. Understanding changes over time in the attenuated phenotype may assist in helping achieve better outcomes in long-term function. This longitudinal study investigates these outcomes in relation to age, somatic disease burden, and IQ. Specifically, somatic disease burden is a major challenge for these patients, even with treatment with enzyme replacement therapy. Methods 15 patients, 10 between ages 6 and &lt; 12 and 5 between ages ??? 12 and 18, were selected who had at least 2 yearly visits. The occurrence of physical signs, the Physical Symptom Score, and IQ in these two groups was studied as well as the longitudinal association of age with standardized measures of quality of life, adaptive function, and behavioral symptoms as rated by parents and the child's self-report. Slopes by age across and within patients were calculated for these measures. Results All but one child had hearing loss, most had joint contractures and short stature. Somatic disease burden increased with age. IQ, although normal for most, also improved with age in those under 12 years of age. Physical quality of life decreased while psychosocial quality of life increased with age. Although other adaptive skills were in the broad average range, daily living skills were low at baseline relative to normative data and decreased over time. Behavior ratings indicated improvement in attention and hyperactivity over time. No patient had severe psychopathology, but older children reported an increasing sense of inadequacy and low self-esteem on self-report, presumably due to increasing awareness of differences from peers over time. Conclusions Attenuated MPS II patients have increasing somatic disease burden and poor physical quality of life as they develop as well as decreasing self-esteem and sense of adequacy. Psychosocial quality of life, adaptive skills, and attention improve. Recognition of and intervention around these issues will be beneficial to MPS II attenuated patients who have the resources to use such assistance to improve their long-term outcomes.", "author" : [ { "dropping-particle" : "", "family" : "Shapiro", "given" : "Elsa G.", "non-dropping-particle" : "", "parse-names" : false, "suffix" : "" }, { "dropping-particle" : "", "family" : "Rudser", "given" : "Kyle", "non-dropping-particle" : "", "parse-names" : false, "suffix" : "" }, { "dropping-particle" : "", "family" : "Ahmed", "given" : "Alia", "non-dropping-particle" : "", "parse-names" : false, "suffix" : "" }, { "dropping-particle" : "", "family" : "Steiner", "given" : "Robert D.", "non-dropping-particle" : "", "parse-names" : false, "suffix" : "" }, { "dropping-particle" : "", "family" : "Delaney", "given" : "Kathleen A.", "non-dropping-particle" : "", "parse-names" : false, "suffix" : "" }, { "dropping-particle" : "", "family" : "Yund", "given" : "Brianna", "non-dropping-particle" : "", "parse-names" : false, "suffix" : "" }, { "dropping-particle" : "", "family" : "King", "given" : "Kelly", "non-dropping-particle" : "", "parse-names" : false, "suffix" : "" }, { "dropping-particle" : "", "family" : "Kunin-Batson", "given" : "Alicia", "non-dropping-particle" : "", "parse-names" : false, "suffix" : "" }, { "dropping-particle" : "", "family" : "Eisengart", "given" : "Julie", "non-dropping-particle" : "", "parse-names" : false, "suffix" : "" }, { "dropping-particle" : "", "family" : "Whitley", "given" : "Chester B.", "non-dropping-particle" : "", "parse-names" : false, "suffix" : "" } ], "container-title" : "Mol Genet and Metab Rep", "id" : "ITEM-1", "issued" : { "date-parts" : [ [ "2016" ] ] }, "page" : "32-39", "publisher" : "The Authors", "title" : "A longitudinal study of emotional adjustment, quality of life and adaptive function in attenuated MPS II", "type" : "article-journal", "volume" : "7" }, "uris" : [ "http://www.mendeley.com/documents/?uuid=d9dc75ed-36d1-482c-907e-4f291c5b0c45" ] } ], "mendeley" : { "formattedCitation" : "&lt;sup&gt;13&lt;/sup&gt;", "plainTextFormattedCitation" : "13", "previouslyFormattedCitation" : "&lt;sup&gt;13&lt;/sup&gt;" }, "properties" : { "noteIndex" : 0 }, "schema" : "https://github.com/citation-style-language/schema/raw/master/csl-citation.json" }</w:instrText>
      </w:r>
      <w:r w:rsidR="005166D9">
        <w:rPr>
          <w:rFonts w:ascii="Arial" w:hAnsi="Arial" w:cs="Arial"/>
          <w:sz w:val="24"/>
        </w:rPr>
        <w:fldChar w:fldCharType="separate"/>
      </w:r>
      <w:r w:rsidR="001F649C" w:rsidRPr="001F649C">
        <w:rPr>
          <w:rFonts w:ascii="Arial" w:hAnsi="Arial" w:cs="Arial"/>
          <w:noProof/>
          <w:sz w:val="24"/>
          <w:vertAlign w:val="superscript"/>
        </w:rPr>
        <w:t>13</w:t>
      </w:r>
      <w:r w:rsidR="005166D9">
        <w:rPr>
          <w:rFonts w:ascii="Arial" w:hAnsi="Arial" w:cs="Arial"/>
          <w:sz w:val="24"/>
        </w:rPr>
        <w:fldChar w:fldCharType="end"/>
      </w:r>
      <w:r w:rsidR="00F2359E">
        <w:rPr>
          <w:rFonts w:ascii="Arial" w:hAnsi="Arial" w:cs="Arial"/>
          <w:sz w:val="24"/>
        </w:rPr>
        <w:t>.</w:t>
      </w:r>
      <w:r w:rsidR="008C1109">
        <w:rPr>
          <w:rFonts w:ascii="Arial" w:hAnsi="Arial" w:cs="Arial"/>
          <w:sz w:val="24"/>
        </w:rPr>
        <w:t xml:space="preserve"> </w:t>
      </w:r>
    </w:p>
    <w:p w:rsidR="009E4E31" w:rsidRDefault="009E4E31" w:rsidP="00F03F60">
      <w:pPr>
        <w:tabs>
          <w:tab w:val="left" w:pos="1418"/>
          <w:tab w:val="left" w:pos="1560"/>
        </w:tabs>
        <w:spacing w:after="0" w:line="360" w:lineRule="auto"/>
        <w:jc w:val="both"/>
        <w:rPr>
          <w:rFonts w:ascii="Arial" w:hAnsi="Arial" w:cs="Arial"/>
          <w:sz w:val="24"/>
        </w:rPr>
      </w:pPr>
    </w:p>
    <w:p w:rsidR="00830C3D" w:rsidRDefault="00A748C7" w:rsidP="00F03F60">
      <w:pPr>
        <w:tabs>
          <w:tab w:val="left" w:pos="1418"/>
        </w:tabs>
        <w:spacing w:after="0" w:line="360" w:lineRule="auto"/>
        <w:jc w:val="both"/>
        <w:rPr>
          <w:rFonts w:ascii="Arial" w:hAnsi="Arial" w:cs="Arial"/>
          <w:sz w:val="24"/>
        </w:rPr>
      </w:pPr>
      <w:r>
        <w:rPr>
          <w:rFonts w:ascii="Arial" w:hAnsi="Arial" w:cs="Arial"/>
          <w:sz w:val="24"/>
        </w:rPr>
        <w:t>Sabe-se que</w:t>
      </w:r>
      <w:r w:rsidR="001A0401">
        <w:rPr>
          <w:rFonts w:ascii="Arial" w:hAnsi="Arial" w:cs="Arial"/>
          <w:sz w:val="24"/>
        </w:rPr>
        <w:t>,</w:t>
      </w:r>
      <w:r>
        <w:rPr>
          <w:rFonts w:ascii="Arial" w:hAnsi="Arial" w:cs="Arial"/>
          <w:sz w:val="24"/>
        </w:rPr>
        <w:t xml:space="preserve"> e</w:t>
      </w:r>
      <w:r w:rsidR="000C02F5">
        <w:rPr>
          <w:rFonts w:ascii="Arial" w:hAnsi="Arial" w:cs="Arial"/>
          <w:sz w:val="24"/>
        </w:rPr>
        <w:t>m decorrência das deformidades musculoesqueléticas, limitações articulares, compressão medular e dor, a mobilidade dos pacientes com MPS torna-se prejudicada.</w:t>
      </w:r>
      <w:r w:rsidR="009C0E7C">
        <w:rPr>
          <w:rFonts w:ascii="Arial" w:hAnsi="Arial" w:cs="Arial"/>
          <w:sz w:val="24"/>
        </w:rPr>
        <w:fldChar w:fldCharType="begin" w:fldLock="1"/>
      </w:r>
      <w:r w:rsidR="005C2E82">
        <w:rPr>
          <w:rFonts w:ascii="Arial" w:hAnsi="Arial" w:cs="Arial"/>
          <w:sz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"mendeley" : { "formattedCitation" : "&lt;sup&gt;4&lt;/sup&gt;", "plainTextFormattedCitation" : "4", "previouslyFormattedCitation" : "&lt;sup&gt;4&lt;/sup&gt;" }, "properties" : { "noteIndex" : 0 }, "schema" : "https://github.com/citation-style-language/schema/raw/master/csl-citation.json" }</w:instrText>
      </w:r>
      <w:r w:rsidR="009C0E7C">
        <w:rPr>
          <w:rFonts w:ascii="Arial" w:hAnsi="Arial" w:cs="Arial"/>
          <w:sz w:val="24"/>
        </w:rPr>
        <w:fldChar w:fldCharType="separate"/>
      </w:r>
      <w:r w:rsidR="001F649C" w:rsidRPr="001F649C">
        <w:rPr>
          <w:rFonts w:ascii="Arial" w:hAnsi="Arial" w:cs="Arial"/>
          <w:noProof/>
          <w:sz w:val="24"/>
          <w:vertAlign w:val="superscript"/>
        </w:rPr>
        <w:t>4</w:t>
      </w:r>
      <w:r w:rsidR="009C0E7C">
        <w:rPr>
          <w:rFonts w:ascii="Arial" w:hAnsi="Arial" w:cs="Arial"/>
          <w:sz w:val="24"/>
        </w:rPr>
        <w:fldChar w:fldCharType="end"/>
      </w:r>
      <w:r w:rsidR="000C02F5">
        <w:rPr>
          <w:rFonts w:ascii="Arial" w:hAnsi="Arial" w:cs="Arial"/>
          <w:sz w:val="24"/>
        </w:rPr>
        <w:t xml:space="preserve"> Com a progressão da d</w:t>
      </w:r>
      <w:r w:rsidR="00DA3ECF">
        <w:rPr>
          <w:rFonts w:ascii="Arial" w:hAnsi="Arial" w:cs="Arial"/>
          <w:sz w:val="24"/>
        </w:rPr>
        <w:t>oença, esses indivíduos evoluem</w:t>
      </w:r>
      <w:r w:rsidR="000C02F5">
        <w:rPr>
          <w:rFonts w:ascii="Arial" w:hAnsi="Arial" w:cs="Arial"/>
          <w:sz w:val="24"/>
        </w:rPr>
        <w:t xml:space="preserve"> com </w:t>
      </w:r>
      <w:r w:rsidR="000C02F5" w:rsidRPr="00D01FA6">
        <w:rPr>
          <w:rFonts w:ascii="Arial" w:hAnsi="Arial" w:cs="Arial"/>
          <w:sz w:val="24"/>
        </w:rPr>
        <w:t xml:space="preserve">baixa </w:t>
      </w:r>
      <w:r w:rsidR="00D01FA6" w:rsidRPr="00D01FA6">
        <w:rPr>
          <w:rFonts w:ascii="Arial" w:hAnsi="Arial" w:cs="Arial"/>
          <w:sz w:val="24"/>
        </w:rPr>
        <w:t>tolerância ao esforço físico</w:t>
      </w:r>
      <w:r w:rsidR="00334AED">
        <w:rPr>
          <w:rFonts w:ascii="Arial" w:hAnsi="Arial" w:cs="Arial"/>
          <w:sz w:val="24"/>
        </w:rPr>
        <w:t xml:space="preserve"> e com dificuldades para percorrer curtas distâncias</w:t>
      </w:r>
      <w:r w:rsidR="001A0401">
        <w:rPr>
          <w:rFonts w:ascii="Arial" w:hAnsi="Arial" w:cs="Arial"/>
          <w:sz w:val="24"/>
        </w:rPr>
        <w:t>,</w:t>
      </w:r>
      <w:r w:rsidR="00DD3F27">
        <w:rPr>
          <w:rFonts w:ascii="Arial" w:hAnsi="Arial" w:cs="Arial"/>
          <w:sz w:val="24"/>
        </w:rPr>
        <w:t xml:space="preserve"> devido as </w:t>
      </w:r>
      <w:r w:rsidR="000C02F5">
        <w:rPr>
          <w:rFonts w:ascii="Arial" w:hAnsi="Arial" w:cs="Arial"/>
          <w:sz w:val="24"/>
        </w:rPr>
        <w:t xml:space="preserve">alterações </w:t>
      </w:r>
      <w:r w:rsidR="00DD3F27">
        <w:rPr>
          <w:rFonts w:ascii="Arial" w:hAnsi="Arial" w:cs="Arial"/>
          <w:sz w:val="24"/>
        </w:rPr>
        <w:t>cardior</w:t>
      </w:r>
      <w:r w:rsidR="000C02F5">
        <w:rPr>
          <w:rFonts w:ascii="Arial" w:hAnsi="Arial" w:cs="Arial"/>
          <w:sz w:val="24"/>
        </w:rPr>
        <w:t>respiratórias</w:t>
      </w:r>
      <w:r w:rsidR="0062107E">
        <w:rPr>
          <w:rFonts w:ascii="Arial" w:hAnsi="Arial" w:cs="Arial"/>
          <w:sz w:val="24"/>
        </w:rPr>
        <w:t xml:space="preserve">. Como consequência, </w:t>
      </w:r>
      <w:r w:rsidR="00DD3F27">
        <w:rPr>
          <w:rFonts w:ascii="Arial" w:hAnsi="Arial" w:cs="Arial"/>
          <w:sz w:val="24"/>
        </w:rPr>
        <w:t xml:space="preserve">podem necessitar </w:t>
      </w:r>
      <w:r w:rsidR="000C02F5">
        <w:rPr>
          <w:rFonts w:ascii="Arial" w:hAnsi="Arial" w:cs="Arial"/>
          <w:sz w:val="24"/>
        </w:rPr>
        <w:t>de dispositivos au</w:t>
      </w:r>
      <w:r w:rsidR="00DD3F27">
        <w:rPr>
          <w:rFonts w:ascii="Arial" w:hAnsi="Arial" w:cs="Arial"/>
          <w:sz w:val="24"/>
        </w:rPr>
        <w:t>xiliares como andador, muletas ou, eventualmente, tornam-se</w:t>
      </w:r>
      <w:r w:rsidR="001A0401">
        <w:rPr>
          <w:rFonts w:ascii="Arial" w:hAnsi="Arial" w:cs="Arial"/>
          <w:sz w:val="24"/>
        </w:rPr>
        <w:t xml:space="preserve"> acamados ou</w:t>
      </w:r>
      <w:r w:rsidR="00DD3F27">
        <w:rPr>
          <w:rFonts w:ascii="Arial" w:hAnsi="Arial" w:cs="Arial"/>
          <w:sz w:val="24"/>
        </w:rPr>
        <w:t xml:space="preserve"> dependentes </w:t>
      </w:r>
      <w:r w:rsidR="000C02F5">
        <w:rPr>
          <w:rFonts w:ascii="Arial" w:hAnsi="Arial" w:cs="Arial"/>
          <w:sz w:val="24"/>
        </w:rPr>
        <w:t>de cadeiras de rodas.</w:t>
      </w:r>
      <w:r w:rsidR="00F005AC">
        <w:rPr>
          <w:rFonts w:ascii="Arial" w:hAnsi="Arial" w:cs="Arial"/>
          <w:sz w:val="24"/>
        </w:rPr>
        <w:fldChar w:fldCharType="begin" w:fldLock="1"/>
      </w:r>
      <w:r w:rsidR="003308C5">
        <w:rPr>
          <w:rFonts w:ascii="Arial" w:hAnsi="Arial" w:cs="Arial"/>
          <w:sz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"id" : "ITEM-2", "itemData" : { "DOI" : "10.1186/1750-1172-8-101", "ISBN" : "1750-1172", "ISSN" : "1750-1172", "PMID" : "23837440", "abstract" : "BACKGROUND: Hunter syndrome (mucopolysaccharidosis type II (MPS II)) is a rare metabolic disease that can severely compromise health, well-being and life expectancy. Little evidence has been published on the impact of MPS II on health-related quality of life (HRQL). The objective of this study was to describe this impact using the Hunter Syndrome-Functional Outcomes for Clinical Understanding Scale (HS-FOCUS) questionnaire and a range of standard validated questionnaires previously used in paediatric populations.\\n\\nMETHODS: Clinical and demographic characteristics collected in a clinical trial and responses to four HRQL questionnaires completed both by patients and parents prior to enzyme replacement treatment were used. The association between questionnaire scores and clinical function parameters were tested using Spearman rank-order correlations. Results were compared to scores in other paediatric populations with chronic conditions obtained through a targeted literature search of published studies.\\n\\nRESULTS: Overall, 96 male patients with MPS II and their parents were enrolled in the trial. All parents completed the questionnaires and 53 patients above 12 years old also completed the self-reported versions. Parents' and patients' responses were analysed separately and results were very similar. Dysfunction according to the HS-FOCUS and the CHAQ was most pronounced in the physical function domains. Very low scores were reported in the Self Esteem and Family Cohesion domains in the CHQ and HUI3 disutility values indicated a moderate impact. Scores reported by patients and their parents were consistently lower than scores in the other paediatric populations identified (except the parent-reported Behaviour score); and considerably lower than normative values.\\n\\nCONCLUSIONS: This study describes the impact on HRQL in patients with MPS II and provides a broader context by comparing it with that of other chronic paediatric diseases. Physical function and the ability to perform day-to-day activities were the most affected areas and a considerable impact on the psychological aspects of patients' HRQL was also found, with a higher level of impairment across most dimensions (particularly Pain and Self Esteem) than that of other paediatric populations. Such humanistic data provide increasingly important support for establishing priorities for health care spending, and as a component of health economic analysis.", "author" : [ { "dropping-particle" : "", "family" : "Raluy-Callado", "given" : "Mireia", "non-dropping-particle" : "", "parse-names" : false, "suffix" : "" }, { "dropping-particle" : "", "family" : "Chen", "given" : "Wen-Hung", "non-dropping-particle" : "", "parse-names" : false, "suffix" : "" }, { "dropping-particle" : "", "family" : "Whiteman", "given" : "David a H", "non-dropping-particle" : "", "parse-names" : false, "suffix" : "" }, { "dropping-particle" : "", "family" : "Fang", "given" : "Juanzhi", "non-dropping-particle" : "", "parse-names" : false, "suffix" : "" }, { "dropping-particle" : "", "family" : "Wiklund", "given" : "Ingela", "non-dropping-particle" : "", "parse-names" : false, "suffix" : "" } ], "container-title" : "Orphanet Journal of Rare Diseases", "id" : "ITEM-2", "issue" : "101", "issued" : { "date-parts" : [ [ "2013" ] ] }, "publisher" : "Orphanet Journal of Rare Diseases", "title" : "The impact of Hunter syndrome (mucopolysaccharidosis type II) on health-related quality of life.", "type" : "article-journal", "volume" : "8" }, "uris" : [ "http://www.mendeley.com/documents/?uuid=0092e141-8b95-48ae-ab0b-7e5198e42752" ] }, { "id" : "ITEM-3", "itemData" : { "DOI" : "10.1002/ajmg.a.30579", "author" : [ { "dropping-particle" : "", "family" : "Swiedler", "given" : "Stuart J", "non-dropping-particle" : "", "parse-names" : false, "suffix" : "" }, { "dropping-particle" : "", "family" : "Beck", "given" : "Michael", "non-dropping-particle" : "", "parse-names" : false, "suffix" : "" }, { "dropping-particle" : "", "family" : "Bajbouj", "given" : "Manal", "non-dropping-particle" : "", "parse-names" : false, "suffix" : "" }, { "dropping-particle" : "", "family" : "Giugliani", "given" : "Roberto", "non-dropping-particle" : "", "parse-names" : false, "suffix" : "" }, { "dropping-particle" : "", "family" : "Schwartz", "given" : "Ida", "non-dropping-particle" : "", "parse-names" : false, "suffix" : "" }, { "dropping-particle" : "", "family" : "Harmatz", "given" : "Paul", "non-dropping-particle" : "", "parse-names" : false, "suffix" : "" }, { "dropping-particle" : "", "family" : "Wraith", "given" : "James E", "non-dropping-particle" : "", "parse-names" : false, "suffix" : "" }, { "dropping-particle" : "", "family" : "Roberts", "given" : "Jane", "non-dropping-particle" : "", "parse-names" : false, "suffix" : "" }, { "dropping-particle" : "", "family" : "Ketteridge", "given" : "David", "non-dropping-particle" : "", "parse-names" : false, "suffix" : "" }, { "dropping-particle" : "", "family" : "Hopwood", "given" : "John J", "non-dropping-particle" : "", "parse-names" : false, "suffix" : "" }, { "dropping-particle" : "", "family" : "Guffon", "given" : "Nathalie", "non-dropping-particle" : "", "parse-names" : false, "suffix" : "" }, { "dropping-particle" : "", "family" : "Miranda", "given" : "M Clara Sa", "non-dropping-particle" : "", "parse-names" : false, "suffix" : "" }, { "dropping-particle" : "", "family" : "Teles", "given" : "Elisa L", "non-dropping-particle" : "", "parse-names" : false, "suffix" : "" }, { "dropping-particle" : "", "family" : "Berger", "given" : "Kenneth I", "non-dropping-particle" : "", "parse-names" : false, "suffix" : "" }, { "dropping-particle" : "", "family" : "Piscia-Nichols", "given" : "Cheri", "non-dropping-particle" : "", "parse-names" : false, "suffix" : "" } ], "container-title" : "American Journal of Medical Genetics, Part A", "id" : "ITEM-3", "issue" : "2", "issued" : { "date-parts" : [ [ "2005" ] ] }, "page" : "144-150", "title" : "Threshold effect of urinary glycosaminoglycans and the walk test as indicators of disease progression in a survey of subjects with mucopolysaccharidosis VI (Maroteaux \u2013 Lamy Syndrome )", "type" : "article-journal", "volume" : "134a" }, "uris" : [ "http://www.mendeley.com/documents/?uuid=85c133a1-1150-4d4f-a369-426593cece04" ] }, { "id" : "ITEM-4", "itemData" : { "DOI" : "10.1186/1750-1172-9-32", "ISBN" : "1750-1172", "ISSN" : "1750-1172", "PMID" : "24602160", "abstract" : "BACKGROUND: Morquio A syndrome (or mucopolysaccharidosis IVa) is an ultra-rare multi-organ disease, resulting in significantly impaired functional capacity, mobility and quality of life (QoL). METHODS: This patient-reported outcomes survey evaluated the global burden of Morquio A among adults (\u226518 years, N = 27) and children (7-17 years, N = 36), including the impact on mobility, QoL, pain and fatigue. QoL was assessed using the general Health-Related Quality of Life (HRQoL) questionnaire (the EuroQol [EQ]-5D-5L). Pain and pain interference with daily activities were assessed using the Brief Pain Inventory Short Form (BPI-SF) in adults and the Adolescent Pediatric Pain Tool (APPT) in children. Fatigue was assessed by questioning the patients on the number of evenings in a week they felt extremely tired. RESULTS: The clinical data showed a wide heterogeneity in clinical manifestations between patients, with the majority of patients showing differing levels of endurance, short stature, bone and joint abnormalities, abnormal gait and eye problems. Mobility was considerably impaired: 44.4% of children and 85.2% of adult patients were using a wheelchair. High wheelchair reliance significantly reduced QoL. This was mainly driven by reduced scores in the Mobility, Self-care, and Usual Activity domains. The HRQoL utility values were 0.846, 0.582 and 0.057 respectively in adults not using a wheelchair, using a wheelchair only when needed and always using a wheelchair; values were 0.534, 0.664 and -0.180 respectively in children. Employed adult patients had a better HRQoL than unemployed patients (HRQoL utility value 0.640 vs. 0.275, respectively).64% of children and 74% of adult patients had joint pain; fatigue was reported by 69% of children and 63% of adults. Overall, increased mobility was associated with more severe and widespread pain and more fatigue. CONCLUSIONS: The HRQoL of Morquio A patients is mainly driven by the ability to remain independently mobile without becoming wheelchair dependent. Their QoL reduces dramatically if they always have to use their wheelchair. Even a slightly better mobility (wheelchair use only when needed) greatly improves QoL. Maintenance of functional capacity and mobility paired with better pain management are likely to improve QoL.", "author" : [ { "dropping-particle" : "", "family" : "Hendriksz", "given" : "Christian J", "non-dropping-particle" : "", "parse-names" : false, "suffix" : "" }, { "dropping-particle" : "", "family" : "Lavery", "given" : "Christine", "non-dropping-particle" : "", "parse-names" : false, "suffix" : "" }, { "dropping-particle" : "", "family" : "Coker", "given" : "Mahmut", "non-dropping-particle" : "", "parse-names" : false, "suffix" : "" }, { "dropping-particle" : "", "family" : "Ucar", "given" : "Sema Kalkan", "non-dropping-particle" : "", "parse-names" : false, "suffix" : "" }, { "dropping-particle" : "", "family" : "Jain", "given" : "Mohit", "non-dropping-particle" : "", "parse-names" : false, "suffix" : "" }, { "dropping-particle" : "", "family" : "Bell", "given" : "Lisa", "non-dropping-particle" : "", "parse-names" : false, "suffix" : "" }, { "dropping-particle" : "", "family" : "Lampe", "given" : "Christina", "non-dropping-particle" : "", "parse-names" : false, "suffix" : "" } ], "container-title" : "Orphanet journal of rare diseases", "id" : "ITEM-4", "issue" : "32", "issued" : { "date-parts" : [ [ "2014" ] ] }, "page" : "1-8", "title" : "Burden of disease in patients with Morquio A syndrome: results from an international patient-reported outcomes survey.", "type" : "article-journal", "volume" : "9" }, "uris" : [ "http://www.mendeley.com/documents/?uuid=9e5b3f66-7f49-457d-a29a-86df55c5bc6a" ] } ], "mendeley" : { "formattedCitation" : "&lt;sup&gt;4,105,115,116&lt;/sup&gt;", "plainTextFormattedCitation" : "4,105,115,116", "previouslyFormattedCitation" : "&lt;sup&gt;4,105,115,116&lt;/sup&gt;" }, "properties" : { "noteIndex" : 0 }, "schema" : "https://github.com/citation-style-language/schema/raw/master/csl-citation.json" }</w:instrText>
      </w:r>
      <w:r w:rsidR="00F005AC">
        <w:rPr>
          <w:rFonts w:ascii="Arial" w:hAnsi="Arial" w:cs="Arial"/>
          <w:sz w:val="24"/>
        </w:rPr>
        <w:fldChar w:fldCharType="separate"/>
      </w:r>
      <w:r w:rsidR="00E65B95" w:rsidRPr="00E65B95">
        <w:rPr>
          <w:rFonts w:ascii="Arial" w:hAnsi="Arial" w:cs="Arial"/>
          <w:noProof/>
          <w:sz w:val="24"/>
          <w:vertAlign w:val="superscript"/>
        </w:rPr>
        <w:t>4,105,115,116</w:t>
      </w:r>
      <w:r w:rsidR="00F005AC">
        <w:rPr>
          <w:rFonts w:ascii="Arial" w:hAnsi="Arial" w:cs="Arial"/>
          <w:sz w:val="24"/>
        </w:rPr>
        <w:fldChar w:fldCharType="end"/>
      </w:r>
      <w:r w:rsidR="000C02F5">
        <w:rPr>
          <w:rFonts w:ascii="Arial" w:hAnsi="Arial" w:cs="Arial"/>
          <w:sz w:val="24"/>
        </w:rPr>
        <w:t xml:space="preserve"> </w:t>
      </w:r>
      <w:r w:rsidR="00B61F47">
        <w:rPr>
          <w:rFonts w:ascii="Arial" w:hAnsi="Arial" w:cs="Arial"/>
          <w:sz w:val="24"/>
        </w:rPr>
        <w:t xml:space="preserve">Tal condição </w:t>
      </w:r>
      <w:r w:rsidR="0062107E">
        <w:rPr>
          <w:rFonts w:ascii="Arial" w:hAnsi="Arial" w:cs="Arial"/>
          <w:sz w:val="24"/>
        </w:rPr>
        <w:t>restringe</w:t>
      </w:r>
      <w:r w:rsidR="00B61F47">
        <w:rPr>
          <w:rFonts w:ascii="Arial" w:hAnsi="Arial" w:cs="Arial"/>
          <w:sz w:val="24"/>
        </w:rPr>
        <w:t xml:space="preserve"> esses sujeitos em suas atividades</w:t>
      </w:r>
      <w:r w:rsidR="00334AED">
        <w:rPr>
          <w:rFonts w:ascii="Arial" w:hAnsi="Arial" w:cs="Arial"/>
          <w:sz w:val="24"/>
        </w:rPr>
        <w:t xml:space="preserve"> e</w:t>
      </w:r>
      <w:r w:rsidR="0062107E">
        <w:rPr>
          <w:rFonts w:ascii="Arial" w:hAnsi="Arial" w:cs="Arial"/>
          <w:sz w:val="24"/>
        </w:rPr>
        <w:t xml:space="preserve"> os</w:t>
      </w:r>
      <w:r w:rsidR="00334AED">
        <w:rPr>
          <w:rFonts w:ascii="Arial" w:hAnsi="Arial" w:cs="Arial"/>
          <w:sz w:val="24"/>
        </w:rPr>
        <w:t xml:space="preserve"> impossibilit</w:t>
      </w:r>
      <w:r w:rsidR="0062107E">
        <w:rPr>
          <w:rFonts w:ascii="Arial" w:hAnsi="Arial" w:cs="Arial"/>
          <w:sz w:val="24"/>
        </w:rPr>
        <w:t>a</w:t>
      </w:r>
      <w:r w:rsidR="00334AED">
        <w:rPr>
          <w:rFonts w:ascii="Arial" w:hAnsi="Arial" w:cs="Arial"/>
          <w:sz w:val="24"/>
        </w:rPr>
        <w:t xml:space="preserve"> de acompanhar outros in</w:t>
      </w:r>
      <w:r w:rsidR="00BD552A">
        <w:rPr>
          <w:rFonts w:ascii="Arial" w:hAnsi="Arial" w:cs="Arial"/>
          <w:sz w:val="24"/>
        </w:rPr>
        <w:t>divíduos da mesma faixa etária,</w:t>
      </w:r>
      <w:r w:rsidR="004F1260">
        <w:rPr>
          <w:rFonts w:ascii="Arial" w:hAnsi="Arial" w:cs="Arial"/>
          <w:sz w:val="24"/>
        </w:rPr>
        <w:t xml:space="preserve"> reduzindo o convívio social e</w:t>
      </w:r>
      <w:r w:rsidR="00B61F47">
        <w:rPr>
          <w:rFonts w:ascii="Arial" w:hAnsi="Arial" w:cs="Arial"/>
          <w:sz w:val="24"/>
        </w:rPr>
        <w:t xml:space="preserve"> acarreta</w:t>
      </w:r>
      <w:r w:rsidR="00334AED">
        <w:rPr>
          <w:rFonts w:ascii="Arial" w:hAnsi="Arial" w:cs="Arial"/>
          <w:sz w:val="24"/>
        </w:rPr>
        <w:t>ndo</w:t>
      </w:r>
      <w:r w:rsidR="00B61F47">
        <w:rPr>
          <w:rFonts w:ascii="Arial" w:hAnsi="Arial" w:cs="Arial"/>
          <w:sz w:val="24"/>
        </w:rPr>
        <w:t xml:space="preserve"> prejuízos à QV</w:t>
      </w:r>
      <w:r w:rsidR="00F71CED">
        <w:rPr>
          <w:rFonts w:ascii="Arial" w:hAnsi="Arial" w:cs="Arial"/>
          <w:sz w:val="24"/>
        </w:rPr>
        <w:t xml:space="preserve"> dos mesmos</w:t>
      </w:r>
      <w:r w:rsidR="00830C3D">
        <w:rPr>
          <w:rFonts w:ascii="Arial" w:hAnsi="Arial" w:cs="Arial"/>
          <w:sz w:val="24"/>
        </w:rPr>
        <w:t>.</w:t>
      </w:r>
    </w:p>
    <w:p w:rsidR="00334AED" w:rsidRDefault="00334AED" w:rsidP="00F03F60">
      <w:pPr>
        <w:tabs>
          <w:tab w:val="left" w:pos="1418"/>
        </w:tabs>
        <w:spacing w:after="0" w:line="360" w:lineRule="auto"/>
        <w:jc w:val="both"/>
        <w:rPr>
          <w:rFonts w:ascii="Arial" w:hAnsi="Arial" w:cs="Arial"/>
          <w:sz w:val="24"/>
        </w:rPr>
      </w:pPr>
    </w:p>
    <w:p w:rsidR="00491FE1" w:rsidRDefault="00A277D2" w:rsidP="00F03F60">
      <w:pPr>
        <w:tabs>
          <w:tab w:val="left" w:pos="1418"/>
        </w:tabs>
        <w:spacing w:after="0" w:line="360" w:lineRule="auto"/>
        <w:jc w:val="both"/>
        <w:rPr>
          <w:rFonts w:ascii="Arial" w:hAnsi="Arial" w:cs="Arial"/>
          <w:sz w:val="24"/>
        </w:rPr>
      </w:pPr>
      <w:r>
        <w:rPr>
          <w:rFonts w:ascii="Arial" w:hAnsi="Arial" w:cs="Arial"/>
          <w:sz w:val="24"/>
        </w:rPr>
        <w:t>Corroborando es</w:t>
      </w:r>
      <w:r w:rsidR="0083005A">
        <w:rPr>
          <w:rFonts w:ascii="Arial" w:hAnsi="Arial" w:cs="Arial"/>
          <w:sz w:val="24"/>
        </w:rPr>
        <w:t>t</w:t>
      </w:r>
      <w:r>
        <w:rPr>
          <w:rFonts w:ascii="Arial" w:hAnsi="Arial" w:cs="Arial"/>
          <w:sz w:val="24"/>
        </w:rPr>
        <w:t xml:space="preserve">e entendimento, o </w:t>
      </w:r>
      <w:r w:rsidR="00EE5088">
        <w:rPr>
          <w:rFonts w:ascii="Arial" w:hAnsi="Arial" w:cs="Arial"/>
          <w:sz w:val="24"/>
        </w:rPr>
        <w:t>estudo</w:t>
      </w:r>
      <w:r w:rsidR="00474803">
        <w:rPr>
          <w:rFonts w:ascii="Arial" w:hAnsi="Arial" w:cs="Arial"/>
          <w:sz w:val="24"/>
        </w:rPr>
        <w:t xml:space="preserve"> realizado por Hendriksz et al.</w:t>
      </w:r>
      <w:r w:rsidR="00F005AC">
        <w:rPr>
          <w:rFonts w:ascii="Arial" w:hAnsi="Arial" w:cs="Arial"/>
          <w:sz w:val="24"/>
        </w:rPr>
        <w:fldChar w:fldCharType="begin" w:fldLock="1"/>
      </w:r>
      <w:r w:rsidR="003308C5">
        <w:rPr>
          <w:rFonts w:ascii="Arial" w:hAnsi="Arial" w:cs="Arial"/>
          <w:sz w:val="24"/>
        </w:rPr>
        <w:instrText>ADDIN CSL_CITATION { "citationItems" : [ { "id" : "ITEM-1", "itemData" : { "DOI" : "10.1186/1750-1172-9-32", "ISBN" : "1750-1172", "ISSN" : "1750-1172", "PMID" : "24602160", "abstract" : "BACKGROUND: Morquio A syndrome (or mucopolysaccharidosis IVa) is an ultra-rare multi-organ disease, resulting in significantly impaired functional capacity, mobility and quality of life (QoL). METHODS: This patient-reported outcomes survey evaluated the global burden of Morquio A among adults (\u226518 years, N = 27) and children (7-17 years, N = 36), including the impact on mobility, QoL, pain and fatigue. QoL was assessed using the general Health-Related Quality of Life (HRQoL) questionnaire (the EuroQol [EQ]-5D-5L). Pain and pain interference with daily activities were assessed using the Brief Pain Inventory Short Form (BPI-SF) in adults and the Adolescent Pediatric Pain Tool (APPT) in children. Fatigue was assessed by questioning the patients on the number of evenings in a week they felt extremely tired. RESULTS: The clinical data showed a wide heterogeneity in clinical manifestations between patients, with the majority of patients showing differing levels of endurance, short stature, bone and joint abnormalities, abnormal gait and eye problems. Mobility was considerably impaired: 44.4% of children and 85.2% of adult patients were using a wheelchair. High wheelchair reliance significantly reduced QoL. This was mainly driven by reduced scores in the Mobility, Self-care, and Usual Activity domains. The HRQoL utility values were 0.846, 0.582 and 0.057 respectively in adults not using a wheelchair, using a wheelchair only when needed and always using a wheelchair; values were 0.534, 0.664 and -0.180 respectively in children. Employed adult patients had a better HRQoL than unemployed patients (HRQoL utility value 0.640 vs. 0.275, respectively).64% of children and 74% of adult patients had joint pain; fatigue was reported by 69% of children and 63% of adults. Overall, increased mobility was associated with more severe and widespread pain and more fatigue. CONCLUSIONS: The HRQoL of Morquio A patients is mainly driven by the ability to remain independently mobile without becoming wheelchair dependent. Their QoL reduces dramatically if they always have to use their wheelchair. Even a slightly better mobility (wheelchair use only when needed) greatly improves QoL. Maintenance of functional capacity and mobility paired with better pain management are likely to improve QoL.", "author" : [ { "dropping-particle" : "", "family" : "Hendriksz", "given" : "Christian J", "non-dropping-particle" : "", "parse-names" : false, "suffix" : "" }, { "dropping-particle" : "", "family" : "Lavery", "given" : "Christine", "non-dropping-particle" : "", "parse-names" : false, "suffix" : "" }, { "dropping-particle" : "", "family" : "Coker", "given" : "Mahmut", "non-dropping-particle" : "", "parse-names" : false, "suffix" : "" }, { "dropping-particle" : "", "family" : "Ucar", "given" : "Sema Kalkan", "non-dropping-particle" : "", "parse-names" : false, "suffix" : "" }, { "dropping-particle" : "", "family" : "Jain", "given" : "Mohit", "non-dropping-particle" : "", "parse-names" : false, "suffix" : "" }, { "dropping-particle" : "", "family" : "Bell", "given" : "Lisa", "non-dropping-particle" : "", "parse-names" : false, "suffix" : "" }, { "dropping-particle" : "", "family" : "Lampe", "given" : "Christina", "non-dropping-particle" : "", "parse-names" : false, "suffix" : "" } ], "container-title" : "Orphanet journal of rare diseases", "id" : "ITEM-1", "issue" : "32", "issued" : { "date-parts" : [ [ "2014" ] ] }, "page" : "1-8", "title" : "Burden of disease in patients with Morquio A syndrome: results from an international patient-reported outcomes survey.", "type" : "article-journal", "volume" : "9" }, "uris" : [ "http://www.mendeley.com/documents/?uuid=9e5b3f66-7f49-457d-a29a-86df55c5bc6a" ] } ], "mendeley" : { "formattedCitation" : "&lt;sup&gt;116&lt;/sup&gt;", "plainTextFormattedCitation" : "116", "previouslyFormattedCitation" : "&lt;sup&gt;116&lt;/sup&gt;" }, "properties" : { "noteIndex" : 0 }, "schema" : "https://github.com/citation-style-language/schema/raw/master/csl-citation.json" }</w:instrText>
      </w:r>
      <w:r w:rsidR="00F005AC">
        <w:rPr>
          <w:rFonts w:ascii="Arial" w:hAnsi="Arial" w:cs="Arial"/>
          <w:sz w:val="24"/>
        </w:rPr>
        <w:fldChar w:fldCharType="separate"/>
      </w:r>
      <w:r w:rsidR="00E65B95" w:rsidRPr="00E65B95">
        <w:rPr>
          <w:rFonts w:ascii="Arial" w:hAnsi="Arial" w:cs="Arial"/>
          <w:noProof/>
          <w:sz w:val="24"/>
          <w:vertAlign w:val="superscript"/>
        </w:rPr>
        <w:t>116</w:t>
      </w:r>
      <w:r w:rsidR="00F005AC">
        <w:rPr>
          <w:rFonts w:ascii="Arial" w:hAnsi="Arial" w:cs="Arial"/>
          <w:sz w:val="24"/>
        </w:rPr>
        <w:fldChar w:fldCharType="end"/>
      </w:r>
      <w:r w:rsidR="00BF7926">
        <w:rPr>
          <w:rFonts w:ascii="Arial" w:hAnsi="Arial" w:cs="Arial"/>
          <w:sz w:val="24"/>
        </w:rPr>
        <w:t xml:space="preserve"> evidenciou </w:t>
      </w:r>
      <w:r w:rsidR="00F10B2A">
        <w:rPr>
          <w:rFonts w:ascii="Arial" w:hAnsi="Arial" w:cs="Arial"/>
          <w:sz w:val="24"/>
        </w:rPr>
        <w:t>associação entre</w:t>
      </w:r>
      <w:r w:rsidR="0055770B">
        <w:rPr>
          <w:rFonts w:ascii="Arial" w:hAnsi="Arial" w:cs="Arial"/>
          <w:sz w:val="24"/>
        </w:rPr>
        <w:t xml:space="preserve"> frequência da ut</w:t>
      </w:r>
      <w:r w:rsidR="00F10B2A">
        <w:rPr>
          <w:rFonts w:ascii="Arial" w:hAnsi="Arial" w:cs="Arial"/>
          <w:sz w:val="24"/>
        </w:rPr>
        <w:t>ilização de cadeiras de rodas e</w:t>
      </w:r>
      <w:r w:rsidR="0055770B">
        <w:rPr>
          <w:rFonts w:ascii="Arial" w:hAnsi="Arial" w:cs="Arial"/>
          <w:sz w:val="24"/>
        </w:rPr>
        <w:t xml:space="preserve"> QVRS. Crianças</w:t>
      </w:r>
      <w:r w:rsidR="00A9779C">
        <w:rPr>
          <w:rFonts w:ascii="Arial" w:hAnsi="Arial" w:cs="Arial"/>
          <w:sz w:val="24"/>
        </w:rPr>
        <w:t xml:space="preserve"> </w:t>
      </w:r>
      <w:r w:rsidR="002A2786">
        <w:rPr>
          <w:rFonts w:ascii="Arial" w:hAnsi="Arial" w:cs="Arial"/>
          <w:sz w:val="24"/>
        </w:rPr>
        <w:t>e adolescentes acometido</w:t>
      </w:r>
      <w:r w:rsidR="00A9779C">
        <w:rPr>
          <w:rFonts w:ascii="Arial" w:hAnsi="Arial" w:cs="Arial"/>
          <w:sz w:val="24"/>
        </w:rPr>
        <w:t>s por MPS tipo IV,</w:t>
      </w:r>
      <w:r w:rsidR="0055770B">
        <w:rPr>
          <w:rFonts w:ascii="Arial" w:hAnsi="Arial" w:cs="Arial"/>
          <w:sz w:val="24"/>
        </w:rPr>
        <w:t xml:space="preserve"> </w:t>
      </w:r>
      <w:r w:rsidR="00A9779C">
        <w:rPr>
          <w:rFonts w:ascii="Arial" w:hAnsi="Arial" w:cs="Arial"/>
          <w:sz w:val="24"/>
        </w:rPr>
        <w:t xml:space="preserve">com idade </w:t>
      </w:r>
      <w:r w:rsidR="0055770B">
        <w:rPr>
          <w:rFonts w:ascii="Arial" w:hAnsi="Arial" w:cs="Arial"/>
          <w:sz w:val="24"/>
        </w:rPr>
        <w:t>e</w:t>
      </w:r>
      <w:r w:rsidR="00A9779C">
        <w:rPr>
          <w:rFonts w:ascii="Arial" w:hAnsi="Arial" w:cs="Arial"/>
          <w:sz w:val="24"/>
        </w:rPr>
        <w:t>ntre</w:t>
      </w:r>
      <w:r w:rsidR="00DB7827">
        <w:rPr>
          <w:rFonts w:ascii="Arial" w:hAnsi="Arial" w:cs="Arial"/>
          <w:sz w:val="24"/>
        </w:rPr>
        <w:t xml:space="preserve"> 7 e</w:t>
      </w:r>
      <w:r w:rsidR="0055770B">
        <w:rPr>
          <w:rFonts w:ascii="Arial" w:hAnsi="Arial" w:cs="Arial"/>
          <w:sz w:val="24"/>
        </w:rPr>
        <w:t xml:space="preserve"> 17 anos</w:t>
      </w:r>
      <w:r w:rsidR="00A9779C">
        <w:rPr>
          <w:rFonts w:ascii="Arial" w:hAnsi="Arial" w:cs="Arial"/>
          <w:sz w:val="24"/>
        </w:rPr>
        <w:t>,</w:t>
      </w:r>
      <w:r w:rsidR="0055770B">
        <w:rPr>
          <w:rFonts w:ascii="Arial" w:hAnsi="Arial" w:cs="Arial"/>
          <w:sz w:val="24"/>
        </w:rPr>
        <w:t xml:space="preserve"> que sempre utilizavam cadeira de rodas</w:t>
      </w:r>
      <w:r w:rsidR="006B2499">
        <w:rPr>
          <w:rFonts w:ascii="Arial" w:hAnsi="Arial" w:cs="Arial"/>
          <w:sz w:val="24"/>
        </w:rPr>
        <w:t xml:space="preserve"> (13%)</w:t>
      </w:r>
      <w:r w:rsidR="00D83BBE">
        <w:rPr>
          <w:rFonts w:ascii="Arial" w:hAnsi="Arial" w:cs="Arial"/>
          <w:sz w:val="24"/>
        </w:rPr>
        <w:t>,</w:t>
      </w:r>
      <w:r w:rsidR="0055770B">
        <w:rPr>
          <w:rFonts w:ascii="Arial" w:hAnsi="Arial" w:cs="Arial"/>
          <w:sz w:val="24"/>
        </w:rPr>
        <w:t xml:space="preserve"> apresentaram </w:t>
      </w:r>
      <w:r w:rsidR="00DE3C34">
        <w:rPr>
          <w:rFonts w:ascii="Arial" w:hAnsi="Arial" w:cs="Arial"/>
          <w:sz w:val="24"/>
        </w:rPr>
        <w:t xml:space="preserve">menor escore de </w:t>
      </w:r>
      <w:r w:rsidR="002A2786">
        <w:rPr>
          <w:rFonts w:ascii="Arial" w:hAnsi="Arial" w:cs="Arial"/>
          <w:sz w:val="24"/>
        </w:rPr>
        <w:t>QVRS</w:t>
      </w:r>
      <w:r w:rsidR="00D83BBE">
        <w:rPr>
          <w:rFonts w:ascii="Arial" w:hAnsi="Arial" w:cs="Arial"/>
          <w:sz w:val="24"/>
        </w:rPr>
        <w:t xml:space="preserve"> (mensurada pelo instrumento EuroQoL),</w:t>
      </w:r>
      <w:r w:rsidR="002A2786">
        <w:rPr>
          <w:rFonts w:ascii="Arial" w:hAnsi="Arial" w:cs="Arial"/>
          <w:sz w:val="24"/>
        </w:rPr>
        <w:t xml:space="preserve"> do que aquele</w:t>
      </w:r>
      <w:r w:rsidR="0055770B">
        <w:rPr>
          <w:rFonts w:ascii="Arial" w:hAnsi="Arial" w:cs="Arial"/>
          <w:sz w:val="24"/>
        </w:rPr>
        <w:t>s que usavam a cadeira somente quando</w:t>
      </w:r>
      <w:r w:rsidR="006B2499">
        <w:rPr>
          <w:rFonts w:ascii="Arial" w:hAnsi="Arial" w:cs="Arial"/>
          <w:sz w:val="24"/>
        </w:rPr>
        <w:t xml:space="preserve"> necessário (88%).</w:t>
      </w:r>
      <w:r w:rsidR="00F005AC">
        <w:rPr>
          <w:rFonts w:ascii="Arial" w:hAnsi="Arial" w:cs="Arial"/>
          <w:sz w:val="24"/>
        </w:rPr>
        <w:fldChar w:fldCharType="begin" w:fldLock="1"/>
      </w:r>
      <w:r w:rsidR="003308C5">
        <w:rPr>
          <w:rFonts w:ascii="Arial" w:hAnsi="Arial" w:cs="Arial"/>
          <w:sz w:val="24"/>
        </w:rPr>
        <w:instrText>ADDIN CSL_CITATION { "citationItems" : [ { "id" : "ITEM-1", "itemData" : { "DOI" : "10.1186/1750-1172-9-32", "ISBN" : "1750-1172", "ISSN" : "1750-1172", "PMID" : "24602160", "abstract" : "BACKGROUND: Morquio A syndrome (or mucopolysaccharidosis IVa) is an ultra-rare multi-organ disease, resulting in significantly impaired functional capacity, mobility and quality of life (QoL). METHODS: This patient-reported outcomes survey evaluated the global burden of Morquio A among adults (\u226518 years, N = 27) and children (7-17 years, N = 36), including the impact on mobility, QoL, pain and fatigue. QoL was assessed using the general Health-Related Quality of Life (HRQoL) questionnaire (the EuroQol [EQ]-5D-5L). Pain and pain interference with daily activities were assessed using the Brief Pain Inventory Short Form (BPI-SF) in adults and the Adolescent Pediatric Pain Tool (APPT) in children. Fatigue was assessed by questioning the patients on the number of evenings in a week they felt extremely tired. RESULTS: The clinical data showed a wide heterogeneity in clinical manifestations between patients, with the majority of patients showing differing levels of endurance, short stature, bone and joint abnormalities, abnormal gait and eye problems. Mobility was considerably impaired: 44.4% of children and 85.2% of adult patients were using a wheelchair. High wheelchair reliance significantly reduced QoL. This was mainly driven by reduced scores in the Mobility, Self-care, and Usual Activity domains. The HRQoL utility values were 0.846, 0.582 and 0.057 respectively in adults not using a wheelchair, using a wheelchair only when needed and always using a wheelchair; values were 0.534, 0.664 and -0.180 respectively in children. Employed adult patients had a better HRQoL than unemployed patients (HRQoL utility value 0.640 vs. 0.275, respectively).64% of children and 74% of adult patients had joint pain; fatigue was reported by 69% of children and 63% of adults. Overall, increased mobility was associated with more severe and widespread pain and more fatigue. CONCLUSIONS: The HRQoL of Morquio A patients is mainly driven by the ability to remain independently mobile without becoming wheelchair dependent. Their QoL reduces dramatically if they always have to use their wheelchair. Even a slightly better mobility (wheelchair use only when needed) greatly improves QoL. Maintenance of functional capacity and mobility paired with better pain management are likely to improve QoL.", "author" : [ { "dropping-particle" : "", "family" : "Hendriksz", "given" : "Christian J", "non-dropping-particle" : "", "parse-names" : false, "suffix" : "" }, { "dropping-particle" : "", "family" : "Lavery", "given" : "Christine", "non-dropping-particle" : "", "parse-names" : false, "suffix" : "" }, { "dropping-particle" : "", "family" : "Coker", "given" : "Mahmut", "non-dropping-particle" : "", "parse-names" : false, "suffix" : "" }, { "dropping-particle" : "", "family" : "Ucar", "given" : "Sema Kalkan", "non-dropping-particle" : "", "parse-names" : false, "suffix" : "" }, { "dropping-particle" : "", "family" : "Jain", "given" : "Mohit", "non-dropping-particle" : "", "parse-names" : false, "suffix" : "" }, { "dropping-particle" : "", "family" : "Bell", "given" : "Lisa", "non-dropping-particle" : "", "parse-names" : false, "suffix" : "" }, { "dropping-particle" : "", "family" : "Lampe", "given" : "Christina", "non-dropping-particle" : "", "parse-names" : false, "suffix" : "" } ], "container-title" : "Orphanet journal of rare diseases", "id" : "ITEM-1", "issue" : "32", "issued" : { "date-parts" : [ [ "2014" ] ] }, "page" : "1-8", "title" : "Burden of disease in patients with Morquio A syndrome: results from an international patient-reported outcomes survey.", "type" : "article-journal", "volume" : "9" }, "uris" : [ "http://www.mendeley.com/documents/?uuid=9e5b3f66-7f49-457d-a29a-86df55c5bc6a" ] } ], "mendeley" : { "formattedCitation" : "&lt;sup&gt;116&lt;/sup&gt;", "plainTextFormattedCitation" : "116", "previouslyFormattedCitation" : "&lt;sup&gt;116&lt;/sup&gt;" }, "properties" : { "noteIndex" : 0 }, "schema" : "https://github.com/citation-style-language/schema/raw/master/csl-citation.json" }</w:instrText>
      </w:r>
      <w:r w:rsidR="00F005AC">
        <w:rPr>
          <w:rFonts w:ascii="Arial" w:hAnsi="Arial" w:cs="Arial"/>
          <w:sz w:val="24"/>
        </w:rPr>
        <w:fldChar w:fldCharType="separate"/>
      </w:r>
      <w:r w:rsidR="00E65B95" w:rsidRPr="00E65B95">
        <w:rPr>
          <w:rFonts w:ascii="Arial" w:hAnsi="Arial" w:cs="Arial"/>
          <w:noProof/>
          <w:sz w:val="24"/>
          <w:vertAlign w:val="superscript"/>
        </w:rPr>
        <w:t>116</w:t>
      </w:r>
      <w:r w:rsidR="00F005AC">
        <w:rPr>
          <w:rFonts w:ascii="Arial" w:hAnsi="Arial" w:cs="Arial"/>
          <w:sz w:val="24"/>
        </w:rPr>
        <w:fldChar w:fldCharType="end"/>
      </w:r>
      <w:r w:rsidR="000E38A8">
        <w:rPr>
          <w:rFonts w:ascii="Arial" w:hAnsi="Arial" w:cs="Arial"/>
          <w:sz w:val="24"/>
        </w:rPr>
        <w:t xml:space="preserve"> </w:t>
      </w:r>
      <w:r w:rsidR="007F5FDA" w:rsidRPr="00364704">
        <w:rPr>
          <w:rFonts w:ascii="Arial" w:hAnsi="Arial" w:cs="Arial"/>
          <w:sz w:val="24"/>
        </w:rPr>
        <w:t xml:space="preserve">Os achados do nosso estudo </w:t>
      </w:r>
      <w:r w:rsidR="007F5FDA" w:rsidRPr="00364704">
        <w:rPr>
          <w:rFonts w:ascii="Arial" w:hAnsi="Arial" w:cs="Arial"/>
          <w:sz w:val="24"/>
        </w:rPr>
        <w:lastRenderedPageBreak/>
        <w:t xml:space="preserve">evidenciaram que a dificuldade para locomoção pode ter sido o fator com maior influência </w:t>
      </w:r>
      <w:r w:rsidR="00830C3D">
        <w:rPr>
          <w:rFonts w:ascii="Arial" w:hAnsi="Arial" w:cs="Arial"/>
          <w:sz w:val="24"/>
        </w:rPr>
        <w:t xml:space="preserve">sobre </w:t>
      </w:r>
      <w:r w:rsidR="007F5FDA" w:rsidRPr="00364704">
        <w:rPr>
          <w:rFonts w:ascii="Arial" w:hAnsi="Arial" w:cs="Arial"/>
          <w:sz w:val="24"/>
        </w:rPr>
        <w:t xml:space="preserve">a percepção dos pais </w:t>
      </w:r>
      <w:r w:rsidR="00830C3D">
        <w:rPr>
          <w:rFonts w:ascii="Arial" w:hAnsi="Arial" w:cs="Arial"/>
          <w:sz w:val="24"/>
        </w:rPr>
        <w:t>quanto à</w:t>
      </w:r>
      <w:r w:rsidR="007F5FDA" w:rsidRPr="00364704">
        <w:rPr>
          <w:rFonts w:ascii="Arial" w:hAnsi="Arial" w:cs="Arial"/>
          <w:sz w:val="24"/>
        </w:rPr>
        <w:t xml:space="preserve"> capacidade física e, consequentemente, </w:t>
      </w:r>
      <w:r w:rsidR="005A05EC">
        <w:rPr>
          <w:rFonts w:ascii="Arial" w:hAnsi="Arial" w:cs="Arial"/>
          <w:sz w:val="24"/>
        </w:rPr>
        <w:t>quanto à</w:t>
      </w:r>
      <w:r w:rsidR="007F5FDA" w:rsidRPr="00364704">
        <w:rPr>
          <w:rFonts w:ascii="Arial" w:hAnsi="Arial" w:cs="Arial"/>
          <w:sz w:val="24"/>
        </w:rPr>
        <w:t xml:space="preserve"> QVRS das crianças e adolescentes com MPS. Acredita-se que esses pais percebam a QVRS de seus filhos como alterada, quer porque estão doentes ou </w:t>
      </w:r>
      <w:r w:rsidR="00537C3D">
        <w:rPr>
          <w:rFonts w:ascii="Arial" w:hAnsi="Arial" w:cs="Arial"/>
          <w:sz w:val="24"/>
        </w:rPr>
        <w:t>por causa d</w:t>
      </w:r>
      <w:r w:rsidR="007F5FDA" w:rsidRPr="00364704">
        <w:rPr>
          <w:rFonts w:ascii="Arial" w:hAnsi="Arial" w:cs="Arial"/>
          <w:sz w:val="24"/>
        </w:rPr>
        <w:t>a repercussão significativa que a dependência funcional gera aos pacientes</w:t>
      </w:r>
      <w:r w:rsidR="005C2681">
        <w:rPr>
          <w:rFonts w:ascii="Arial" w:hAnsi="Arial" w:cs="Arial"/>
          <w:sz w:val="24"/>
        </w:rPr>
        <w:t>, especialmente a condição de limitação e/ou incapacidade p</w:t>
      </w:r>
      <w:r w:rsidR="00C04844">
        <w:rPr>
          <w:rFonts w:ascii="Arial" w:hAnsi="Arial" w:cs="Arial"/>
          <w:sz w:val="24"/>
        </w:rPr>
        <w:t xml:space="preserve">ara </w:t>
      </w:r>
      <w:r w:rsidR="000B10AB">
        <w:rPr>
          <w:rFonts w:ascii="Arial" w:hAnsi="Arial" w:cs="Arial"/>
          <w:sz w:val="24"/>
        </w:rPr>
        <w:t xml:space="preserve">locomover-se e, também, </w:t>
      </w:r>
      <w:r w:rsidR="00C04844">
        <w:rPr>
          <w:rFonts w:ascii="Arial" w:hAnsi="Arial" w:cs="Arial"/>
          <w:sz w:val="24"/>
        </w:rPr>
        <w:t>desempenhar o autocuidado</w:t>
      </w:r>
      <w:r w:rsidR="007F5FDA" w:rsidRPr="00364704">
        <w:rPr>
          <w:rFonts w:ascii="Arial" w:hAnsi="Arial" w:cs="Arial"/>
          <w:sz w:val="24"/>
        </w:rPr>
        <w:t>.</w:t>
      </w:r>
    </w:p>
    <w:p w:rsidR="00491FE1" w:rsidRDefault="00491FE1" w:rsidP="00F03F60">
      <w:pPr>
        <w:tabs>
          <w:tab w:val="left" w:pos="1418"/>
        </w:tabs>
        <w:spacing w:after="0" w:line="360" w:lineRule="auto"/>
        <w:jc w:val="both"/>
        <w:rPr>
          <w:rFonts w:ascii="Arial" w:hAnsi="Arial" w:cs="Arial"/>
          <w:sz w:val="24"/>
        </w:rPr>
      </w:pPr>
    </w:p>
    <w:p w:rsidR="00E073E8" w:rsidRDefault="00DE59B9" w:rsidP="00F03F60">
      <w:pPr>
        <w:tabs>
          <w:tab w:val="left" w:pos="1418"/>
        </w:tabs>
        <w:spacing w:after="0" w:line="360" w:lineRule="auto"/>
        <w:jc w:val="both"/>
        <w:rPr>
          <w:rFonts w:ascii="Arial" w:hAnsi="Arial" w:cs="Arial"/>
          <w:sz w:val="24"/>
        </w:rPr>
      </w:pPr>
      <w:r>
        <w:rPr>
          <w:rFonts w:ascii="Arial" w:hAnsi="Arial" w:cs="Arial"/>
          <w:sz w:val="24"/>
        </w:rPr>
        <w:t xml:space="preserve">A </w:t>
      </w:r>
      <w:r w:rsidR="00093B85">
        <w:rPr>
          <w:rFonts w:ascii="Arial" w:hAnsi="Arial" w:cs="Arial"/>
          <w:sz w:val="24"/>
        </w:rPr>
        <w:t>limita</w:t>
      </w:r>
      <w:r>
        <w:rPr>
          <w:rFonts w:ascii="Arial" w:hAnsi="Arial" w:cs="Arial"/>
          <w:sz w:val="24"/>
        </w:rPr>
        <w:t>ção para</w:t>
      </w:r>
      <w:r w:rsidR="00F05843">
        <w:rPr>
          <w:rFonts w:ascii="Arial" w:hAnsi="Arial" w:cs="Arial"/>
          <w:sz w:val="24"/>
        </w:rPr>
        <w:t xml:space="preserve"> deambula</w:t>
      </w:r>
      <w:r w:rsidR="004A2840">
        <w:rPr>
          <w:rFonts w:ascii="Arial" w:hAnsi="Arial" w:cs="Arial"/>
          <w:sz w:val="24"/>
        </w:rPr>
        <w:t>r</w:t>
      </w:r>
      <w:r w:rsidR="00F05843">
        <w:rPr>
          <w:rFonts w:ascii="Arial" w:hAnsi="Arial" w:cs="Arial"/>
          <w:sz w:val="24"/>
        </w:rPr>
        <w:t xml:space="preserve"> ou para</w:t>
      </w:r>
      <w:r>
        <w:rPr>
          <w:rFonts w:ascii="Arial" w:hAnsi="Arial" w:cs="Arial"/>
          <w:sz w:val="24"/>
        </w:rPr>
        <w:t xml:space="preserve"> postura em ortostase</w:t>
      </w:r>
      <w:r w:rsidR="002F2763">
        <w:rPr>
          <w:rFonts w:ascii="Arial" w:hAnsi="Arial" w:cs="Arial"/>
          <w:sz w:val="24"/>
        </w:rPr>
        <w:t xml:space="preserve">, em razão de deformidades nas extremidades inferiores (pé equino), semiflexão de joelhos e redução da mobilidade articular, são algumas das alterações físicas que podem ocorrer em pacientes </w:t>
      </w:r>
      <w:r w:rsidR="00F05843">
        <w:rPr>
          <w:rFonts w:ascii="Arial" w:hAnsi="Arial" w:cs="Arial"/>
          <w:sz w:val="24"/>
        </w:rPr>
        <w:t>com</w:t>
      </w:r>
      <w:r w:rsidR="002F2763">
        <w:rPr>
          <w:rFonts w:ascii="Arial" w:hAnsi="Arial" w:cs="Arial"/>
          <w:sz w:val="24"/>
        </w:rPr>
        <w:t xml:space="preserve"> MPS.</w:t>
      </w:r>
      <w:r w:rsidR="00E2368F">
        <w:rPr>
          <w:rFonts w:ascii="Arial" w:hAnsi="Arial" w:cs="Arial"/>
          <w:sz w:val="24"/>
        </w:rPr>
        <w:fldChar w:fldCharType="begin" w:fldLock="1"/>
      </w:r>
      <w:r w:rsidR="003308C5">
        <w:rPr>
          <w:rFonts w:ascii="Arial" w:hAnsi="Arial" w:cs="Arial"/>
          <w:sz w:val="24"/>
        </w:rPr>
        <w:instrText>ADDIN CSL_CITATION { "citationItems" : [ { "id" : "ITEM-1", "itemData" : { "DOI" : "10.1093/rheumatology/ker397", "author" : [ { "dropping-particle" : "", "family" : "Morishita", "given" : "K", "non-dropping-particle" : "", "parse-names" : false, "suffix" : "" }, { "dropping-particle" : "", "family" : "Petty", "given" : "RE", "non-dropping-particle" : "", "parse-names" : false, "suffix" : "" } ], "container-title" : "Rheumatology", "id" : "ITEM-1", "issue" : "Suppl 5", "issued" : { "date-parts" : [ [ "2011" ] ] }, "page" : "19-25", "title" : "Musculoskeletal manifestations of mucopolysaccharidoses", "type" : "article-journal", "volume" : "50" }, "uris" : [ "http://www.mendeley.com/documents/?uuid=deb80bd9-3fe3-49bf-bc11-5fe3c2e330ac" ] } ], "mendeley" : { "formattedCitation" : "&lt;sup&gt;117&lt;/sup&gt;", "plainTextFormattedCitation" : "117", "previouslyFormattedCitation" : "&lt;sup&gt;117&lt;/sup&gt;" }, "properties" : { "noteIndex" : 0 }, "schema" : "https://github.com/citation-style-language/schema/raw/master/csl-citation.json" }</w:instrText>
      </w:r>
      <w:r w:rsidR="00E2368F">
        <w:rPr>
          <w:rFonts w:ascii="Arial" w:hAnsi="Arial" w:cs="Arial"/>
          <w:sz w:val="24"/>
        </w:rPr>
        <w:fldChar w:fldCharType="separate"/>
      </w:r>
      <w:r w:rsidR="00E65B95" w:rsidRPr="00E65B95">
        <w:rPr>
          <w:rFonts w:ascii="Arial" w:hAnsi="Arial" w:cs="Arial"/>
          <w:noProof/>
          <w:sz w:val="24"/>
          <w:vertAlign w:val="superscript"/>
        </w:rPr>
        <w:t>117</w:t>
      </w:r>
      <w:r w:rsidR="00E2368F">
        <w:rPr>
          <w:rFonts w:ascii="Arial" w:hAnsi="Arial" w:cs="Arial"/>
          <w:sz w:val="24"/>
        </w:rPr>
        <w:fldChar w:fldCharType="end"/>
      </w:r>
      <w:r w:rsidR="002F2763">
        <w:rPr>
          <w:rFonts w:ascii="Arial" w:hAnsi="Arial" w:cs="Arial"/>
          <w:sz w:val="24"/>
        </w:rPr>
        <w:t xml:space="preserve"> À medida que esses fatores evoluem, os indivíduos tornam-se </w:t>
      </w:r>
      <w:r>
        <w:rPr>
          <w:rFonts w:ascii="Arial" w:hAnsi="Arial" w:cs="Arial"/>
          <w:sz w:val="24"/>
        </w:rPr>
        <w:t xml:space="preserve">dependentes para </w:t>
      </w:r>
      <w:r w:rsidR="00B759BB">
        <w:rPr>
          <w:rFonts w:ascii="Arial" w:hAnsi="Arial" w:cs="Arial"/>
          <w:sz w:val="24"/>
        </w:rPr>
        <w:t>realizar</w:t>
      </w:r>
      <w:r>
        <w:rPr>
          <w:rFonts w:ascii="Arial" w:hAnsi="Arial" w:cs="Arial"/>
          <w:sz w:val="24"/>
        </w:rPr>
        <w:t xml:space="preserve"> tarefas diárias e limitados para</w:t>
      </w:r>
      <w:r w:rsidR="007B537C">
        <w:rPr>
          <w:rFonts w:ascii="Arial" w:hAnsi="Arial" w:cs="Arial"/>
          <w:sz w:val="24"/>
        </w:rPr>
        <w:t xml:space="preserve"> </w:t>
      </w:r>
      <w:r w:rsidR="002F2763">
        <w:rPr>
          <w:rFonts w:ascii="Arial" w:hAnsi="Arial" w:cs="Arial"/>
          <w:sz w:val="24"/>
        </w:rPr>
        <w:t xml:space="preserve">atividades recreativas comuns à sua </w:t>
      </w:r>
      <w:r w:rsidR="008B6290">
        <w:rPr>
          <w:rFonts w:ascii="Arial" w:hAnsi="Arial" w:cs="Arial"/>
          <w:sz w:val="24"/>
        </w:rPr>
        <w:t>idade</w:t>
      </w:r>
      <w:r w:rsidR="00B8785B">
        <w:rPr>
          <w:rFonts w:ascii="Arial" w:hAnsi="Arial" w:cs="Arial"/>
          <w:sz w:val="24"/>
        </w:rPr>
        <w:t>,</w:t>
      </w:r>
      <w:r w:rsidR="002F2763">
        <w:rPr>
          <w:rFonts w:ascii="Arial" w:hAnsi="Arial" w:cs="Arial"/>
          <w:sz w:val="24"/>
        </w:rPr>
        <w:t xml:space="preserve"> como correr, andar </w:t>
      </w:r>
      <w:r w:rsidR="006363B3">
        <w:rPr>
          <w:rFonts w:ascii="Arial" w:hAnsi="Arial" w:cs="Arial"/>
          <w:sz w:val="24"/>
        </w:rPr>
        <w:t>de bicicleta, praticar esportes;</w:t>
      </w:r>
      <w:r w:rsidR="002F2763">
        <w:rPr>
          <w:rFonts w:ascii="Arial" w:hAnsi="Arial" w:cs="Arial"/>
          <w:sz w:val="24"/>
        </w:rPr>
        <w:t xml:space="preserve"> ou ainda</w:t>
      </w:r>
      <w:r w:rsidR="006363B3">
        <w:rPr>
          <w:rFonts w:ascii="Arial" w:hAnsi="Arial" w:cs="Arial"/>
          <w:sz w:val="24"/>
        </w:rPr>
        <w:t>,</w:t>
      </w:r>
      <w:r w:rsidR="002F2763">
        <w:rPr>
          <w:rFonts w:ascii="Arial" w:hAnsi="Arial" w:cs="Arial"/>
          <w:sz w:val="24"/>
        </w:rPr>
        <w:t xml:space="preserve"> </w:t>
      </w:r>
      <w:r>
        <w:rPr>
          <w:rFonts w:ascii="Arial" w:hAnsi="Arial" w:cs="Arial"/>
          <w:sz w:val="24"/>
        </w:rPr>
        <w:t>para</w:t>
      </w:r>
      <w:r w:rsidR="006363B3">
        <w:rPr>
          <w:rFonts w:ascii="Arial" w:hAnsi="Arial" w:cs="Arial"/>
          <w:sz w:val="24"/>
        </w:rPr>
        <w:t xml:space="preserve"> participação em</w:t>
      </w:r>
      <w:r>
        <w:rPr>
          <w:rFonts w:ascii="Arial" w:hAnsi="Arial" w:cs="Arial"/>
          <w:sz w:val="24"/>
        </w:rPr>
        <w:t xml:space="preserve"> </w:t>
      </w:r>
      <w:r w:rsidR="002F2763">
        <w:rPr>
          <w:rFonts w:ascii="Arial" w:hAnsi="Arial" w:cs="Arial"/>
          <w:sz w:val="24"/>
        </w:rPr>
        <w:t>atividades escolares,</w:t>
      </w:r>
      <w:r w:rsidR="00FE10E2">
        <w:rPr>
          <w:rFonts w:ascii="Arial" w:hAnsi="Arial" w:cs="Arial"/>
          <w:sz w:val="24"/>
        </w:rPr>
        <w:t xml:space="preserve"> a exemplo </w:t>
      </w:r>
      <w:r w:rsidR="00E37EBA">
        <w:rPr>
          <w:rFonts w:ascii="Arial" w:hAnsi="Arial" w:cs="Arial"/>
          <w:sz w:val="24"/>
        </w:rPr>
        <w:t>das aulas de</w:t>
      </w:r>
      <w:r w:rsidR="002F2763">
        <w:rPr>
          <w:rFonts w:ascii="Arial" w:hAnsi="Arial" w:cs="Arial"/>
          <w:sz w:val="24"/>
        </w:rPr>
        <w:t xml:space="preserve"> educação física</w:t>
      </w:r>
      <w:r w:rsidR="00771F20">
        <w:rPr>
          <w:rFonts w:ascii="Arial" w:hAnsi="Arial" w:cs="Arial"/>
          <w:sz w:val="24"/>
        </w:rPr>
        <w:t>.</w:t>
      </w:r>
      <w:r w:rsidR="00F550E0">
        <w:rPr>
          <w:rFonts w:ascii="Arial" w:hAnsi="Arial" w:cs="Arial"/>
          <w:sz w:val="24"/>
        </w:rPr>
        <w:t xml:space="preserve"> </w:t>
      </w:r>
      <w:r w:rsidR="00A23BC7">
        <w:rPr>
          <w:rFonts w:ascii="Arial" w:hAnsi="Arial" w:cs="Arial"/>
          <w:sz w:val="24"/>
        </w:rPr>
        <w:t>É not</w:t>
      </w:r>
      <w:r w:rsidR="00C81E3E">
        <w:rPr>
          <w:rFonts w:ascii="Arial" w:hAnsi="Arial" w:cs="Arial"/>
          <w:sz w:val="24"/>
        </w:rPr>
        <w:t>óri</w:t>
      </w:r>
      <w:r w:rsidR="00A277D2">
        <w:rPr>
          <w:rFonts w:ascii="Arial" w:hAnsi="Arial" w:cs="Arial"/>
          <w:sz w:val="24"/>
        </w:rPr>
        <w:t>a</w:t>
      </w:r>
      <w:r w:rsidR="00A23BC7">
        <w:rPr>
          <w:rFonts w:ascii="Arial" w:hAnsi="Arial" w:cs="Arial"/>
          <w:sz w:val="24"/>
        </w:rPr>
        <w:t xml:space="preserve">, portanto, </w:t>
      </w:r>
      <w:r w:rsidR="00C81E3E">
        <w:rPr>
          <w:rFonts w:ascii="Arial" w:hAnsi="Arial" w:cs="Arial"/>
          <w:sz w:val="24"/>
        </w:rPr>
        <w:t>a repercussão da</w:t>
      </w:r>
      <w:r w:rsidR="00F550E0">
        <w:rPr>
          <w:rFonts w:ascii="Arial" w:hAnsi="Arial" w:cs="Arial"/>
          <w:sz w:val="24"/>
        </w:rPr>
        <w:t>s alterações produzidas pela</w:t>
      </w:r>
      <w:r w:rsidR="00C81E3E">
        <w:rPr>
          <w:rFonts w:ascii="Arial" w:hAnsi="Arial" w:cs="Arial"/>
          <w:sz w:val="24"/>
        </w:rPr>
        <w:t xml:space="preserve"> MPS não apenas sobre a condição física dos pacientes, mas</w:t>
      </w:r>
      <w:r w:rsidR="00C855E0">
        <w:rPr>
          <w:rFonts w:ascii="Arial" w:hAnsi="Arial" w:cs="Arial"/>
          <w:sz w:val="24"/>
        </w:rPr>
        <w:t>,</w:t>
      </w:r>
      <w:r w:rsidR="00C81E3E">
        <w:rPr>
          <w:rFonts w:ascii="Arial" w:hAnsi="Arial" w:cs="Arial"/>
          <w:sz w:val="24"/>
        </w:rPr>
        <w:t xml:space="preserve"> também</w:t>
      </w:r>
      <w:r w:rsidR="00C855E0">
        <w:rPr>
          <w:rFonts w:ascii="Arial" w:hAnsi="Arial" w:cs="Arial"/>
          <w:sz w:val="24"/>
        </w:rPr>
        <w:t>,</w:t>
      </w:r>
      <w:r w:rsidR="008A3FF1">
        <w:rPr>
          <w:rFonts w:ascii="Arial" w:hAnsi="Arial" w:cs="Arial"/>
          <w:sz w:val="24"/>
        </w:rPr>
        <w:t xml:space="preserve"> quanto à restrição da interação e participação social dos mesmos.</w:t>
      </w:r>
    </w:p>
    <w:p w:rsidR="004F4CB9" w:rsidRDefault="004F4CB9" w:rsidP="00F03F60">
      <w:pPr>
        <w:tabs>
          <w:tab w:val="left" w:pos="1418"/>
        </w:tabs>
        <w:spacing w:after="0" w:line="360" w:lineRule="auto"/>
        <w:jc w:val="both"/>
        <w:rPr>
          <w:rFonts w:ascii="Arial" w:hAnsi="Arial" w:cs="Arial"/>
          <w:sz w:val="24"/>
        </w:rPr>
      </w:pPr>
    </w:p>
    <w:p w:rsidR="004F4CB9" w:rsidRPr="00DE66AE" w:rsidRDefault="004F4CB9" w:rsidP="004F4CB9">
      <w:pPr>
        <w:spacing w:after="0" w:line="360" w:lineRule="auto"/>
        <w:jc w:val="both"/>
        <w:rPr>
          <w:rFonts w:ascii="Arial" w:hAnsi="Arial" w:cs="Arial"/>
          <w:sz w:val="24"/>
        </w:rPr>
      </w:pPr>
      <w:r w:rsidRPr="00DE66AE">
        <w:rPr>
          <w:rFonts w:ascii="Arial" w:hAnsi="Arial" w:cs="Arial"/>
          <w:sz w:val="24"/>
        </w:rPr>
        <w:t>Acredita</w:t>
      </w:r>
      <w:r w:rsidR="008B6290" w:rsidRPr="00DE66AE">
        <w:rPr>
          <w:rFonts w:ascii="Arial" w:hAnsi="Arial" w:cs="Arial"/>
          <w:sz w:val="24"/>
        </w:rPr>
        <w:t>mos</w:t>
      </w:r>
      <w:r w:rsidRPr="00DE66AE">
        <w:rPr>
          <w:rFonts w:ascii="Arial" w:hAnsi="Arial" w:cs="Arial"/>
          <w:sz w:val="24"/>
        </w:rPr>
        <w:t xml:space="preserve"> que o quadro de dependência funcional observado entre os participantes deste estudo provém do acometimento multissistêmico e do caráter crônico e progressivo da MPS. Somado a isto, o atraso </w:t>
      </w:r>
      <w:r w:rsidR="00200715" w:rsidRPr="00DE66AE">
        <w:rPr>
          <w:rFonts w:ascii="Arial" w:hAnsi="Arial" w:cs="Arial"/>
          <w:sz w:val="24"/>
        </w:rPr>
        <w:t xml:space="preserve">no </w:t>
      </w:r>
      <w:r w:rsidRPr="00DE66AE">
        <w:rPr>
          <w:rFonts w:ascii="Arial" w:hAnsi="Arial" w:cs="Arial"/>
          <w:sz w:val="24"/>
        </w:rPr>
        <w:t>diagnóstico desta doença no Brasil e as condições de assistência em saúde e de suporte social, oferecidas no interior do Estado e, também, na capital baiana, relacionam-se ao agravo clínico e às repercussões</w:t>
      </w:r>
      <w:r w:rsidR="00590C98" w:rsidRPr="00DE66AE">
        <w:rPr>
          <w:rFonts w:ascii="Arial" w:hAnsi="Arial" w:cs="Arial"/>
          <w:sz w:val="24"/>
        </w:rPr>
        <w:t xml:space="preserve"> das manifestações</w:t>
      </w:r>
      <w:r w:rsidRPr="00DE66AE">
        <w:rPr>
          <w:rFonts w:ascii="Arial" w:hAnsi="Arial" w:cs="Arial"/>
          <w:sz w:val="24"/>
        </w:rPr>
        <w:t xml:space="preserve"> na funcionalidade e na QV dos pacientes.</w:t>
      </w:r>
    </w:p>
    <w:p w:rsidR="004F4CB9" w:rsidRPr="00DE66AE" w:rsidRDefault="004F4CB9" w:rsidP="004F4CB9">
      <w:pPr>
        <w:spacing w:after="0" w:line="360" w:lineRule="auto"/>
        <w:jc w:val="both"/>
        <w:rPr>
          <w:rFonts w:ascii="Arial" w:hAnsi="Arial" w:cs="Arial"/>
          <w:sz w:val="24"/>
        </w:rPr>
      </w:pPr>
    </w:p>
    <w:p w:rsidR="004F4CB9" w:rsidRDefault="004F4CB9" w:rsidP="004F4CB9">
      <w:pPr>
        <w:spacing w:after="0" w:line="360" w:lineRule="auto"/>
        <w:jc w:val="both"/>
        <w:rPr>
          <w:rFonts w:ascii="Arial" w:hAnsi="Arial" w:cs="Arial"/>
          <w:sz w:val="24"/>
        </w:rPr>
      </w:pPr>
      <w:r w:rsidRPr="00DE66AE">
        <w:rPr>
          <w:rFonts w:ascii="Arial" w:hAnsi="Arial" w:cs="Arial"/>
          <w:sz w:val="24"/>
        </w:rPr>
        <w:t xml:space="preserve">Para esta pesquisa, levanta-se a hipótese de que a correlação significativa evidenciada entre a MIF e a QVRS de crianças e adolescentes diagnosticados com MPS pode ser explicada pela forma como a doença agride esses sujeitos, limitando-os quanto ao desenvolvimento </w:t>
      </w:r>
      <w:r w:rsidR="005B68BC" w:rsidRPr="00DE66AE">
        <w:rPr>
          <w:rFonts w:ascii="Arial" w:hAnsi="Arial" w:cs="Arial"/>
          <w:sz w:val="24"/>
        </w:rPr>
        <w:t>neuro</w:t>
      </w:r>
      <w:r w:rsidRPr="00DE66AE">
        <w:rPr>
          <w:rFonts w:ascii="Arial" w:hAnsi="Arial" w:cs="Arial"/>
          <w:sz w:val="24"/>
        </w:rPr>
        <w:t>motor e realização de tarefas básicas d</w:t>
      </w:r>
      <w:r w:rsidR="001A0874">
        <w:rPr>
          <w:rFonts w:ascii="Arial" w:hAnsi="Arial" w:cs="Arial"/>
          <w:sz w:val="24"/>
        </w:rPr>
        <w:t>o cotidiano</w:t>
      </w:r>
      <w:r w:rsidRPr="00DE66AE">
        <w:rPr>
          <w:rFonts w:ascii="Arial" w:hAnsi="Arial" w:cs="Arial"/>
          <w:sz w:val="24"/>
        </w:rPr>
        <w:t xml:space="preserve">. Esta condição torna os pacientes dependentes da assistência de outra pessoa, ou da utilização de instrumentos de </w:t>
      </w:r>
      <w:r w:rsidR="00A170D3" w:rsidRPr="00DE66AE">
        <w:rPr>
          <w:rFonts w:ascii="Arial" w:hAnsi="Arial" w:cs="Arial"/>
          <w:sz w:val="24"/>
        </w:rPr>
        <w:t>auxílio</w:t>
      </w:r>
      <w:r w:rsidRPr="00DE66AE">
        <w:rPr>
          <w:rFonts w:ascii="Arial" w:hAnsi="Arial" w:cs="Arial"/>
          <w:sz w:val="24"/>
        </w:rPr>
        <w:t xml:space="preserve">; e, desperta, nesses indivíduos, a impressão de inferioridade em relação aos seus pares, interferindo também nos </w:t>
      </w:r>
      <w:r w:rsidRPr="00DE66AE">
        <w:rPr>
          <w:rFonts w:ascii="Arial" w:hAnsi="Arial" w:cs="Arial"/>
          <w:sz w:val="24"/>
        </w:rPr>
        <w:lastRenderedPageBreak/>
        <w:t>aspectos emocional e social destes</w:t>
      </w:r>
      <w:r w:rsidR="008369EB" w:rsidRPr="00DE66AE">
        <w:rPr>
          <w:rFonts w:ascii="Arial" w:hAnsi="Arial" w:cs="Arial"/>
          <w:sz w:val="24"/>
        </w:rPr>
        <w:t xml:space="preserve">, </w:t>
      </w:r>
      <w:r w:rsidRPr="00DE66AE">
        <w:rPr>
          <w:rFonts w:ascii="Arial" w:hAnsi="Arial" w:cs="Arial"/>
          <w:sz w:val="24"/>
        </w:rPr>
        <w:t>o que reforça a necessidade d</w:t>
      </w:r>
      <w:r w:rsidR="00D52803" w:rsidRPr="00DE66AE">
        <w:rPr>
          <w:rFonts w:ascii="Arial" w:hAnsi="Arial" w:cs="Arial"/>
          <w:sz w:val="24"/>
        </w:rPr>
        <w:t>e intervenção multiprofissional</w:t>
      </w:r>
      <w:r w:rsidR="008369EB" w:rsidRPr="00DE66AE">
        <w:rPr>
          <w:rFonts w:ascii="Arial" w:hAnsi="Arial" w:cs="Arial"/>
          <w:sz w:val="24"/>
        </w:rPr>
        <w:t xml:space="preserve"> para esta população.</w:t>
      </w:r>
    </w:p>
    <w:p w:rsidR="004F4CB9" w:rsidRDefault="004F4CB9" w:rsidP="004F4CB9">
      <w:pPr>
        <w:spacing w:after="0" w:line="360" w:lineRule="auto"/>
        <w:jc w:val="both"/>
        <w:rPr>
          <w:rFonts w:ascii="Arial" w:hAnsi="Arial" w:cs="Arial"/>
          <w:sz w:val="24"/>
        </w:rPr>
      </w:pPr>
    </w:p>
    <w:p w:rsidR="004F4CB9" w:rsidRDefault="004F4CB9" w:rsidP="004F4CB9">
      <w:pPr>
        <w:tabs>
          <w:tab w:val="left" w:pos="1418"/>
        </w:tabs>
        <w:spacing w:after="0" w:line="360" w:lineRule="auto"/>
        <w:jc w:val="both"/>
        <w:rPr>
          <w:rFonts w:ascii="Arial" w:hAnsi="Arial" w:cs="Arial"/>
          <w:sz w:val="24"/>
        </w:rPr>
      </w:pPr>
      <w:r>
        <w:rPr>
          <w:rFonts w:ascii="Arial" w:hAnsi="Arial" w:cs="Arial"/>
          <w:sz w:val="24"/>
        </w:rPr>
        <w:t>Os programas terapêuticos para condução de pacientes acometidos por MPS devem estar fundamentados em dois pilares: na TRE – método já estabelecido para as MPS tipo I, II, IV-A, VI e VII; e nas terapias de suporte com abordagem multidisciplinar, sob a intervenção de profissionais da área médica, fisioterapêutica, fonoaudiológica, terapia ocupacional e psicologia, visando a melhoria do desempenho funcional e do bem-estar emocional e social desses pacientes. Acredita-se que maior conhecimento a respeito da influência da limitação funcional na QVRS seja essencial para subsidiar a modificação de protocolos de terapêutica e reabilitação.</w:t>
      </w:r>
    </w:p>
    <w:p w:rsidR="004F4CB9" w:rsidRDefault="004F4CB9" w:rsidP="004F4CB9">
      <w:pPr>
        <w:tabs>
          <w:tab w:val="left" w:pos="1418"/>
        </w:tabs>
        <w:spacing w:after="0" w:line="360" w:lineRule="auto"/>
        <w:jc w:val="both"/>
        <w:rPr>
          <w:rFonts w:ascii="Arial" w:hAnsi="Arial" w:cs="Arial"/>
          <w:sz w:val="24"/>
        </w:rPr>
      </w:pPr>
    </w:p>
    <w:p w:rsidR="004F4CB9" w:rsidRDefault="004F4CB9" w:rsidP="004F4CB9">
      <w:pPr>
        <w:spacing w:after="0" w:line="360" w:lineRule="auto"/>
        <w:jc w:val="both"/>
        <w:rPr>
          <w:rFonts w:ascii="Arial" w:hAnsi="Arial" w:cs="Arial"/>
          <w:sz w:val="24"/>
        </w:rPr>
      </w:pPr>
      <w:r>
        <w:rPr>
          <w:rFonts w:ascii="Arial" w:hAnsi="Arial" w:cs="Arial"/>
          <w:sz w:val="24"/>
        </w:rPr>
        <w:t xml:space="preserve">Sendo assim, a reabilitação, especificamente a funcional, não deve estar empenhada somente na correção de alterações anatômicas e/ou clínicas propriamente ditas, mas na possibilidade de aprimorar as habilidades funcionais dos indivíduos, de acordo às suas necessidades específicas. </w:t>
      </w:r>
      <w:r w:rsidR="00DF56C1">
        <w:rPr>
          <w:rFonts w:ascii="Arial" w:hAnsi="Arial" w:cs="Arial"/>
          <w:sz w:val="24"/>
        </w:rPr>
        <w:t>E</w:t>
      </w:r>
      <w:r>
        <w:rPr>
          <w:rFonts w:ascii="Arial" w:hAnsi="Arial" w:cs="Arial"/>
          <w:sz w:val="24"/>
        </w:rPr>
        <w:t xml:space="preserve">stes programas deverão, portanto, fornecer informações sobre a progressão da doença e proporcionar intervenção direta sobre a condição de incapacidade e/ou limitação física para realização de atividades diárias, principalmente àquelas relacionadas ao autocuidado; mobilidade/transferências; locomoção; e cognição social – aspectos comprometidos junto aos pacientes com MPS, como </w:t>
      </w:r>
      <w:r w:rsidR="00837FF8">
        <w:rPr>
          <w:rFonts w:ascii="Arial" w:hAnsi="Arial" w:cs="Arial"/>
          <w:sz w:val="24"/>
        </w:rPr>
        <w:t>indicam os achados deste estudo</w:t>
      </w:r>
      <w:r w:rsidR="00C67B42">
        <w:rPr>
          <w:rFonts w:ascii="Arial" w:hAnsi="Arial" w:cs="Arial"/>
          <w:sz w:val="24"/>
        </w:rPr>
        <w:t>. E,</w:t>
      </w:r>
      <w:r w:rsidR="00837FF8">
        <w:rPr>
          <w:rFonts w:ascii="Arial" w:hAnsi="Arial" w:cs="Arial"/>
          <w:sz w:val="24"/>
        </w:rPr>
        <w:t xml:space="preserve"> também, proporcionar modificações quanto à função cardíaca e capacidade respiratória, comumente </w:t>
      </w:r>
      <w:r w:rsidR="002C5EC9">
        <w:rPr>
          <w:rFonts w:ascii="Arial" w:hAnsi="Arial" w:cs="Arial"/>
          <w:sz w:val="24"/>
        </w:rPr>
        <w:t>afetadas</w:t>
      </w:r>
      <w:r w:rsidR="00837FF8">
        <w:rPr>
          <w:rFonts w:ascii="Arial" w:hAnsi="Arial" w:cs="Arial"/>
          <w:sz w:val="24"/>
        </w:rPr>
        <w:t xml:space="preserve"> em virtude das </w:t>
      </w:r>
      <w:r w:rsidR="002C5EC9">
        <w:rPr>
          <w:rFonts w:ascii="Arial" w:hAnsi="Arial" w:cs="Arial"/>
          <w:sz w:val="24"/>
        </w:rPr>
        <w:t>alter</w:t>
      </w:r>
      <w:r w:rsidR="00837FF8">
        <w:rPr>
          <w:rFonts w:ascii="Arial" w:hAnsi="Arial" w:cs="Arial"/>
          <w:sz w:val="24"/>
        </w:rPr>
        <w:t>ações impostas pela doença.</w:t>
      </w:r>
    </w:p>
    <w:p w:rsidR="004F4CB9" w:rsidRDefault="004F4CB9" w:rsidP="004F4CB9">
      <w:pPr>
        <w:tabs>
          <w:tab w:val="left" w:pos="1418"/>
        </w:tabs>
        <w:spacing w:after="0" w:line="360" w:lineRule="auto"/>
        <w:jc w:val="both"/>
        <w:rPr>
          <w:rFonts w:ascii="Arial" w:hAnsi="Arial" w:cs="Arial"/>
          <w:sz w:val="24"/>
        </w:rPr>
      </w:pPr>
    </w:p>
    <w:p w:rsidR="004F4CB9" w:rsidRDefault="004F4CB9" w:rsidP="004F4CB9">
      <w:pPr>
        <w:spacing w:after="0" w:line="360" w:lineRule="auto"/>
        <w:jc w:val="both"/>
        <w:rPr>
          <w:rFonts w:ascii="Arial" w:hAnsi="Arial" w:cs="Arial"/>
          <w:sz w:val="24"/>
        </w:rPr>
      </w:pPr>
      <w:r>
        <w:rPr>
          <w:rFonts w:ascii="Arial" w:hAnsi="Arial" w:cs="Arial"/>
          <w:sz w:val="24"/>
        </w:rPr>
        <w:t xml:space="preserve">A presente pesquisa não avaliou a adesão das crianças e adolescentes deste estudo a programas de reabilitação. No entanto, torna-se necessário destacar a relevância da reabilitação fisioterapêutica para pacientes diagnosticados com MPS. Os objetivos desta terapia devem compreender o estabelecimento de condições favoráveis para que </w:t>
      </w:r>
      <w:r w:rsidR="00D730BC">
        <w:rPr>
          <w:rFonts w:ascii="Arial" w:hAnsi="Arial" w:cs="Arial"/>
          <w:sz w:val="24"/>
        </w:rPr>
        <w:t>estes sujeitos</w:t>
      </w:r>
      <w:r>
        <w:rPr>
          <w:rFonts w:ascii="Arial" w:hAnsi="Arial" w:cs="Arial"/>
          <w:sz w:val="24"/>
        </w:rPr>
        <w:t xml:space="preserve"> realizem atividades de mobilidade e locomoção</w:t>
      </w:r>
      <w:r w:rsidR="008F2962">
        <w:rPr>
          <w:rFonts w:ascii="Arial" w:hAnsi="Arial" w:cs="Arial"/>
          <w:sz w:val="24"/>
        </w:rPr>
        <w:t>, bem como atividades cotidianas,</w:t>
      </w:r>
      <w:r>
        <w:rPr>
          <w:rFonts w:ascii="Arial" w:hAnsi="Arial" w:cs="Arial"/>
          <w:sz w:val="24"/>
        </w:rPr>
        <w:t xml:space="preserve"> da forma mais independente possível e, assim, tenham maior capacidade funcional. Desta forma, a fisioterapia poderá contribuir com a integração social e participação desses indivíduos em atividades escolares e </w:t>
      </w:r>
      <w:r>
        <w:rPr>
          <w:rFonts w:ascii="Arial" w:hAnsi="Arial" w:cs="Arial"/>
          <w:sz w:val="24"/>
        </w:rPr>
        <w:lastRenderedPageBreak/>
        <w:t>na comunidade no qual estão inseridos, mesmo quando já afetados por alguma deficiência física.</w:t>
      </w:r>
    </w:p>
    <w:p w:rsidR="004F4CB9" w:rsidRDefault="004F4CB9" w:rsidP="004F4CB9">
      <w:pPr>
        <w:spacing w:after="0" w:line="360" w:lineRule="auto"/>
        <w:jc w:val="both"/>
        <w:rPr>
          <w:rFonts w:ascii="Arial" w:hAnsi="Arial" w:cs="Arial"/>
          <w:sz w:val="24"/>
        </w:rPr>
      </w:pPr>
    </w:p>
    <w:p w:rsidR="004F4CB9" w:rsidRDefault="004F4CB9" w:rsidP="004F4CB9">
      <w:pPr>
        <w:spacing w:after="0" w:line="360" w:lineRule="auto"/>
        <w:jc w:val="both"/>
        <w:rPr>
          <w:rFonts w:ascii="Arial" w:hAnsi="Arial" w:cs="Arial"/>
          <w:sz w:val="24"/>
        </w:rPr>
      </w:pPr>
      <w:r>
        <w:rPr>
          <w:rFonts w:ascii="Arial" w:hAnsi="Arial" w:cs="Arial"/>
          <w:sz w:val="24"/>
        </w:rPr>
        <w:t>Atividades que envolvam mobilidade de ombro, cotovelo, punho e a função de preensão palmar (como por exemplo: manipulação de objetos; higiene oral; banho; vestir-se) e mobilidade dos membros inferiores, para condição de transferências e locomoção, incluindo subir e descer escadas, são aspectos a serem considerados nos protocolos de reabilitação física direcionados a esses indivíduos. Alterações na mobilidade articular e a redução da resistência física</w:t>
      </w:r>
      <w:r w:rsidR="00715A4F">
        <w:rPr>
          <w:rFonts w:ascii="Arial" w:hAnsi="Arial" w:cs="Arial"/>
          <w:sz w:val="24"/>
        </w:rPr>
        <w:t xml:space="preserve"> e cardiorrespiratória</w:t>
      </w:r>
      <w:r>
        <w:rPr>
          <w:rFonts w:ascii="Arial" w:hAnsi="Arial" w:cs="Arial"/>
          <w:sz w:val="24"/>
        </w:rPr>
        <w:t xml:space="preserve"> podem estar intimamente relacionadas à condição de dependência funcional </w:t>
      </w:r>
      <w:r w:rsidRPr="00F4157B">
        <w:rPr>
          <w:rFonts w:ascii="Arial" w:hAnsi="Arial" w:cs="Arial"/>
          <w:sz w:val="24"/>
        </w:rPr>
        <w:t>e restrição da participação e interação social</w:t>
      </w:r>
      <w:r>
        <w:rPr>
          <w:rFonts w:ascii="Arial" w:hAnsi="Arial" w:cs="Arial"/>
          <w:sz w:val="24"/>
        </w:rPr>
        <w:t xml:space="preserve"> entre</w:t>
      </w:r>
      <w:r w:rsidRPr="00F4157B">
        <w:rPr>
          <w:rFonts w:ascii="Arial" w:hAnsi="Arial" w:cs="Arial"/>
          <w:sz w:val="24"/>
        </w:rPr>
        <w:t xml:space="preserve"> pacientes com MPS.</w:t>
      </w:r>
      <w:r>
        <w:rPr>
          <w:rFonts w:ascii="Arial" w:hAnsi="Arial" w:cs="Arial"/>
          <w:sz w:val="24"/>
        </w:rPr>
        <w:t xml:space="preserve"> Por isso, o atendimento em saúde a estes indivíduos requer também a inclusão do cuidado às suas necessidades sociais e psicológicas. Neste sentido, o processo de reabilitação</w:t>
      </w:r>
      <w:r w:rsidR="00D05654">
        <w:rPr>
          <w:rFonts w:ascii="Arial" w:hAnsi="Arial" w:cs="Arial"/>
          <w:sz w:val="24"/>
        </w:rPr>
        <w:t xml:space="preserve"> fisioterapêutica</w:t>
      </w:r>
      <w:r>
        <w:rPr>
          <w:rFonts w:ascii="Arial" w:hAnsi="Arial" w:cs="Arial"/>
          <w:sz w:val="24"/>
        </w:rPr>
        <w:t xml:space="preserve"> de crianças e adolescentes com diagnóstico de MPS deve</w:t>
      </w:r>
      <w:r w:rsidR="00D05654">
        <w:rPr>
          <w:rFonts w:ascii="Arial" w:hAnsi="Arial" w:cs="Arial"/>
          <w:sz w:val="24"/>
        </w:rPr>
        <w:t>, na prática clínica,</w:t>
      </w:r>
      <w:r>
        <w:rPr>
          <w:rFonts w:ascii="Arial" w:hAnsi="Arial" w:cs="Arial"/>
          <w:sz w:val="24"/>
        </w:rPr>
        <w:t xml:space="preserve"> abranger modificações que permitam o enfrentamento das limitações</w:t>
      </w:r>
      <w:r w:rsidR="00D05654">
        <w:rPr>
          <w:rFonts w:ascii="Arial" w:hAnsi="Arial" w:cs="Arial"/>
          <w:sz w:val="24"/>
        </w:rPr>
        <w:t xml:space="preserve"> físicas</w:t>
      </w:r>
      <w:r>
        <w:rPr>
          <w:rFonts w:ascii="Arial" w:hAnsi="Arial" w:cs="Arial"/>
          <w:sz w:val="24"/>
        </w:rPr>
        <w:t xml:space="preserve"> geradas pela doença e a reinserção desses indivíduos ao convívio social, desempenhando atividades que antes faziam parte da sua rotina.</w:t>
      </w:r>
    </w:p>
    <w:p w:rsidR="004F4CB9" w:rsidRDefault="004F4CB9" w:rsidP="004F4CB9">
      <w:pPr>
        <w:spacing w:after="0" w:line="360" w:lineRule="auto"/>
        <w:jc w:val="both"/>
        <w:rPr>
          <w:rFonts w:ascii="Arial" w:hAnsi="Arial" w:cs="Arial"/>
          <w:sz w:val="24"/>
        </w:rPr>
      </w:pPr>
    </w:p>
    <w:p w:rsidR="004F4CB9" w:rsidRDefault="004F4CB9" w:rsidP="004F4CB9">
      <w:pPr>
        <w:tabs>
          <w:tab w:val="left" w:pos="1418"/>
        </w:tabs>
        <w:spacing w:after="0" w:line="360" w:lineRule="auto"/>
        <w:jc w:val="both"/>
        <w:rPr>
          <w:rFonts w:ascii="Arial" w:hAnsi="Arial" w:cs="Arial"/>
          <w:sz w:val="24"/>
        </w:rPr>
      </w:pPr>
      <w:r>
        <w:rPr>
          <w:rFonts w:ascii="Arial" w:hAnsi="Arial" w:cs="Arial"/>
          <w:sz w:val="24"/>
        </w:rPr>
        <w:t>Diante do exposto, constata-se que as manifestações clínicas e multissistêmicas decorrentes da MPS, somadas à necessidade de acompanhamento médico regular, utilização de serviços de saúde e hospitalizações recorrentes e prolongadas, podem afetar a autoestima e a QVRS desses indivíduos. Por esta razão, justifica-se a importância de mensurar não apenas o desempenho funcional dos pacientes acometidos por MPS, como também, o impacto que a doença e o tratamento têm sobre o seu bem-estar físico, psicológico e social, através da avaliação da QVRS.</w:t>
      </w:r>
    </w:p>
    <w:p w:rsidR="004F4CB9" w:rsidRDefault="004F4CB9" w:rsidP="00F03F60">
      <w:pPr>
        <w:tabs>
          <w:tab w:val="left" w:pos="1418"/>
        </w:tabs>
        <w:spacing w:after="0" w:line="360" w:lineRule="auto"/>
        <w:jc w:val="both"/>
        <w:rPr>
          <w:rFonts w:ascii="Arial" w:hAnsi="Arial" w:cs="Arial"/>
          <w:sz w:val="24"/>
        </w:rPr>
      </w:pPr>
    </w:p>
    <w:p w:rsidR="00EC6E74" w:rsidRPr="000433BC" w:rsidRDefault="007E7F6A" w:rsidP="00582961">
      <w:pPr>
        <w:pStyle w:val="Ttulo1"/>
      </w:pPr>
      <w:bookmarkStart w:id="75" w:name="_Toc496749620"/>
      <w:r>
        <w:t>6.2</w:t>
      </w:r>
      <w:r w:rsidR="00EC6E74" w:rsidRPr="000433BC">
        <w:t xml:space="preserve"> </w:t>
      </w:r>
      <w:r>
        <w:t>Limitações e perspectiva</w:t>
      </w:r>
      <w:r w:rsidR="00DD2716">
        <w:t>s</w:t>
      </w:r>
      <w:r>
        <w:t xml:space="preserve"> do estudo</w:t>
      </w:r>
      <w:bookmarkEnd w:id="75"/>
    </w:p>
    <w:p w:rsidR="00EC6E74" w:rsidRDefault="00EC6E74" w:rsidP="00EC6E74">
      <w:pPr>
        <w:spacing w:after="0" w:line="360" w:lineRule="auto"/>
        <w:jc w:val="both"/>
        <w:rPr>
          <w:rFonts w:ascii="Arial" w:hAnsi="Arial" w:cs="Arial"/>
          <w:sz w:val="24"/>
        </w:rPr>
      </w:pPr>
    </w:p>
    <w:p w:rsidR="00EC6E74" w:rsidRDefault="00177E32" w:rsidP="00F03F60">
      <w:pPr>
        <w:spacing w:after="0" w:line="360" w:lineRule="auto"/>
        <w:jc w:val="both"/>
        <w:rPr>
          <w:rFonts w:ascii="Arial" w:hAnsi="Arial" w:cs="Arial"/>
          <w:sz w:val="24"/>
        </w:rPr>
      </w:pPr>
      <w:r>
        <w:rPr>
          <w:rFonts w:ascii="Arial" w:hAnsi="Arial" w:cs="Arial"/>
          <w:sz w:val="24"/>
        </w:rPr>
        <w:t>Este</w:t>
      </w:r>
      <w:r w:rsidR="00EC6E74">
        <w:rPr>
          <w:rFonts w:ascii="Arial" w:hAnsi="Arial" w:cs="Arial"/>
          <w:sz w:val="24"/>
        </w:rPr>
        <w:t xml:space="preserve"> estudo apresenta limitações que </w:t>
      </w:r>
      <w:r w:rsidR="007E7F6A">
        <w:rPr>
          <w:rFonts w:ascii="Arial" w:hAnsi="Arial" w:cs="Arial"/>
          <w:sz w:val="24"/>
        </w:rPr>
        <w:t>serão</w:t>
      </w:r>
      <w:r w:rsidR="00EC6E74">
        <w:rPr>
          <w:rFonts w:ascii="Arial" w:hAnsi="Arial" w:cs="Arial"/>
          <w:sz w:val="24"/>
        </w:rPr>
        <w:t xml:space="preserve"> consideradas</w:t>
      </w:r>
      <w:r w:rsidR="007E7F6A">
        <w:rPr>
          <w:rFonts w:ascii="Arial" w:hAnsi="Arial" w:cs="Arial"/>
          <w:sz w:val="24"/>
        </w:rPr>
        <w:t xml:space="preserve"> a seguir. O</w:t>
      </w:r>
      <w:r w:rsidR="00D500B9">
        <w:rPr>
          <w:rFonts w:ascii="Arial" w:hAnsi="Arial" w:cs="Arial"/>
          <w:sz w:val="24"/>
        </w:rPr>
        <w:t>s instrumentos padronizados</w:t>
      </w:r>
      <w:r w:rsidR="00EC6E74">
        <w:rPr>
          <w:rFonts w:ascii="Arial" w:hAnsi="Arial" w:cs="Arial"/>
          <w:sz w:val="24"/>
        </w:rPr>
        <w:t xml:space="preserve"> utilizados</w:t>
      </w:r>
      <w:r w:rsidR="000F4256">
        <w:rPr>
          <w:rFonts w:ascii="Arial" w:hAnsi="Arial" w:cs="Arial"/>
          <w:sz w:val="24"/>
        </w:rPr>
        <w:t xml:space="preserve"> </w:t>
      </w:r>
      <w:r w:rsidR="00B23755">
        <w:rPr>
          <w:rFonts w:ascii="Arial" w:hAnsi="Arial" w:cs="Arial"/>
          <w:sz w:val="24"/>
        </w:rPr>
        <w:t>no</w:t>
      </w:r>
      <w:r w:rsidR="000F4256">
        <w:rPr>
          <w:rFonts w:ascii="Arial" w:hAnsi="Arial" w:cs="Arial"/>
          <w:sz w:val="24"/>
        </w:rPr>
        <w:t xml:space="preserve"> serviço</w:t>
      </w:r>
      <w:r w:rsidR="00B23755">
        <w:rPr>
          <w:rFonts w:ascii="Arial" w:hAnsi="Arial" w:cs="Arial"/>
          <w:sz w:val="24"/>
        </w:rPr>
        <w:t xml:space="preserve"> de ortopedia do HSI</w:t>
      </w:r>
      <w:r w:rsidR="00EC6E74">
        <w:rPr>
          <w:rFonts w:ascii="Arial" w:hAnsi="Arial" w:cs="Arial"/>
          <w:sz w:val="24"/>
        </w:rPr>
        <w:t xml:space="preserve"> para avaliar a medida de independência funcional (escala MIF) e a </w:t>
      </w:r>
      <w:r w:rsidR="00DC705C">
        <w:rPr>
          <w:rFonts w:ascii="Arial" w:hAnsi="Arial" w:cs="Arial"/>
          <w:sz w:val="24"/>
        </w:rPr>
        <w:t>QVRS</w:t>
      </w:r>
      <w:r w:rsidR="00EC6E74">
        <w:rPr>
          <w:rFonts w:ascii="Arial" w:hAnsi="Arial" w:cs="Arial"/>
          <w:sz w:val="24"/>
        </w:rPr>
        <w:t xml:space="preserve"> (instrumento PedsQL</w:t>
      </w:r>
      <w:r w:rsidR="00EC6E74" w:rsidRPr="000433BC">
        <w:rPr>
          <w:rFonts w:ascii="Arial" w:hAnsi="Arial" w:cs="Arial"/>
          <w:sz w:val="24"/>
          <w:vertAlign w:val="superscript"/>
        </w:rPr>
        <w:t>TM</w:t>
      </w:r>
      <w:r w:rsidR="00EC6E74">
        <w:rPr>
          <w:rFonts w:ascii="Arial" w:hAnsi="Arial" w:cs="Arial"/>
          <w:sz w:val="24"/>
        </w:rPr>
        <w:t xml:space="preserve"> 4.0) são validados para a população brasileira e amplamente utilizados em pesquisas com pessoas acometidas por doenças crônicas e incapacitantes. Entretanto, estes instrumentos correspondem a escalas genéricas de avaliação e, por esta razão, </w:t>
      </w:r>
      <w:r w:rsidR="00EC6E74">
        <w:rPr>
          <w:rFonts w:ascii="Arial" w:hAnsi="Arial" w:cs="Arial"/>
          <w:sz w:val="24"/>
        </w:rPr>
        <w:lastRenderedPageBreak/>
        <w:t xml:space="preserve">fatores/sintomas específicos da </w:t>
      </w:r>
      <w:r w:rsidR="00F4515F">
        <w:rPr>
          <w:rFonts w:ascii="Arial" w:hAnsi="Arial" w:cs="Arial"/>
          <w:sz w:val="24"/>
        </w:rPr>
        <w:t>MPS</w:t>
      </w:r>
      <w:r w:rsidR="00EC6E74">
        <w:rPr>
          <w:rFonts w:ascii="Arial" w:hAnsi="Arial" w:cs="Arial"/>
          <w:sz w:val="24"/>
        </w:rPr>
        <w:t>, que afetam diretamente a independência</w:t>
      </w:r>
      <w:r w:rsidR="00E66FA4">
        <w:rPr>
          <w:rFonts w:ascii="Arial" w:hAnsi="Arial" w:cs="Arial"/>
          <w:sz w:val="24"/>
        </w:rPr>
        <w:t xml:space="preserve"> funcional e a QVRS, podem não t</w:t>
      </w:r>
      <w:r w:rsidR="00EC6E74">
        <w:rPr>
          <w:rFonts w:ascii="Arial" w:hAnsi="Arial" w:cs="Arial"/>
          <w:sz w:val="24"/>
        </w:rPr>
        <w:t>er</w:t>
      </w:r>
      <w:r w:rsidR="00E66FA4">
        <w:rPr>
          <w:rFonts w:ascii="Arial" w:hAnsi="Arial" w:cs="Arial"/>
          <w:sz w:val="24"/>
        </w:rPr>
        <w:t xml:space="preserve"> sido</w:t>
      </w:r>
      <w:r w:rsidR="00EC6E74">
        <w:rPr>
          <w:rFonts w:ascii="Arial" w:hAnsi="Arial" w:cs="Arial"/>
          <w:sz w:val="24"/>
        </w:rPr>
        <w:t xml:space="preserve"> considerados</w:t>
      </w:r>
      <w:r w:rsidR="003320F1">
        <w:rPr>
          <w:rFonts w:ascii="Arial" w:hAnsi="Arial" w:cs="Arial"/>
          <w:sz w:val="24"/>
        </w:rPr>
        <w:t xml:space="preserve"> </w:t>
      </w:r>
      <w:r w:rsidR="00F4515F">
        <w:rPr>
          <w:rFonts w:ascii="Arial" w:hAnsi="Arial" w:cs="Arial"/>
          <w:sz w:val="24"/>
        </w:rPr>
        <w:t xml:space="preserve">isoladamente </w:t>
      </w:r>
      <w:r w:rsidR="00E66FA4">
        <w:rPr>
          <w:rFonts w:ascii="Arial" w:hAnsi="Arial" w:cs="Arial"/>
          <w:sz w:val="24"/>
        </w:rPr>
        <w:t>nesta pesquisa</w:t>
      </w:r>
      <w:r w:rsidR="00EC6E74">
        <w:rPr>
          <w:rFonts w:ascii="Arial" w:hAnsi="Arial" w:cs="Arial"/>
          <w:sz w:val="24"/>
        </w:rPr>
        <w:t>.</w:t>
      </w:r>
    </w:p>
    <w:p w:rsidR="00EA6A85" w:rsidRDefault="00EA6A85" w:rsidP="00F03F60">
      <w:pPr>
        <w:spacing w:after="0" w:line="360" w:lineRule="auto"/>
        <w:jc w:val="both"/>
        <w:rPr>
          <w:rFonts w:ascii="Arial" w:hAnsi="Arial" w:cs="Arial"/>
          <w:sz w:val="24"/>
        </w:rPr>
      </w:pPr>
    </w:p>
    <w:p w:rsidR="00EC6E74" w:rsidRDefault="00EC6E74" w:rsidP="00F03F60">
      <w:pPr>
        <w:spacing w:after="0" w:line="360" w:lineRule="auto"/>
        <w:jc w:val="both"/>
        <w:rPr>
          <w:rFonts w:ascii="Arial" w:hAnsi="Arial" w:cs="Arial"/>
          <w:sz w:val="24"/>
        </w:rPr>
      </w:pPr>
      <w:r>
        <w:rPr>
          <w:rFonts w:ascii="Arial" w:hAnsi="Arial" w:cs="Arial"/>
          <w:sz w:val="24"/>
        </w:rPr>
        <w:t>Outro aspecto importante</w:t>
      </w:r>
      <w:r w:rsidR="00E8325A">
        <w:rPr>
          <w:rFonts w:ascii="Arial" w:hAnsi="Arial" w:cs="Arial"/>
          <w:sz w:val="24"/>
        </w:rPr>
        <w:t>,</w:t>
      </w:r>
      <w:r>
        <w:rPr>
          <w:rFonts w:ascii="Arial" w:hAnsi="Arial" w:cs="Arial"/>
          <w:sz w:val="24"/>
        </w:rPr>
        <w:t xml:space="preserve"> é o fato de a escala MIF não ser empregada exclusivamente em crianças e adolescentes. Desta forma, em virtude da influência da idade na aquisição de habilidades motoras, alguns componentes da MIF </w:t>
      </w:r>
      <w:r w:rsidR="000020F5">
        <w:rPr>
          <w:rFonts w:ascii="Arial" w:hAnsi="Arial" w:cs="Arial"/>
          <w:sz w:val="24"/>
        </w:rPr>
        <w:t>tende</w:t>
      </w:r>
      <w:r w:rsidR="00E60421">
        <w:rPr>
          <w:rFonts w:ascii="Arial" w:hAnsi="Arial" w:cs="Arial"/>
          <w:sz w:val="24"/>
        </w:rPr>
        <w:t>ra</w:t>
      </w:r>
      <w:r w:rsidR="000020F5">
        <w:rPr>
          <w:rFonts w:ascii="Arial" w:hAnsi="Arial" w:cs="Arial"/>
          <w:sz w:val="24"/>
        </w:rPr>
        <w:t>m à avaliação</w:t>
      </w:r>
      <w:r>
        <w:rPr>
          <w:rFonts w:ascii="Arial" w:hAnsi="Arial" w:cs="Arial"/>
          <w:sz w:val="24"/>
        </w:rPr>
        <w:t xml:space="preserve"> com escores mais baixos</w:t>
      </w:r>
      <w:r w:rsidR="009F4420">
        <w:rPr>
          <w:rFonts w:ascii="Arial" w:hAnsi="Arial" w:cs="Arial"/>
          <w:sz w:val="24"/>
        </w:rPr>
        <w:t>. P</w:t>
      </w:r>
      <w:r>
        <w:rPr>
          <w:rFonts w:ascii="Arial" w:hAnsi="Arial" w:cs="Arial"/>
          <w:sz w:val="24"/>
        </w:rPr>
        <w:t xml:space="preserve">ois, naturalmente, crianças menores </w:t>
      </w:r>
      <w:r w:rsidR="005A63DD">
        <w:rPr>
          <w:rFonts w:ascii="Arial" w:hAnsi="Arial" w:cs="Arial"/>
          <w:sz w:val="24"/>
        </w:rPr>
        <w:t>precisam</w:t>
      </w:r>
      <w:r>
        <w:rPr>
          <w:rFonts w:ascii="Arial" w:hAnsi="Arial" w:cs="Arial"/>
          <w:sz w:val="24"/>
        </w:rPr>
        <w:t xml:space="preserve"> de maior auxílio </w:t>
      </w:r>
      <w:r w:rsidR="00FA461D">
        <w:rPr>
          <w:rFonts w:ascii="Arial" w:hAnsi="Arial" w:cs="Arial"/>
          <w:sz w:val="24"/>
        </w:rPr>
        <w:t>d</w:t>
      </w:r>
      <w:r>
        <w:rPr>
          <w:rFonts w:ascii="Arial" w:hAnsi="Arial" w:cs="Arial"/>
          <w:sz w:val="24"/>
        </w:rPr>
        <w:t>o cuidador e, não necessariamente, apresentam maior dependência para realiza</w:t>
      </w:r>
      <w:r w:rsidR="000020F5">
        <w:rPr>
          <w:rFonts w:ascii="Arial" w:hAnsi="Arial" w:cs="Arial"/>
          <w:sz w:val="24"/>
        </w:rPr>
        <w:t>r</w:t>
      </w:r>
      <w:r>
        <w:rPr>
          <w:rFonts w:ascii="Arial" w:hAnsi="Arial" w:cs="Arial"/>
          <w:sz w:val="24"/>
        </w:rPr>
        <w:t xml:space="preserve"> </w:t>
      </w:r>
      <w:r w:rsidR="00540320">
        <w:rPr>
          <w:rFonts w:ascii="Arial" w:hAnsi="Arial" w:cs="Arial"/>
          <w:sz w:val="24"/>
        </w:rPr>
        <w:t>AVD</w:t>
      </w:r>
      <w:r>
        <w:rPr>
          <w:rFonts w:ascii="Arial" w:hAnsi="Arial" w:cs="Arial"/>
          <w:sz w:val="24"/>
        </w:rPr>
        <w:t xml:space="preserve"> </w:t>
      </w:r>
      <w:r w:rsidR="000020F5">
        <w:rPr>
          <w:rFonts w:ascii="Arial" w:hAnsi="Arial" w:cs="Arial"/>
          <w:sz w:val="24"/>
        </w:rPr>
        <w:t>p</w:t>
      </w:r>
      <w:r w:rsidR="009B4EDA">
        <w:rPr>
          <w:rFonts w:ascii="Arial" w:hAnsi="Arial" w:cs="Arial"/>
          <w:sz w:val="24"/>
        </w:rPr>
        <w:t xml:space="preserve">or </w:t>
      </w:r>
      <w:r w:rsidR="00E8325A">
        <w:rPr>
          <w:rFonts w:ascii="Arial" w:hAnsi="Arial" w:cs="Arial"/>
          <w:sz w:val="24"/>
        </w:rPr>
        <w:t xml:space="preserve">já </w:t>
      </w:r>
      <w:r w:rsidR="009B4EDA">
        <w:rPr>
          <w:rFonts w:ascii="Arial" w:hAnsi="Arial" w:cs="Arial"/>
          <w:sz w:val="24"/>
        </w:rPr>
        <w:t>terem desenvolvido</w:t>
      </w:r>
      <w:r>
        <w:rPr>
          <w:rFonts w:ascii="Arial" w:hAnsi="Arial" w:cs="Arial"/>
          <w:sz w:val="24"/>
        </w:rPr>
        <w:t xml:space="preserve"> </w:t>
      </w:r>
      <w:r w:rsidR="009B4EDA">
        <w:rPr>
          <w:rFonts w:ascii="Arial" w:hAnsi="Arial" w:cs="Arial"/>
          <w:sz w:val="24"/>
        </w:rPr>
        <w:t>alterações secundárias à</w:t>
      </w:r>
      <w:r>
        <w:rPr>
          <w:rFonts w:ascii="Arial" w:hAnsi="Arial" w:cs="Arial"/>
          <w:sz w:val="24"/>
        </w:rPr>
        <w:t xml:space="preserve"> MPS.</w:t>
      </w:r>
      <w:r w:rsidR="008E18AF">
        <w:rPr>
          <w:rFonts w:ascii="Arial" w:hAnsi="Arial" w:cs="Arial"/>
          <w:sz w:val="24"/>
        </w:rPr>
        <w:t xml:space="preserve"> </w:t>
      </w:r>
      <w:r w:rsidR="00E60421">
        <w:rPr>
          <w:rFonts w:ascii="Arial" w:hAnsi="Arial" w:cs="Arial"/>
          <w:sz w:val="24"/>
        </w:rPr>
        <w:t>Provavelmente, e</w:t>
      </w:r>
      <w:r w:rsidR="008E18AF">
        <w:rPr>
          <w:rFonts w:ascii="Arial" w:hAnsi="Arial" w:cs="Arial"/>
          <w:sz w:val="24"/>
        </w:rPr>
        <w:t xml:space="preserve">m decorrência </w:t>
      </w:r>
      <w:r w:rsidR="008975D6">
        <w:rPr>
          <w:rFonts w:ascii="Arial" w:hAnsi="Arial" w:cs="Arial"/>
          <w:sz w:val="24"/>
        </w:rPr>
        <w:t>disto</w:t>
      </w:r>
      <w:r w:rsidR="008E18AF">
        <w:rPr>
          <w:rFonts w:ascii="Arial" w:hAnsi="Arial" w:cs="Arial"/>
          <w:sz w:val="24"/>
        </w:rPr>
        <w:t>, nossos achados não apresentaram correlação significa</w:t>
      </w:r>
      <w:r w:rsidR="00F22379">
        <w:rPr>
          <w:rFonts w:ascii="Arial" w:hAnsi="Arial" w:cs="Arial"/>
          <w:sz w:val="24"/>
        </w:rPr>
        <w:t>tiva</w:t>
      </w:r>
      <w:r w:rsidR="008E18AF">
        <w:rPr>
          <w:rFonts w:ascii="Arial" w:hAnsi="Arial" w:cs="Arial"/>
          <w:sz w:val="24"/>
        </w:rPr>
        <w:t xml:space="preserve"> entre a MIF e a idade dos pacientes.</w:t>
      </w:r>
    </w:p>
    <w:p w:rsidR="00225504" w:rsidRDefault="00225504" w:rsidP="00F03F60">
      <w:pPr>
        <w:spacing w:after="0" w:line="360" w:lineRule="auto"/>
        <w:jc w:val="both"/>
        <w:rPr>
          <w:rFonts w:ascii="Arial" w:hAnsi="Arial" w:cs="Arial"/>
          <w:sz w:val="24"/>
        </w:rPr>
      </w:pPr>
    </w:p>
    <w:p w:rsidR="00EC6E74" w:rsidRDefault="00EC6E74" w:rsidP="00F03F60">
      <w:pPr>
        <w:spacing w:after="0" w:line="360" w:lineRule="auto"/>
        <w:jc w:val="both"/>
        <w:rPr>
          <w:rFonts w:ascii="Arial" w:hAnsi="Arial" w:cs="Arial"/>
          <w:sz w:val="24"/>
        </w:rPr>
      </w:pPr>
      <w:r>
        <w:rPr>
          <w:rFonts w:ascii="Arial" w:hAnsi="Arial" w:cs="Arial"/>
          <w:sz w:val="24"/>
        </w:rPr>
        <w:t>Sabe</w:t>
      </w:r>
      <w:r w:rsidR="00C86CE8">
        <w:rPr>
          <w:rFonts w:ascii="Arial" w:hAnsi="Arial" w:cs="Arial"/>
          <w:sz w:val="24"/>
        </w:rPr>
        <w:t>mos</w:t>
      </w:r>
      <w:r>
        <w:rPr>
          <w:rFonts w:ascii="Arial" w:hAnsi="Arial" w:cs="Arial"/>
          <w:sz w:val="24"/>
        </w:rPr>
        <w:t xml:space="preserve"> da necessidade de incorporar medidas complementares à avaliação da </w:t>
      </w:r>
      <w:r w:rsidR="009F4420">
        <w:rPr>
          <w:rFonts w:ascii="Arial" w:hAnsi="Arial" w:cs="Arial"/>
          <w:sz w:val="24"/>
        </w:rPr>
        <w:t>QVRS</w:t>
      </w:r>
      <w:r w:rsidR="006D0A7C">
        <w:rPr>
          <w:rFonts w:ascii="Arial" w:hAnsi="Arial" w:cs="Arial"/>
          <w:sz w:val="24"/>
        </w:rPr>
        <w:t>, com abordagens focais de cunho qualitativo,</w:t>
      </w:r>
      <w:r>
        <w:rPr>
          <w:rFonts w:ascii="Arial" w:hAnsi="Arial" w:cs="Arial"/>
          <w:sz w:val="24"/>
        </w:rPr>
        <w:t xml:space="preserve"> não se restringi</w:t>
      </w:r>
      <w:r w:rsidR="006D0A7C">
        <w:rPr>
          <w:rFonts w:ascii="Arial" w:hAnsi="Arial" w:cs="Arial"/>
          <w:sz w:val="24"/>
        </w:rPr>
        <w:t>ndo</w:t>
      </w:r>
      <w:r>
        <w:rPr>
          <w:rFonts w:ascii="Arial" w:hAnsi="Arial" w:cs="Arial"/>
          <w:sz w:val="24"/>
        </w:rPr>
        <w:t xml:space="preserve"> apenas à aplicação</w:t>
      </w:r>
      <w:r w:rsidR="006D0A7C">
        <w:rPr>
          <w:rFonts w:ascii="Arial" w:hAnsi="Arial" w:cs="Arial"/>
          <w:sz w:val="24"/>
        </w:rPr>
        <w:t xml:space="preserve"> e análise</w:t>
      </w:r>
      <w:r>
        <w:rPr>
          <w:rFonts w:ascii="Arial" w:hAnsi="Arial" w:cs="Arial"/>
          <w:sz w:val="24"/>
        </w:rPr>
        <w:t xml:space="preserve"> de instrumentos</w:t>
      </w:r>
      <w:r w:rsidR="006D0A7C">
        <w:rPr>
          <w:rFonts w:ascii="Arial" w:hAnsi="Arial" w:cs="Arial"/>
          <w:sz w:val="24"/>
        </w:rPr>
        <w:t xml:space="preserve"> gerais</w:t>
      </w:r>
      <w:r>
        <w:rPr>
          <w:rFonts w:ascii="Arial" w:hAnsi="Arial" w:cs="Arial"/>
          <w:sz w:val="24"/>
        </w:rPr>
        <w:t xml:space="preserve"> que resultam em medidas objetiva</w:t>
      </w:r>
      <w:r w:rsidR="008975D6">
        <w:rPr>
          <w:rFonts w:ascii="Arial" w:hAnsi="Arial" w:cs="Arial"/>
          <w:sz w:val="24"/>
        </w:rPr>
        <w:t>s. Assim, outras variáveis não estudadas</w:t>
      </w:r>
      <w:r>
        <w:rPr>
          <w:rFonts w:ascii="Arial" w:hAnsi="Arial" w:cs="Arial"/>
          <w:sz w:val="24"/>
        </w:rPr>
        <w:t xml:space="preserve"> n</w:t>
      </w:r>
      <w:r w:rsidR="004B74CA">
        <w:rPr>
          <w:rFonts w:ascii="Arial" w:hAnsi="Arial" w:cs="Arial"/>
          <w:sz w:val="24"/>
        </w:rPr>
        <w:t>est</w:t>
      </w:r>
      <w:r>
        <w:rPr>
          <w:rFonts w:ascii="Arial" w:hAnsi="Arial" w:cs="Arial"/>
          <w:sz w:val="24"/>
        </w:rPr>
        <w:t xml:space="preserve">a pesquisa poderiam influenciar </w:t>
      </w:r>
      <w:r w:rsidR="008975D6">
        <w:rPr>
          <w:rFonts w:ascii="Arial" w:hAnsi="Arial" w:cs="Arial"/>
          <w:sz w:val="24"/>
        </w:rPr>
        <w:t>noss</w:t>
      </w:r>
      <w:r>
        <w:rPr>
          <w:rFonts w:ascii="Arial" w:hAnsi="Arial" w:cs="Arial"/>
          <w:sz w:val="24"/>
        </w:rPr>
        <w:t>os resultados, tais como: avaliação da dor</w:t>
      </w:r>
      <w:r w:rsidR="00B80D48">
        <w:rPr>
          <w:rFonts w:ascii="Arial" w:hAnsi="Arial" w:cs="Arial"/>
          <w:sz w:val="24"/>
        </w:rPr>
        <w:t>;</w:t>
      </w:r>
      <w:r>
        <w:rPr>
          <w:rFonts w:ascii="Arial" w:hAnsi="Arial" w:cs="Arial"/>
          <w:sz w:val="24"/>
        </w:rPr>
        <w:t xml:space="preserve"> participaç</w:t>
      </w:r>
      <w:r w:rsidR="00B80D48">
        <w:rPr>
          <w:rFonts w:ascii="Arial" w:hAnsi="Arial" w:cs="Arial"/>
          <w:sz w:val="24"/>
        </w:rPr>
        <w:t>ão em programas de reabilitação;</w:t>
      </w:r>
      <w:r>
        <w:rPr>
          <w:rFonts w:ascii="Arial" w:hAnsi="Arial" w:cs="Arial"/>
          <w:sz w:val="24"/>
        </w:rPr>
        <w:t xml:space="preserve"> renda familiar; condições de acesso à saúde; suporte social; tempo de tratamento com terapia de reposição enzimática e realização de cirurgia</w:t>
      </w:r>
      <w:r w:rsidR="00F00F90">
        <w:rPr>
          <w:rFonts w:ascii="Arial" w:hAnsi="Arial" w:cs="Arial"/>
          <w:sz w:val="24"/>
        </w:rPr>
        <w:t>s</w:t>
      </w:r>
      <w:r>
        <w:rPr>
          <w:rFonts w:ascii="Arial" w:hAnsi="Arial" w:cs="Arial"/>
          <w:sz w:val="24"/>
        </w:rPr>
        <w:t>. No entanto, dificilmente todas estas variáveis poderiam ser contempladas em um único estudo, considerando que a QVRS é uma condição multifatorial</w:t>
      </w:r>
      <w:r w:rsidR="00E1572B">
        <w:rPr>
          <w:rFonts w:ascii="Arial" w:hAnsi="Arial" w:cs="Arial"/>
          <w:sz w:val="24"/>
        </w:rPr>
        <w:t xml:space="preserve"> e a sua avaliação </w:t>
      </w:r>
      <w:r w:rsidR="00E1572B" w:rsidRPr="00B850D3">
        <w:rPr>
          <w:rFonts w:ascii="Arial" w:hAnsi="Arial" w:cs="Arial"/>
          <w:sz w:val="24"/>
        </w:rPr>
        <w:t>deve abranger também aspectos sociais</w:t>
      </w:r>
      <w:r w:rsidR="002B6664" w:rsidRPr="00B850D3">
        <w:rPr>
          <w:rFonts w:ascii="Arial" w:hAnsi="Arial" w:cs="Arial"/>
          <w:sz w:val="24"/>
        </w:rPr>
        <w:t xml:space="preserve"> </w:t>
      </w:r>
      <w:r w:rsidR="00E1572B" w:rsidRPr="00B850D3">
        <w:rPr>
          <w:rFonts w:ascii="Arial" w:hAnsi="Arial" w:cs="Arial"/>
          <w:sz w:val="24"/>
        </w:rPr>
        <w:t>e emocionais</w:t>
      </w:r>
      <w:r w:rsidRPr="00B850D3">
        <w:rPr>
          <w:rFonts w:ascii="Arial" w:hAnsi="Arial" w:cs="Arial"/>
          <w:sz w:val="24"/>
        </w:rPr>
        <w:t>.</w:t>
      </w:r>
      <w:r w:rsidR="003C5358">
        <w:rPr>
          <w:rFonts w:ascii="Arial" w:hAnsi="Arial" w:cs="Arial"/>
          <w:sz w:val="24"/>
        </w:rPr>
        <w:t xml:space="preserve"> N</w:t>
      </w:r>
      <w:r w:rsidR="00E1572B">
        <w:rPr>
          <w:rFonts w:ascii="Arial" w:hAnsi="Arial" w:cs="Arial"/>
          <w:sz w:val="24"/>
        </w:rPr>
        <w:t xml:space="preserve">esta pesquisa </w:t>
      </w:r>
      <w:r>
        <w:rPr>
          <w:rFonts w:ascii="Arial" w:hAnsi="Arial" w:cs="Arial"/>
          <w:sz w:val="24"/>
        </w:rPr>
        <w:t>foram incluídas apenas as variáveis mais utilizadas em outros estudos.</w:t>
      </w:r>
    </w:p>
    <w:p w:rsidR="00225504" w:rsidRDefault="00225504" w:rsidP="00F03F60">
      <w:pPr>
        <w:spacing w:after="0" w:line="360" w:lineRule="auto"/>
        <w:jc w:val="both"/>
        <w:rPr>
          <w:rFonts w:ascii="Arial" w:hAnsi="Arial" w:cs="Arial"/>
          <w:sz w:val="24"/>
        </w:rPr>
      </w:pPr>
    </w:p>
    <w:p w:rsidR="00EC6E74" w:rsidRDefault="00EC6E74" w:rsidP="00F03F60">
      <w:pPr>
        <w:spacing w:after="0" w:line="360" w:lineRule="auto"/>
        <w:jc w:val="both"/>
        <w:rPr>
          <w:rFonts w:ascii="Arial" w:hAnsi="Arial" w:cs="Arial"/>
          <w:sz w:val="24"/>
        </w:rPr>
      </w:pPr>
      <w:r>
        <w:rPr>
          <w:rFonts w:ascii="Arial" w:hAnsi="Arial" w:cs="Arial"/>
          <w:sz w:val="24"/>
        </w:rPr>
        <w:t xml:space="preserve">Por fim, a participação de </w:t>
      </w:r>
      <w:r w:rsidR="002B74FD">
        <w:rPr>
          <w:rFonts w:ascii="Arial" w:hAnsi="Arial" w:cs="Arial"/>
          <w:sz w:val="24"/>
        </w:rPr>
        <w:t>indivíduos</w:t>
      </w:r>
      <w:r>
        <w:rPr>
          <w:rFonts w:ascii="Arial" w:hAnsi="Arial" w:cs="Arial"/>
          <w:sz w:val="24"/>
        </w:rPr>
        <w:t xml:space="preserve"> </w:t>
      </w:r>
      <w:r w:rsidR="009C5720">
        <w:rPr>
          <w:rFonts w:ascii="Arial" w:hAnsi="Arial" w:cs="Arial"/>
          <w:sz w:val="24"/>
        </w:rPr>
        <w:t>diagnosticados com</w:t>
      </w:r>
      <w:r>
        <w:rPr>
          <w:rFonts w:ascii="Arial" w:hAnsi="Arial" w:cs="Arial"/>
          <w:sz w:val="24"/>
        </w:rPr>
        <w:t xml:space="preserve"> MPS que estão sob acompanhamento ambulatorial não permite que os resultados desta pesquisa sejam extrapolados para a </w:t>
      </w:r>
      <w:r w:rsidR="000816BE">
        <w:rPr>
          <w:rFonts w:ascii="Arial" w:hAnsi="Arial" w:cs="Arial"/>
          <w:sz w:val="24"/>
        </w:rPr>
        <w:t>doença</w:t>
      </w:r>
      <w:r>
        <w:rPr>
          <w:rFonts w:ascii="Arial" w:hAnsi="Arial" w:cs="Arial"/>
          <w:sz w:val="24"/>
        </w:rPr>
        <w:t xml:space="preserve"> em geral.</w:t>
      </w:r>
      <w:r w:rsidR="00F620AC">
        <w:rPr>
          <w:rFonts w:ascii="Arial" w:hAnsi="Arial" w:cs="Arial"/>
          <w:sz w:val="24"/>
        </w:rPr>
        <w:t xml:space="preserve"> E</w:t>
      </w:r>
      <w:r>
        <w:rPr>
          <w:rFonts w:ascii="Arial" w:hAnsi="Arial" w:cs="Arial"/>
          <w:sz w:val="24"/>
        </w:rPr>
        <w:t>sta amostra não incluiu pacientes</w:t>
      </w:r>
      <w:r w:rsidR="00FD1FCB">
        <w:rPr>
          <w:rFonts w:ascii="Arial" w:hAnsi="Arial" w:cs="Arial"/>
          <w:sz w:val="24"/>
        </w:rPr>
        <w:t xml:space="preserve"> sem acesso a</w:t>
      </w:r>
      <w:r w:rsidR="00ED496A">
        <w:rPr>
          <w:rFonts w:ascii="Arial" w:hAnsi="Arial" w:cs="Arial"/>
          <w:sz w:val="24"/>
        </w:rPr>
        <w:t xml:space="preserve"> </w:t>
      </w:r>
      <w:r w:rsidR="00FD1FCB">
        <w:rPr>
          <w:rFonts w:ascii="Arial" w:hAnsi="Arial" w:cs="Arial"/>
          <w:sz w:val="24"/>
        </w:rPr>
        <w:t>serviço</w:t>
      </w:r>
      <w:r w:rsidR="00AD6D0F">
        <w:rPr>
          <w:rFonts w:ascii="Arial" w:hAnsi="Arial" w:cs="Arial"/>
          <w:sz w:val="24"/>
        </w:rPr>
        <w:t>s</w:t>
      </w:r>
      <w:r w:rsidR="00FD1FCB">
        <w:rPr>
          <w:rFonts w:ascii="Arial" w:hAnsi="Arial" w:cs="Arial"/>
          <w:sz w:val="24"/>
        </w:rPr>
        <w:t xml:space="preserve"> de saúde, pacientes</w:t>
      </w:r>
      <w:r>
        <w:rPr>
          <w:rFonts w:ascii="Arial" w:hAnsi="Arial" w:cs="Arial"/>
          <w:sz w:val="24"/>
        </w:rPr>
        <w:t xml:space="preserve"> em condiç</w:t>
      </w:r>
      <w:r w:rsidR="000816BE">
        <w:rPr>
          <w:rFonts w:ascii="Arial" w:hAnsi="Arial" w:cs="Arial"/>
          <w:sz w:val="24"/>
        </w:rPr>
        <w:t>ões</w:t>
      </w:r>
      <w:r>
        <w:rPr>
          <w:rFonts w:ascii="Arial" w:hAnsi="Arial" w:cs="Arial"/>
          <w:sz w:val="24"/>
        </w:rPr>
        <w:t xml:space="preserve"> mais</w:t>
      </w:r>
      <w:r w:rsidR="000816BE">
        <w:rPr>
          <w:rFonts w:ascii="Arial" w:hAnsi="Arial" w:cs="Arial"/>
          <w:sz w:val="24"/>
        </w:rPr>
        <w:t xml:space="preserve"> graves</w:t>
      </w:r>
      <w:r>
        <w:rPr>
          <w:rFonts w:ascii="Arial" w:hAnsi="Arial" w:cs="Arial"/>
          <w:sz w:val="24"/>
        </w:rPr>
        <w:t xml:space="preserve"> (hospitalizados</w:t>
      </w:r>
      <w:r w:rsidR="000816BE">
        <w:rPr>
          <w:rFonts w:ascii="Arial" w:hAnsi="Arial" w:cs="Arial"/>
          <w:sz w:val="24"/>
        </w:rPr>
        <w:t>, por exemplo)</w:t>
      </w:r>
      <w:r w:rsidR="00F62398">
        <w:rPr>
          <w:rFonts w:ascii="Arial" w:hAnsi="Arial" w:cs="Arial"/>
          <w:sz w:val="24"/>
        </w:rPr>
        <w:t>,</w:t>
      </w:r>
      <w:r w:rsidR="000816BE">
        <w:rPr>
          <w:rFonts w:ascii="Arial" w:hAnsi="Arial" w:cs="Arial"/>
          <w:sz w:val="24"/>
        </w:rPr>
        <w:t xml:space="preserve"> </w:t>
      </w:r>
      <w:r w:rsidR="007A0350">
        <w:rPr>
          <w:rFonts w:ascii="Arial" w:hAnsi="Arial" w:cs="Arial"/>
          <w:sz w:val="24"/>
        </w:rPr>
        <w:t>n</w:t>
      </w:r>
      <w:r w:rsidR="000816BE">
        <w:rPr>
          <w:rFonts w:ascii="Arial" w:hAnsi="Arial" w:cs="Arial"/>
          <w:sz w:val="24"/>
        </w:rPr>
        <w:t>e</w:t>
      </w:r>
      <w:r w:rsidR="007A0350">
        <w:rPr>
          <w:rFonts w:ascii="Arial" w:hAnsi="Arial" w:cs="Arial"/>
          <w:sz w:val="24"/>
        </w:rPr>
        <w:t>m</w:t>
      </w:r>
      <w:r w:rsidR="000816BE">
        <w:rPr>
          <w:rFonts w:ascii="Arial" w:hAnsi="Arial" w:cs="Arial"/>
          <w:sz w:val="24"/>
        </w:rPr>
        <w:t xml:space="preserve"> assintomáticos</w:t>
      </w:r>
      <w:r w:rsidR="00F62398">
        <w:rPr>
          <w:rFonts w:ascii="Arial" w:hAnsi="Arial" w:cs="Arial"/>
          <w:sz w:val="24"/>
        </w:rPr>
        <w:t>. Estes</w:t>
      </w:r>
      <w:r w:rsidR="00886B71">
        <w:rPr>
          <w:rFonts w:ascii="Arial" w:hAnsi="Arial" w:cs="Arial"/>
          <w:sz w:val="24"/>
        </w:rPr>
        <w:t xml:space="preserve"> últimos</w:t>
      </w:r>
      <w:r w:rsidR="007A0350">
        <w:rPr>
          <w:rFonts w:ascii="Arial" w:hAnsi="Arial" w:cs="Arial"/>
          <w:sz w:val="24"/>
        </w:rPr>
        <w:t>,</w:t>
      </w:r>
      <w:r>
        <w:rPr>
          <w:rFonts w:ascii="Arial" w:hAnsi="Arial" w:cs="Arial"/>
          <w:sz w:val="24"/>
        </w:rPr>
        <w:t xml:space="preserve"> pela possibilidade de apresentar melhor adaptação à doença,</w:t>
      </w:r>
      <w:r w:rsidR="00F620AC">
        <w:rPr>
          <w:rFonts w:ascii="Arial" w:hAnsi="Arial" w:cs="Arial"/>
          <w:sz w:val="24"/>
        </w:rPr>
        <w:t xml:space="preserve"> provavelmente</w:t>
      </w:r>
      <w:r>
        <w:rPr>
          <w:rFonts w:ascii="Arial" w:hAnsi="Arial" w:cs="Arial"/>
          <w:sz w:val="24"/>
        </w:rPr>
        <w:t xml:space="preserve"> podem não estar em </w:t>
      </w:r>
      <w:r w:rsidR="000816BE">
        <w:rPr>
          <w:rFonts w:ascii="Arial" w:hAnsi="Arial" w:cs="Arial"/>
          <w:sz w:val="24"/>
        </w:rPr>
        <w:t>acompanhamento médico regular.</w:t>
      </w:r>
      <w:r w:rsidR="000F335E">
        <w:rPr>
          <w:rFonts w:ascii="Arial" w:hAnsi="Arial" w:cs="Arial"/>
          <w:sz w:val="24"/>
        </w:rPr>
        <w:t xml:space="preserve"> </w:t>
      </w:r>
      <w:r w:rsidR="001675CD" w:rsidRPr="00DB0CEE">
        <w:rPr>
          <w:rFonts w:ascii="Arial" w:hAnsi="Arial" w:cs="Arial"/>
          <w:sz w:val="24"/>
        </w:rPr>
        <w:t xml:space="preserve">O tamanho reduzido da amostra impossibilitou a comparação dos valores médios da MIF e da QVRS entre os diferentes tipos de MPS, e conferiu poder estatístico limitado no modelo de análise multivariada de regressão linear. No </w:t>
      </w:r>
      <w:r w:rsidR="001675CD" w:rsidRPr="00DB0CEE">
        <w:rPr>
          <w:rFonts w:ascii="Arial" w:hAnsi="Arial" w:cs="Arial"/>
          <w:sz w:val="24"/>
        </w:rPr>
        <w:lastRenderedPageBreak/>
        <w:t xml:space="preserve">entanto, </w:t>
      </w:r>
      <w:r w:rsidR="0025593F" w:rsidRPr="00DB0CEE">
        <w:rPr>
          <w:rFonts w:ascii="Arial" w:hAnsi="Arial" w:cs="Arial"/>
          <w:sz w:val="24"/>
        </w:rPr>
        <w:t xml:space="preserve">os achados desta análise foram evidenciados, </w:t>
      </w:r>
      <w:r w:rsidR="001675CD" w:rsidRPr="00DB0CEE">
        <w:rPr>
          <w:rFonts w:ascii="Arial" w:hAnsi="Arial" w:cs="Arial"/>
          <w:sz w:val="24"/>
        </w:rPr>
        <w:t>em virtude da importância clínica considerada para esta população. Apesar da amostra pequena, houve associação estatística e os resultados corroboram com a literatura, quanto às características da doença em questão e sua condição progressiva e incapacitante</w:t>
      </w:r>
      <w:r w:rsidR="00993CC0" w:rsidRPr="00DB0CEE">
        <w:rPr>
          <w:rFonts w:ascii="Arial" w:hAnsi="Arial" w:cs="Arial"/>
          <w:sz w:val="24"/>
        </w:rPr>
        <w:t>.</w:t>
      </w:r>
    </w:p>
    <w:p w:rsidR="00396106" w:rsidRDefault="00396106" w:rsidP="00F03F60">
      <w:pPr>
        <w:spacing w:after="0" w:line="360" w:lineRule="auto"/>
        <w:jc w:val="both"/>
        <w:rPr>
          <w:rFonts w:ascii="Arial" w:hAnsi="Arial" w:cs="Arial"/>
          <w:sz w:val="24"/>
        </w:rPr>
      </w:pPr>
    </w:p>
    <w:p w:rsidR="00BD6E03" w:rsidRDefault="00DD2716" w:rsidP="00F03F60">
      <w:pPr>
        <w:spacing w:after="0" w:line="360" w:lineRule="auto"/>
        <w:jc w:val="both"/>
        <w:rPr>
          <w:rFonts w:ascii="Arial" w:hAnsi="Arial" w:cs="Arial"/>
          <w:sz w:val="24"/>
        </w:rPr>
      </w:pPr>
      <w:r>
        <w:rPr>
          <w:rFonts w:ascii="Arial" w:hAnsi="Arial" w:cs="Arial"/>
          <w:sz w:val="24"/>
        </w:rPr>
        <w:t xml:space="preserve">O presente estudo </w:t>
      </w:r>
      <w:r w:rsidR="00185CAE">
        <w:rPr>
          <w:rFonts w:ascii="Arial" w:hAnsi="Arial" w:cs="Arial"/>
          <w:sz w:val="24"/>
        </w:rPr>
        <w:t>objetivou</w:t>
      </w:r>
      <w:r>
        <w:rPr>
          <w:rFonts w:ascii="Arial" w:hAnsi="Arial" w:cs="Arial"/>
          <w:sz w:val="24"/>
        </w:rPr>
        <w:t xml:space="preserve"> despertar o interesse para a realização de modelos prospectivos, que possibilitem seguimento desses indivíduos a partir da instituição de programas de reabilitação e tratamento. Assim, será possível acompanhar o comportamento da independência funcional e da QVRS ao longo do tempo, e realizar melhor interpretação dos resultados após intervenções terapêuticas. Espera</w:t>
      </w:r>
      <w:r w:rsidR="0003671C">
        <w:rPr>
          <w:rFonts w:ascii="Arial" w:hAnsi="Arial" w:cs="Arial"/>
          <w:sz w:val="24"/>
        </w:rPr>
        <w:t>mos</w:t>
      </w:r>
      <w:r>
        <w:rPr>
          <w:rFonts w:ascii="Arial" w:hAnsi="Arial" w:cs="Arial"/>
          <w:sz w:val="24"/>
        </w:rPr>
        <w:t>, também, contribuir para o preenchimento da lacuna de informações acerca da associação entre a independência funcional e a QVRS de pacientes com MPS. A maioria dos estudos avaliou apenas a independência funcional ou a QVRS de forma isolada. Além disto, a maior parte foi realizada em países desenvolvidos, nos quais as condições de assistência à saúde, suporte social e situação socioeconômica dos indivíduos diferem sensivelmente da população abordada nesta pesquisa.</w:t>
      </w:r>
    </w:p>
    <w:p w:rsidR="00EE32DA" w:rsidRDefault="007235EA" w:rsidP="00F03F60">
      <w:pPr>
        <w:spacing w:after="0" w:line="360" w:lineRule="auto"/>
        <w:jc w:val="both"/>
        <w:rPr>
          <w:rFonts w:ascii="Arial" w:hAnsi="Arial" w:cs="Arial"/>
          <w:sz w:val="24"/>
        </w:rPr>
      </w:pPr>
      <w:r>
        <w:rPr>
          <w:rFonts w:ascii="Arial" w:hAnsi="Arial" w:cs="Arial"/>
          <w:sz w:val="24"/>
        </w:rPr>
        <w:t xml:space="preserve">     </w:t>
      </w:r>
    </w:p>
    <w:p w:rsidR="00661869" w:rsidRDefault="00661869" w:rsidP="009E4E31">
      <w:pPr>
        <w:spacing w:after="0" w:line="360" w:lineRule="auto"/>
        <w:jc w:val="both"/>
        <w:rPr>
          <w:rFonts w:ascii="Arial" w:hAnsi="Arial" w:cs="Arial"/>
          <w:sz w:val="24"/>
        </w:rPr>
      </w:pPr>
    </w:p>
    <w:p w:rsidR="00DD2716" w:rsidRDefault="00DD2716" w:rsidP="009E4E31">
      <w:pPr>
        <w:spacing w:after="0" w:line="360" w:lineRule="auto"/>
        <w:jc w:val="both"/>
        <w:rPr>
          <w:rFonts w:ascii="Arial" w:hAnsi="Arial" w:cs="Arial"/>
          <w:sz w:val="24"/>
        </w:rPr>
      </w:pPr>
    </w:p>
    <w:p w:rsidR="009A5308" w:rsidRDefault="009A5308" w:rsidP="009E4E31">
      <w:pPr>
        <w:spacing w:after="0" w:line="360" w:lineRule="auto"/>
        <w:jc w:val="both"/>
        <w:rPr>
          <w:rFonts w:ascii="Arial" w:hAnsi="Arial" w:cs="Arial"/>
          <w:sz w:val="24"/>
        </w:rPr>
      </w:pPr>
    </w:p>
    <w:p w:rsidR="009A5308" w:rsidRDefault="009A5308" w:rsidP="009E4E31">
      <w:pPr>
        <w:spacing w:after="0" w:line="360" w:lineRule="auto"/>
        <w:jc w:val="both"/>
        <w:rPr>
          <w:rFonts w:ascii="Arial" w:hAnsi="Arial" w:cs="Arial"/>
          <w:sz w:val="24"/>
        </w:rPr>
      </w:pPr>
    </w:p>
    <w:p w:rsidR="00DD2716" w:rsidRDefault="00DD2716" w:rsidP="009E4E31">
      <w:pPr>
        <w:spacing w:after="0" w:line="360" w:lineRule="auto"/>
        <w:jc w:val="both"/>
        <w:rPr>
          <w:rFonts w:ascii="Arial" w:hAnsi="Arial" w:cs="Arial"/>
          <w:sz w:val="24"/>
        </w:rPr>
      </w:pPr>
    </w:p>
    <w:p w:rsidR="00B51D42" w:rsidRDefault="00B51D42" w:rsidP="009E4E31">
      <w:pPr>
        <w:spacing w:after="0" w:line="360" w:lineRule="auto"/>
        <w:jc w:val="both"/>
        <w:rPr>
          <w:rFonts w:ascii="Arial" w:hAnsi="Arial" w:cs="Arial"/>
          <w:sz w:val="24"/>
        </w:rPr>
      </w:pPr>
    </w:p>
    <w:p w:rsidR="00B51D42" w:rsidRDefault="00B51D42" w:rsidP="009E4E31">
      <w:pPr>
        <w:spacing w:after="0" w:line="360" w:lineRule="auto"/>
        <w:jc w:val="both"/>
        <w:rPr>
          <w:rFonts w:ascii="Arial" w:hAnsi="Arial" w:cs="Arial"/>
          <w:sz w:val="24"/>
        </w:rPr>
      </w:pPr>
    </w:p>
    <w:p w:rsidR="00B51D42" w:rsidRDefault="00B51D42" w:rsidP="009E4E31">
      <w:pPr>
        <w:spacing w:after="0" w:line="360" w:lineRule="auto"/>
        <w:jc w:val="both"/>
        <w:rPr>
          <w:rFonts w:ascii="Arial" w:hAnsi="Arial" w:cs="Arial"/>
          <w:sz w:val="24"/>
        </w:rPr>
      </w:pPr>
    </w:p>
    <w:p w:rsidR="00B51D42" w:rsidRDefault="00B51D42" w:rsidP="009E4E31">
      <w:pPr>
        <w:spacing w:after="0" w:line="360" w:lineRule="auto"/>
        <w:jc w:val="both"/>
        <w:rPr>
          <w:rFonts w:ascii="Arial" w:hAnsi="Arial" w:cs="Arial"/>
          <w:sz w:val="24"/>
        </w:rPr>
      </w:pPr>
    </w:p>
    <w:p w:rsidR="00B51D42" w:rsidRDefault="00B51D42" w:rsidP="009E4E31">
      <w:pPr>
        <w:spacing w:after="0" w:line="360" w:lineRule="auto"/>
        <w:jc w:val="both"/>
        <w:rPr>
          <w:rFonts w:ascii="Arial" w:hAnsi="Arial" w:cs="Arial"/>
          <w:sz w:val="24"/>
        </w:rPr>
      </w:pPr>
    </w:p>
    <w:p w:rsidR="00B51D42" w:rsidRDefault="00B51D42" w:rsidP="009E4E31">
      <w:pPr>
        <w:spacing w:after="0" w:line="360" w:lineRule="auto"/>
        <w:jc w:val="both"/>
        <w:rPr>
          <w:rFonts w:ascii="Arial" w:hAnsi="Arial" w:cs="Arial"/>
          <w:sz w:val="24"/>
        </w:rPr>
      </w:pPr>
    </w:p>
    <w:p w:rsidR="00B51D42" w:rsidRDefault="00B51D42" w:rsidP="009E4E31">
      <w:pPr>
        <w:spacing w:after="0" w:line="360" w:lineRule="auto"/>
        <w:jc w:val="both"/>
        <w:rPr>
          <w:rFonts w:ascii="Arial" w:hAnsi="Arial" w:cs="Arial"/>
          <w:sz w:val="24"/>
        </w:rPr>
      </w:pPr>
    </w:p>
    <w:p w:rsidR="00B51D42" w:rsidRDefault="00B51D42" w:rsidP="009E4E31">
      <w:pPr>
        <w:spacing w:after="0" w:line="360" w:lineRule="auto"/>
        <w:jc w:val="both"/>
        <w:rPr>
          <w:rFonts w:ascii="Arial" w:hAnsi="Arial" w:cs="Arial"/>
          <w:sz w:val="24"/>
        </w:rPr>
      </w:pPr>
    </w:p>
    <w:p w:rsidR="00B51D42" w:rsidRDefault="00B51D42" w:rsidP="009E4E31">
      <w:pPr>
        <w:spacing w:after="0" w:line="360" w:lineRule="auto"/>
        <w:jc w:val="both"/>
        <w:rPr>
          <w:rFonts w:ascii="Arial" w:hAnsi="Arial" w:cs="Arial"/>
          <w:sz w:val="24"/>
        </w:rPr>
      </w:pPr>
    </w:p>
    <w:p w:rsidR="00B51D42" w:rsidRDefault="00B51D42" w:rsidP="009E4E31">
      <w:pPr>
        <w:spacing w:after="0" w:line="360" w:lineRule="auto"/>
        <w:jc w:val="both"/>
        <w:rPr>
          <w:rFonts w:ascii="Arial" w:hAnsi="Arial" w:cs="Arial"/>
          <w:sz w:val="24"/>
        </w:rPr>
      </w:pPr>
    </w:p>
    <w:p w:rsidR="00B51D42" w:rsidRDefault="00B51D42" w:rsidP="009E4E31">
      <w:pPr>
        <w:spacing w:after="0" w:line="360" w:lineRule="auto"/>
        <w:jc w:val="both"/>
        <w:rPr>
          <w:rFonts w:ascii="Arial" w:hAnsi="Arial" w:cs="Arial"/>
          <w:sz w:val="24"/>
        </w:rPr>
      </w:pPr>
    </w:p>
    <w:p w:rsidR="006738DA" w:rsidRPr="006738DA" w:rsidRDefault="006738DA" w:rsidP="00582961">
      <w:pPr>
        <w:pStyle w:val="Ttulo1"/>
      </w:pPr>
      <w:bookmarkStart w:id="76" w:name="_Toc496749621"/>
      <w:r w:rsidRPr="006738DA">
        <w:lastRenderedPageBreak/>
        <w:t>7 CONCLUSÃO</w:t>
      </w:r>
      <w:bookmarkEnd w:id="76"/>
    </w:p>
    <w:p w:rsidR="006738DA" w:rsidRDefault="006738DA" w:rsidP="006738DA">
      <w:pPr>
        <w:spacing w:after="0" w:line="360" w:lineRule="auto"/>
        <w:jc w:val="both"/>
        <w:rPr>
          <w:rFonts w:ascii="Arial" w:hAnsi="Arial" w:cs="Arial"/>
          <w:sz w:val="24"/>
        </w:rPr>
      </w:pPr>
    </w:p>
    <w:p w:rsidR="00D46B78" w:rsidRDefault="00F03F60" w:rsidP="00F03F60">
      <w:pPr>
        <w:spacing w:after="0" w:line="360" w:lineRule="auto"/>
        <w:jc w:val="both"/>
        <w:rPr>
          <w:rFonts w:ascii="Arial" w:hAnsi="Arial" w:cs="Arial"/>
          <w:sz w:val="24"/>
        </w:rPr>
      </w:pPr>
      <w:r>
        <w:rPr>
          <w:rFonts w:ascii="Arial" w:hAnsi="Arial" w:cs="Arial"/>
          <w:sz w:val="24"/>
        </w:rPr>
        <w:t>A</w:t>
      </w:r>
      <w:r w:rsidR="00B812C8">
        <w:rPr>
          <w:rFonts w:ascii="Arial" w:hAnsi="Arial" w:cs="Arial"/>
          <w:sz w:val="24"/>
        </w:rPr>
        <w:t xml:space="preserve"> </w:t>
      </w:r>
      <w:r w:rsidR="00A02116">
        <w:rPr>
          <w:rFonts w:ascii="Arial" w:hAnsi="Arial" w:cs="Arial"/>
          <w:sz w:val="24"/>
        </w:rPr>
        <w:t>independ</w:t>
      </w:r>
      <w:r w:rsidR="001E0CDC">
        <w:rPr>
          <w:rFonts w:ascii="Arial" w:hAnsi="Arial" w:cs="Arial"/>
          <w:sz w:val="24"/>
        </w:rPr>
        <w:t>ência funcional</w:t>
      </w:r>
      <w:r w:rsidR="00182B3B">
        <w:rPr>
          <w:rFonts w:ascii="Arial" w:hAnsi="Arial" w:cs="Arial"/>
          <w:sz w:val="24"/>
        </w:rPr>
        <w:t xml:space="preserve"> de crianças e adolescentes com MPS</w:t>
      </w:r>
      <w:r w:rsidR="001E0CDC">
        <w:rPr>
          <w:rFonts w:ascii="Arial" w:hAnsi="Arial" w:cs="Arial"/>
          <w:sz w:val="24"/>
        </w:rPr>
        <w:t xml:space="preserve"> </w:t>
      </w:r>
      <w:r w:rsidR="00A02116">
        <w:rPr>
          <w:rFonts w:ascii="Arial" w:hAnsi="Arial" w:cs="Arial"/>
          <w:sz w:val="24"/>
        </w:rPr>
        <w:t xml:space="preserve">apresentou correlação </w:t>
      </w:r>
      <w:r w:rsidR="00372CCA">
        <w:rPr>
          <w:rFonts w:ascii="Arial" w:hAnsi="Arial" w:cs="Arial"/>
          <w:sz w:val="24"/>
        </w:rPr>
        <w:t>significativa</w:t>
      </w:r>
      <w:r w:rsidR="00A02116">
        <w:rPr>
          <w:rFonts w:ascii="Arial" w:hAnsi="Arial" w:cs="Arial"/>
          <w:sz w:val="24"/>
        </w:rPr>
        <w:t xml:space="preserve"> com a QVRS</w:t>
      </w:r>
      <w:r w:rsidR="00D6567E">
        <w:rPr>
          <w:rFonts w:ascii="Arial" w:hAnsi="Arial" w:cs="Arial"/>
          <w:sz w:val="24"/>
        </w:rPr>
        <w:t>.</w:t>
      </w:r>
      <w:r w:rsidR="00E7196E">
        <w:rPr>
          <w:rFonts w:ascii="Arial" w:hAnsi="Arial" w:cs="Arial"/>
          <w:sz w:val="24"/>
        </w:rPr>
        <w:t xml:space="preserve"> F</w:t>
      </w:r>
      <w:r w:rsidR="00E8651D">
        <w:rPr>
          <w:rFonts w:ascii="Arial" w:hAnsi="Arial" w:cs="Arial"/>
          <w:sz w:val="24"/>
        </w:rPr>
        <w:t xml:space="preserve">oi observada </w:t>
      </w:r>
      <w:r w:rsidR="007D7947">
        <w:rPr>
          <w:rFonts w:ascii="Arial" w:hAnsi="Arial" w:cs="Arial"/>
          <w:sz w:val="24"/>
        </w:rPr>
        <w:t>cor</w:t>
      </w:r>
      <w:r w:rsidR="00E8651D">
        <w:rPr>
          <w:rFonts w:ascii="Arial" w:hAnsi="Arial" w:cs="Arial"/>
          <w:sz w:val="24"/>
        </w:rPr>
        <w:t xml:space="preserve">relação entre as atividades </w:t>
      </w:r>
      <w:r w:rsidR="00B70977">
        <w:rPr>
          <w:rFonts w:ascii="Arial" w:hAnsi="Arial" w:cs="Arial"/>
          <w:sz w:val="24"/>
        </w:rPr>
        <w:t xml:space="preserve">de autocuidado, </w:t>
      </w:r>
      <w:r w:rsidR="00F233A4">
        <w:rPr>
          <w:rFonts w:ascii="Arial" w:hAnsi="Arial" w:cs="Arial"/>
          <w:sz w:val="24"/>
        </w:rPr>
        <w:t>transferência</w:t>
      </w:r>
      <w:r w:rsidR="008B31F9">
        <w:rPr>
          <w:rFonts w:ascii="Arial" w:hAnsi="Arial" w:cs="Arial"/>
          <w:sz w:val="24"/>
        </w:rPr>
        <w:t>s</w:t>
      </w:r>
      <w:r w:rsidR="00F233A4">
        <w:rPr>
          <w:rFonts w:ascii="Arial" w:hAnsi="Arial" w:cs="Arial"/>
          <w:sz w:val="24"/>
        </w:rPr>
        <w:t>, locomoç</w:t>
      </w:r>
      <w:r w:rsidR="000655E5">
        <w:rPr>
          <w:rFonts w:ascii="Arial" w:hAnsi="Arial" w:cs="Arial"/>
          <w:sz w:val="24"/>
        </w:rPr>
        <w:t xml:space="preserve">ão e </w:t>
      </w:r>
      <w:r w:rsidR="00F233A4">
        <w:rPr>
          <w:rFonts w:ascii="Arial" w:hAnsi="Arial" w:cs="Arial"/>
          <w:sz w:val="24"/>
        </w:rPr>
        <w:t>cognição social</w:t>
      </w:r>
      <w:r w:rsidR="00C94C54">
        <w:rPr>
          <w:rFonts w:ascii="Arial" w:hAnsi="Arial" w:cs="Arial"/>
          <w:sz w:val="24"/>
        </w:rPr>
        <w:t>,</w:t>
      </w:r>
      <w:r w:rsidR="000655E5">
        <w:rPr>
          <w:rFonts w:ascii="Arial" w:hAnsi="Arial" w:cs="Arial"/>
          <w:sz w:val="24"/>
        </w:rPr>
        <w:t xml:space="preserve"> com</w:t>
      </w:r>
      <w:r w:rsidR="00D46B78">
        <w:rPr>
          <w:rFonts w:ascii="Arial" w:hAnsi="Arial" w:cs="Arial"/>
          <w:sz w:val="24"/>
        </w:rPr>
        <w:t xml:space="preserve"> o</w:t>
      </w:r>
      <w:r w:rsidR="000A04AE">
        <w:rPr>
          <w:rFonts w:ascii="Arial" w:hAnsi="Arial" w:cs="Arial"/>
          <w:sz w:val="24"/>
        </w:rPr>
        <w:t xml:space="preserve"> domínio capacidade física da Q</w:t>
      </w:r>
      <w:r w:rsidR="00D46B78">
        <w:rPr>
          <w:rFonts w:ascii="Arial" w:hAnsi="Arial" w:cs="Arial"/>
          <w:sz w:val="24"/>
        </w:rPr>
        <w:t>V</w:t>
      </w:r>
      <w:r w:rsidR="000A04AE">
        <w:rPr>
          <w:rFonts w:ascii="Arial" w:hAnsi="Arial" w:cs="Arial"/>
          <w:sz w:val="24"/>
        </w:rPr>
        <w:t>R</w:t>
      </w:r>
      <w:r w:rsidR="00D46B78">
        <w:rPr>
          <w:rFonts w:ascii="Arial" w:hAnsi="Arial" w:cs="Arial"/>
          <w:sz w:val="24"/>
        </w:rPr>
        <w:t>S</w:t>
      </w:r>
      <w:r w:rsidR="00E8651D">
        <w:rPr>
          <w:rFonts w:ascii="Arial" w:hAnsi="Arial" w:cs="Arial"/>
          <w:sz w:val="24"/>
        </w:rPr>
        <w:t xml:space="preserve">. </w:t>
      </w:r>
      <w:r w:rsidR="00592F7B">
        <w:rPr>
          <w:rFonts w:ascii="Arial" w:hAnsi="Arial" w:cs="Arial"/>
          <w:sz w:val="24"/>
        </w:rPr>
        <w:t xml:space="preserve">A dificuldade para locomoção, de forma independente, foi </w:t>
      </w:r>
      <w:r w:rsidR="00572829">
        <w:rPr>
          <w:rFonts w:ascii="Arial" w:hAnsi="Arial" w:cs="Arial"/>
          <w:sz w:val="24"/>
        </w:rPr>
        <w:t>o fator</w:t>
      </w:r>
      <w:r w:rsidR="00592F7B">
        <w:rPr>
          <w:rFonts w:ascii="Arial" w:hAnsi="Arial" w:cs="Arial"/>
          <w:sz w:val="24"/>
        </w:rPr>
        <w:t xml:space="preserve"> com maior impacto na capacidade física </w:t>
      </w:r>
      <w:r w:rsidR="00C94C54">
        <w:rPr>
          <w:rFonts w:ascii="Arial" w:hAnsi="Arial" w:cs="Arial"/>
          <w:sz w:val="24"/>
        </w:rPr>
        <w:t>dos sujeitos participantes</w:t>
      </w:r>
      <w:r w:rsidR="00592F7B">
        <w:rPr>
          <w:rFonts w:ascii="Arial" w:hAnsi="Arial" w:cs="Arial"/>
          <w:sz w:val="24"/>
        </w:rPr>
        <w:t xml:space="preserve"> deste estudo, de acordo com a concepção dos seus pais ou cuidadores</w:t>
      </w:r>
      <w:r w:rsidR="009B4052">
        <w:rPr>
          <w:rFonts w:ascii="Arial" w:hAnsi="Arial" w:cs="Arial"/>
          <w:sz w:val="24"/>
        </w:rPr>
        <w:t>.</w:t>
      </w:r>
    </w:p>
    <w:p w:rsidR="00F712B7" w:rsidRDefault="00F712B7" w:rsidP="00F712B7">
      <w:pPr>
        <w:spacing w:after="0" w:line="360" w:lineRule="auto"/>
        <w:jc w:val="both"/>
        <w:rPr>
          <w:rFonts w:ascii="Arial" w:hAnsi="Arial" w:cs="Arial"/>
          <w:sz w:val="24"/>
        </w:rPr>
      </w:pPr>
    </w:p>
    <w:p w:rsidR="00F712B7" w:rsidRDefault="00F712B7" w:rsidP="00F712B7">
      <w:pPr>
        <w:spacing w:after="0" w:line="360" w:lineRule="auto"/>
        <w:jc w:val="both"/>
        <w:rPr>
          <w:rFonts w:ascii="Arial" w:hAnsi="Arial" w:cs="Arial"/>
          <w:sz w:val="24"/>
        </w:rPr>
      </w:pPr>
    </w:p>
    <w:p w:rsidR="007760DE" w:rsidRDefault="007760DE" w:rsidP="00F712B7">
      <w:pPr>
        <w:spacing w:after="0" w:line="360" w:lineRule="auto"/>
        <w:jc w:val="both"/>
        <w:rPr>
          <w:rFonts w:ascii="Arial" w:hAnsi="Arial" w:cs="Arial"/>
          <w:sz w:val="24"/>
        </w:rPr>
      </w:pPr>
    </w:p>
    <w:p w:rsidR="007760DE" w:rsidRDefault="007760DE" w:rsidP="00F712B7">
      <w:pPr>
        <w:spacing w:after="0" w:line="360" w:lineRule="auto"/>
        <w:jc w:val="both"/>
        <w:rPr>
          <w:rFonts w:ascii="Arial" w:hAnsi="Arial" w:cs="Arial"/>
          <w:sz w:val="24"/>
        </w:rPr>
      </w:pPr>
    </w:p>
    <w:p w:rsidR="007760DE" w:rsidRDefault="007760DE" w:rsidP="00F712B7">
      <w:pPr>
        <w:spacing w:after="0" w:line="360" w:lineRule="auto"/>
        <w:jc w:val="both"/>
        <w:rPr>
          <w:rFonts w:ascii="Arial" w:hAnsi="Arial" w:cs="Arial"/>
          <w:sz w:val="24"/>
        </w:rPr>
      </w:pPr>
    </w:p>
    <w:p w:rsidR="007760DE" w:rsidRDefault="007760DE" w:rsidP="00F712B7">
      <w:pPr>
        <w:spacing w:after="0" w:line="360" w:lineRule="auto"/>
        <w:jc w:val="both"/>
        <w:rPr>
          <w:rFonts w:ascii="Arial" w:hAnsi="Arial" w:cs="Arial"/>
          <w:sz w:val="24"/>
        </w:rPr>
      </w:pPr>
    </w:p>
    <w:p w:rsidR="007760DE" w:rsidRDefault="007760DE" w:rsidP="00F712B7">
      <w:pPr>
        <w:spacing w:after="0" w:line="360" w:lineRule="auto"/>
        <w:jc w:val="both"/>
        <w:rPr>
          <w:rFonts w:ascii="Arial" w:hAnsi="Arial" w:cs="Arial"/>
          <w:sz w:val="24"/>
        </w:rPr>
      </w:pPr>
    </w:p>
    <w:p w:rsidR="007760DE" w:rsidRDefault="007760DE" w:rsidP="00F712B7">
      <w:pPr>
        <w:spacing w:after="0" w:line="360" w:lineRule="auto"/>
        <w:jc w:val="both"/>
        <w:rPr>
          <w:rFonts w:ascii="Arial" w:hAnsi="Arial" w:cs="Arial"/>
          <w:sz w:val="24"/>
        </w:rPr>
      </w:pPr>
    </w:p>
    <w:p w:rsidR="007760DE" w:rsidRDefault="007760DE" w:rsidP="00F712B7">
      <w:pPr>
        <w:spacing w:after="0" w:line="360" w:lineRule="auto"/>
        <w:jc w:val="both"/>
        <w:rPr>
          <w:rFonts w:ascii="Arial" w:hAnsi="Arial" w:cs="Arial"/>
          <w:sz w:val="24"/>
        </w:rPr>
      </w:pPr>
    </w:p>
    <w:p w:rsidR="007760DE" w:rsidRDefault="007760DE" w:rsidP="00F712B7">
      <w:pPr>
        <w:spacing w:after="0" w:line="360" w:lineRule="auto"/>
        <w:jc w:val="both"/>
        <w:rPr>
          <w:rFonts w:ascii="Arial" w:hAnsi="Arial" w:cs="Arial"/>
          <w:sz w:val="24"/>
        </w:rPr>
      </w:pPr>
    </w:p>
    <w:p w:rsidR="007760DE" w:rsidRDefault="007760DE" w:rsidP="00F712B7">
      <w:pPr>
        <w:spacing w:after="0" w:line="360" w:lineRule="auto"/>
        <w:jc w:val="both"/>
        <w:rPr>
          <w:rFonts w:ascii="Arial" w:hAnsi="Arial" w:cs="Arial"/>
          <w:sz w:val="24"/>
        </w:rPr>
      </w:pPr>
    </w:p>
    <w:p w:rsidR="007760DE" w:rsidRDefault="007760DE" w:rsidP="00F712B7">
      <w:pPr>
        <w:spacing w:after="0" w:line="360" w:lineRule="auto"/>
        <w:jc w:val="both"/>
        <w:rPr>
          <w:rFonts w:ascii="Arial" w:hAnsi="Arial" w:cs="Arial"/>
          <w:sz w:val="24"/>
        </w:rPr>
      </w:pPr>
    </w:p>
    <w:p w:rsidR="007760DE" w:rsidRDefault="007760DE" w:rsidP="00F712B7">
      <w:pPr>
        <w:spacing w:after="0" w:line="360" w:lineRule="auto"/>
        <w:jc w:val="both"/>
        <w:rPr>
          <w:rFonts w:ascii="Arial" w:hAnsi="Arial" w:cs="Arial"/>
          <w:sz w:val="24"/>
        </w:rPr>
      </w:pPr>
    </w:p>
    <w:p w:rsidR="007760DE" w:rsidRDefault="007760DE" w:rsidP="00F712B7">
      <w:pPr>
        <w:spacing w:after="0" w:line="360" w:lineRule="auto"/>
        <w:jc w:val="both"/>
        <w:rPr>
          <w:rFonts w:ascii="Arial" w:hAnsi="Arial" w:cs="Arial"/>
          <w:sz w:val="24"/>
        </w:rPr>
      </w:pPr>
    </w:p>
    <w:p w:rsidR="007760DE" w:rsidRDefault="007760DE" w:rsidP="00F712B7">
      <w:pPr>
        <w:spacing w:after="0" w:line="360" w:lineRule="auto"/>
        <w:jc w:val="both"/>
        <w:rPr>
          <w:rFonts w:ascii="Arial" w:hAnsi="Arial" w:cs="Arial"/>
          <w:sz w:val="24"/>
        </w:rPr>
      </w:pPr>
    </w:p>
    <w:p w:rsidR="007760DE" w:rsidRDefault="007760DE" w:rsidP="00F712B7">
      <w:pPr>
        <w:spacing w:after="0" w:line="360" w:lineRule="auto"/>
        <w:jc w:val="both"/>
        <w:rPr>
          <w:rFonts w:ascii="Arial" w:hAnsi="Arial" w:cs="Arial"/>
          <w:sz w:val="24"/>
        </w:rPr>
      </w:pPr>
    </w:p>
    <w:p w:rsidR="007760DE" w:rsidRDefault="007760DE" w:rsidP="00F712B7">
      <w:pPr>
        <w:spacing w:after="0" w:line="360" w:lineRule="auto"/>
        <w:jc w:val="both"/>
        <w:rPr>
          <w:rFonts w:ascii="Arial" w:hAnsi="Arial" w:cs="Arial"/>
          <w:sz w:val="24"/>
        </w:rPr>
      </w:pPr>
    </w:p>
    <w:p w:rsidR="007760DE" w:rsidRDefault="007760DE" w:rsidP="00F712B7">
      <w:pPr>
        <w:spacing w:after="0" w:line="360" w:lineRule="auto"/>
        <w:jc w:val="both"/>
        <w:rPr>
          <w:rFonts w:ascii="Arial" w:hAnsi="Arial" w:cs="Arial"/>
          <w:sz w:val="24"/>
        </w:rPr>
      </w:pPr>
    </w:p>
    <w:p w:rsidR="00C94C54" w:rsidRDefault="00C94C54" w:rsidP="00F712B7">
      <w:pPr>
        <w:spacing w:after="0" w:line="360" w:lineRule="auto"/>
        <w:jc w:val="both"/>
        <w:rPr>
          <w:rFonts w:ascii="Arial" w:hAnsi="Arial" w:cs="Arial"/>
          <w:sz w:val="24"/>
        </w:rPr>
      </w:pPr>
    </w:p>
    <w:p w:rsidR="00C94C54" w:rsidRDefault="00C94C54" w:rsidP="00F712B7">
      <w:pPr>
        <w:spacing w:after="0" w:line="360" w:lineRule="auto"/>
        <w:jc w:val="both"/>
        <w:rPr>
          <w:rFonts w:ascii="Arial" w:hAnsi="Arial" w:cs="Arial"/>
          <w:sz w:val="24"/>
        </w:rPr>
      </w:pPr>
    </w:p>
    <w:p w:rsidR="00C94C54" w:rsidRDefault="00C94C54" w:rsidP="00F712B7">
      <w:pPr>
        <w:spacing w:after="0" w:line="360" w:lineRule="auto"/>
        <w:jc w:val="both"/>
        <w:rPr>
          <w:rFonts w:ascii="Arial" w:hAnsi="Arial" w:cs="Arial"/>
          <w:sz w:val="24"/>
        </w:rPr>
      </w:pPr>
    </w:p>
    <w:p w:rsidR="00C94C54" w:rsidRDefault="00C94C54" w:rsidP="00F712B7">
      <w:pPr>
        <w:spacing w:after="0" w:line="360" w:lineRule="auto"/>
        <w:jc w:val="both"/>
        <w:rPr>
          <w:rFonts w:ascii="Arial" w:hAnsi="Arial" w:cs="Arial"/>
          <w:sz w:val="24"/>
        </w:rPr>
      </w:pPr>
    </w:p>
    <w:p w:rsidR="00C94C54" w:rsidRDefault="00C94C54" w:rsidP="00F712B7">
      <w:pPr>
        <w:spacing w:after="0" w:line="360" w:lineRule="auto"/>
        <w:jc w:val="both"/>
        <w:rPr>
          <w:rFonts w:ascii="Arial" w:hAnsi="Arial" w:cs="Arial"/>
          <w:sz w:val="24"/>
        </w:rPr>
      </w:pPr>
    </w:p>
    <w:p w:rsidR="007760DE" w:rsidRDefault="007760DE" w:rsidP="00F712B7">
      <w:pPr>
        <w:spacing w:after="0" w:line="360" w:lineRule="auto"/>
        <w:jc w:val="both"/>
        <w:rPr>
          <w:rFonts w:ascii="Arial" w:hAnsi="Arial" w:cs="Arial"/>
          <w:sz w:val="24"/>
        </w:rPr>
      </w:pPr>
    </w:p>
    <w:p w:rsidR="007760DE" w:rsidRDefault="007760DE" w:rsidP="00F712B7">
      <w:pPr>
        <w:spacing w:after="0" w:line="360" w:lineRule="auto"/>
        <w:jc w:val="both"/>
        <w:rPr>
          <w:rFonts w:ascii="Arial" w:hAnsi="Arial" w:cs="Arial"/>
          <w:sz w:val="24"/>
        </w:rPr>
      </w:pPr>
    </w:p>
    <w:p w:rsidR="00017B53" w:rsidRPr="009B193E" w:rsidRDefault="00017B53" w:rsidP="00017B53">
      <w:pPr>
        <w:pStyle w:val="Ttulo3"/>
      </w:pPr>
      <w:bookmarkStart w:id="77" w:name="_Toc493696320"/>
      <w:bookmarkStart w:id="78" w:name="_Toc496749622"/>
      <w:r w:rsidRPr="009B193E">
        <w:lastRenderedPageBreak/>
        <w:t>REFERÊNCIAS</w:t>
      </w:r>
      <w:bookmarkEnd w:id="77"/>
      <w:bookmarkEnd w:id="78"/>
    </w:p>
    <w:p w:rsidR="00017B53" w:rsidRDefault="00017B53" w:rsidP="002306F1">
      <w:pPr>
        <w:spacing w:after="0" w:line="360" w:lineRule="auto"/>
        <w:jc w:val="both"/>
        <w:rPr>
          <w:rFonts w:ascii="Arial" w:hAnsi="Arial" w:cs="Arial"/>
          <w:sz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D1822">
        <w:rPr>
          <w:rFonts w:ascii="Arial" w:hAnsi="Arial" w:cs="Arial"/>
          <w:noProof/>
          <w:sz w:val="24"/>
          <w:szCs w:val="24"/>
        </w:rPr>
        <w:t xml:space="preserve">1. </w:t>
      </w:r>
      <w:r w:rsidRPr="00FD1822">
        <w:rPr>
          <w:rFonts w:ascii="Arial" w:hAnsi="Arial" w:cs="Arial"/>
          <w:noProof/>
          <w:sz w:val="24"/>
          <w:szCs w:val="24"/>
        </w:rPr>
        <w:tab/>
        <w:t>Brasil. Estatuto da criança e do adolescente: Lei federal n</w:t>
      </w:r>
      <w:r w:rsidRPr="00FD1822">
        <w:rPr>
          <w:rFonts w:ascii="Arial" w:hAnsi="Arial" w:cs="Arial"/>
          <w:noProof/>
          <w:sz w:val="24"/>
          <w:szCs w:val="24"/>
          <w:vertAlign w:val="superscript"/>
        </w:rPr>
        <w:t>o</w:t>
      </w:r>
      <w:r w:rsidRPr="00FD1822">
        <w:rPr>
          <w:rFonts w:ascii="Arial" w:hAnsi="Arial" w:cs="Arial"/>
          <w:noProof/>
          <w:sz w:val="24"/>
          <w:szCs w:val="24"/>
        </w:rPr>
        <w:t xml:space="preserve"> 8069, de 13 de julho de 1990. </w:t>
      </w:r>
      <w:r>
        <w:rPr>
          <w:rFonts w:ascii="Arial" w:hAnsi="Arial" w:cs="Arial"/>
          <w:noProof/>
          <w:sz w:val="24"/>
          <w:szCs w:val="24"/>
        </w:rPr>
        <w:t>Rio de Janeiro: Imprensa Oficial</w:t>
      </w:r>
      <w:r w:rsidRPr="00FD1822">
        <w:rPr>
          <w:rFonts w:ascii="Arial" w:hAnsi="Arial" w:cs="Arial"/>
          <w:noProof/>
          <w:sz w:val="24"/>
          <w:szCs w:val="24"/>
        </w:rPr>
        <w:t>; 2010.</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D1822">
        <w:rPr>
          <w:rFonts w:ascii="Arial" w:hAnsi="Arial" w:cs="Arial"/>
          <w:noProof/>
          <w:sz w:val="24"/>
          <w:szCs w:val="24"/>
        </w:rPr>
        <w:t xml:space="preserve"> </w:t>
      </w:r>
    </w:p>
    <w:p w:rsidR="002306F1" w:rsidRPr="00696CB9" w:rsidRDefault="002306F1" w:rsidP="002306F1">
      <w:pPr>
        <w:widowControl w:val="0"/>
        <w:autoSpaceDE w:val="0"/>
        <w:autoSpaceDN w:val="0"/>
        <w:adjustRightInd w:val="0"/>
        <w:spacing w:after="0" w:line="240" w:lineRule="auto"/>
        <w:ind w:left="641" w:hanging="641"/>
        <w:rPr>
          <w:rFonts w:ascii="Arial" w:hAnsi="Arial" w:cs="Arial"/>
          <w:noProof/>
          <w:sz w:val="24"/>
          <w:szCs w:val="24"/>
        </w:rPr>
      </w:pPr>
      <w:r w:rsidRPr="00FD1822">
        <w:rPr>
          <w:rFonts w:ascii="Arial" w:hAnsi="Arial" w:cs="Arial"/>
          <w:noProof/>
          <w:sz w:val="24"/>
          <w:szCs w:val="24"/>
        </w:rPr>
        <w:t xml:space="preserve">2. </w:t>
      </w:r>
      <w:r w:rsidRPr="00FD1822">
        <w:rPr>
          <w:rFonts w:ascii="Arial" w:hAnsi="Arial" w:cs="Arial"/>
          <w:noProof/>
          <w:sz w:val="24"/>
          <w:szCs w:val="24"/>
        </w:rPr>
        <w:tab/>
        <w:t xml:space="preserve">Nóbrega V, Silva M, Fernandes L, Vieira C, Reichert A, Collet N. Doença crônica na infância e adolescência: continuidade do cuidado na Rede de Atenção à Saúde. Rev Esc Enferm USP. 2017;51:1–8. </w:t>
      </w:r>
      <w:r>
        <w:rPr>
          <w:rFonts w:ascii="Arial" w:hAnsi="Arial" w:cs="Arial"/>
          <w:noProof/>
          <w:sz w:val="24"/>
          <w:szCs w:val="24"/>
        </w:rPr>
        <w:t>DOI</w:t>
      </w:r>
      <w:r w:rsidRPr="00696CB9">
        <w:rPr>
          <w:rFonts w:ascii="Arial" w:hAnsi="Arial" w:cs="Arial"/>
          <w:noProof/>
          <w:sz w:val="24"/>
          <w:szCs w:val="24"/>
        </w:rPr>
        <w:t xml:space="preserve">: </w:t>
      </w:r>
      <w:hyperlink r:id="rId27" w:history="1">
        <w:r w:rsidRPr="00696CB9">
          <w:rPr>
            <w:rStyle w:val="Hyperlink"/>
            <w:rFonts w:ascii="Arial" w:hAnsi="Arial" w:cs="Arial"/>
            <w:color w:val="auto"/>
            <w:sz w:val="24"/>
            <w:szCs w:val="24"/>
            <w:u w:val="none"/>
            <w:shd w:val="clear" w:color="auto" w:fill="FFFFFF"/>
          </w:rPr>
          <w:t>10.1590/s1980-220x2016042503226</w:t>
        </w:r>
      </w:hyperlink>
      <w:r w:rsidRPr="00696CB9">
        <w:rPr>
          <w:rFonts w:ascii="Arial" w:hAnsi="Arial" w:cs="Arial"/>
          <w:sz w:val="24"/>
          <w:szCs w:val="24"/>
        </w:rPr>
        <w:t>.</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D1822">
        <w:rPr>
          <w:rFonts w:ascii="Arial" w:hAnsi="Arial" w:cs="Arial"/>
          <w:noProof/>
          <w:sz w:val="24"/>
          <w:szCs w:val="24"/>
        </w:rPr>
        <w:t xml:space="preserve">3. </w:t>
      </w:r>
      <w:r w:rsidRPr="00FD1822">
        <w:rPr>
          <w:rFonts w:ascii="Arial" w:hAnsi="Arial" w:cs="Arial"/>
          <w:noProof/>
          <w:sz w:val="24"/>
          <w:szCs w:val="24"/>
        </w:rPr>
        <w:tab/>
        <w:t xml:space="preserve">Salvador M, Gomes G, Oliveira P, Gomes V, Busanello J, Xavier D. Estratégias de famílias no cuidado a crianças portadoras de doenças crônicas. </w:t>
      </w:r>
      <w:r w:rsidRPr="00FF1F37">
        <w:rPr>
          <w:rFonts w:ascii="Arial" w:hAnsi="Arial" w:cs="Arial"/>
          <w:noProof/>
          <w:sz w:val="24"/>
          <w:szCs w:val="24"/>
          <w:lang w:val="en-US"/>
        </w:rPr>
        <w:t xml:space="preserve">Texto Context Enferm. 2015;24(3):662–9. DOI: </w:t>
      </w:r>
      <w:r w:rsidRPr="00FF1F37">
        <w:rPr>
          <w:rFonts w:ascii="Arial" w:hAnsi="Arial" w:cs="Arial"/>
          <w:sz w:val="24"/>
          <w:szCs w:val="24"/>
          <w:shd w:val="clear" w:color="auto" w:fill="FFFFFF"/>
          <w:lang w:val="en-US"/>
        </w:rPr>
        <w:t>10.1590/0104-07072015000300014.</w:t>
      </w:r>
    </w:p>
    <w:p w:rsidR="002306F1" w:rsidRPr="00FF1F37" w:rsidRDefault="002306F1" w:rsidP="002306F1">
      <w:pPr>
        <w:widowControl w:val="0"/>
        <w:autoSpaceDE w:val="0"/>
        <w:autoSpaceDN w:val="0"/>
        <w:adjustRightInd w:val="0"/>
        <w:spacing w:after="0" w:line="240" w:lineRule="auto"/>
        <w:ind w:left="641" w:hanging="641"/>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 xml:space="preserve">4. </w:t>
      </w:r>
      <w:r w:rsidRPr="00FF1F37">
        <w:rPr>
          <w:rFonts w:ascii="Arial" w:hAnsi="Arial" w:cs="Arial"/>
          <w:noProof/>
          <w:sz w:val="24"/>
          <w:szCs w:val="24"/>
          <w:lang w:val="en-US"/>
        </w:rPr>
        <w:tab/>
        <w:t xml:space="preserve">Muenzer J. Overview of the mucopolysaccharidoses. Rheumatology (Oxford). 2011;50(Suppl. 5):4–12. DOI: </w:t>
      </w:r>
      <w:r w:rsidRPr="00FF1F37">
        <w:rPr>
          <w:rFonts w:ascii="Arial" w:hAnsi="Arial" w:cs="Arial"/>
          <w:color w:val="000000"/>
          <w:sz w:val="24"/>
          <w:szCs w:val="24"/>
          <w:shd w:val="clear" w:color="auto" w:fill="FFFFFF"/>
          <w:lang w:val="en-US"/>
        </w:rPr>
        <w:t>10.1093/rheumatology/ker394.</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 xml:space="preserve">5. </w:t>
      </w:r>
      <w:r w:rsidRPr="00FF1F37">
        <w:rPr>
          <w:rFonts w:ascii="Arial" w:hAnsi="Arial" w:cs="Arial"/>
          <w:noProof/>
          <w:sz w:val="24"/>
          <w:szCs w:val="24"/>
          <w:lang w:val="en-US"/>
        </w:rPr>
        <w:tab/>
        <w:t xml:space="preserve">Tomatsu S, Kubaski F, Sawamoto K, Mason RW, Yasuda E, Shimada T, et al. Newborn screening and diagnosis of mucopolysaccharidoses: application of tandem mass spectrometry. Nihon Masu Sukuriningu Gakkai Shi. 2014;24:19–37. </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 xml:space="preserve">6. </w:t>
      </w:r>
      <w:r w:rsidRPr="00FF1F37">
        <w:rPr>
          <w:rFonts w:ascii="Arial" w:hAnsi="Arial" w:cs="Arial"/>
          <w:noProof/>
          <w:sz w:val="24"/>
          <w:szCs w:val="24"/>
          <w:lang w:val="en-US"/>
        </w:rPr>
        <w:tab/>
        <w:t xml:space="preserve">Tomatsu S, Alméciga-Díaz CJ, Montaño AM, Yabe H, Tanaka A, Dung VC, et al. Therapies for the bone in mucopolysaccharidoses. Mol Genet Metab. 2015;114(2):94–109. DOI: </w:t>
      </w:r>
      <w:hyperlink r:id="rId28" w:tgtFrame="pmc_ext" w:history="1">
        <w:r w:rsidRPr="00FF1F37">
          <w:rPr>
            <w:rStyle w:val="Hyperlink"/>
            <w:rFonts w:ascii="Arial" w:hAnsi="Arial" w:cs="Arial"/>
            <w:color w:val="auto"/>
            <w:sz w:val="24"/>
            <w:szCs w:val="24"/>
            <w:u w:val="none"/>
            <w:shd w:val="clear" w:color="auto" w:fill="FFFFFF"/>
            <w:lang w:val="en-US"/>
          </w:rPr>
          <w:t>10.1016/j.ymgme.2014.12.001</w:t>
        </w:r>
      </w:hyperlink>
      <w:r w:rsidRPr="00FF1F37">
        <w:rPr>
          <w:rFonts w:ascii="Arial" w:hAnsi="Arial" w:cs="Arial"/>
          <w:sz w:val="24"/>
          <w:szCs w:val="24"/>
          <w:lang w:val="en-US"/>
        </w:rPr>
        <w:t>.</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 xml:space="preserve">7. </w:t>
      </w:r>
      <w:r w:rsidRPr="00FF1F37">
        <w:rPr>
          <w:rFonts w:ascii="Arial" w:hAnsi="Arial" w:cs="Arial"/>
          <w:noProof/>
          <w:sz w:val="24"/>
          <w:szCs w:val="24"/>
          <w:lang w:val="en-US"/>
        </w:rPr>
        <w:tab/>
        <w:t xml:space="preserve">Chan MO, Sen ES, Hardy E, Hensman P, Wraith E, Jones S, et al. Assessment of musculoskeletal abnormalities in children with mucopolysaccharidoses using pGALS. Pediatr Rheumatol Online J. 2014;12(32):1–9. DOI: </w:t>
      </w:r>
      <w:r w:rsidRPr="00FF1F37">
        <w:rPr>
          <w:rFonts w:ascii="Arial" w:hAnsi="Arial" w:cs="Arial"/>
          <w:sz w:val="24"/>
          <w:szCs w:val="24"/>
          <w:shd w:val="clear" w:color="auto" w:fill="FFFFFF"/>
          <w:lang w:val="en-US"/>
        </w:rPr>
        <w:t>10.1186/1546-0096-12-32.</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F1F37">
        <w:rPr>
          <w:rFonts w:ascii="Arial" w:hAnsi="Arial" w:cs="Arial"/>
          <w:noProof/>
          <w:sz w:val="24"/>
          <w:szCs w:val="24"/>
          <w:lang w:val="en-US"/>
        </w:rPr>
        <w:t xml:space="preserve">8. </w:t>
      </w:r>
      <w:r w:rsidRPr="00FF1F37">
        <w:rPr>
          <w:rFonts w:ascii="Arial" w:hAnsi="Arial" w:cs="Arial"/>
          <w:noProof/>
          <w:sz w:val="24"/>
          <w:szCs w:val="24"/>
          <w:lang w:val="en-US"/>
        </w:rPr>
        <w:tab/>
        <w:t xml:space="preserve">Lehman TJ, Miller N, Norquist B, Underhill L, Keutzer J. Diagnosis of the mucopolysaccharidoses. </w:t>
      </w:r>
      <w:r w:rsidRPr="002903EE">
        <w:rPr>
          <w:rFonts w:ascii="Arial" w:hAnsi="Arial" w:cs="Arial"/>
          <w:noProof/>
          <w:sz w:val="24"/>
          <w:szCs w:val="24"/>
        </w:rPr>
        <w:t xml:space="preserve">Rheumatology (Oxford). 2011;50(Suppl. </w:t>
      </w:r>
      <w:r w:rsidRPr="00FD1822">
        <w:rPr>
          <w:rFonts w:ascii="Arial" w:hAnsi="Arial" w:cs="Arial"/>
          <w:noProof/>
          <w:sz w:val="24"/>
          <w:szCs w:val="24"/>
        </w:rPr>
        <w:t>5):41–8.</w:t>
      </w:r>
      <w:r>
        <w:rPr>
          <w:rFonts w:ascii="Arial" w:hAnsi="Arial" w:cs="Arial"/>
          <w:noProof/>
          <w:sz w:val="24"/>
          <w:szCs w:val="24"/>
        </w:rPr>
        <w:t xml:space="preserve"> DOI: </w:t>
      </w:r>
      <w:r w:rsidRPr="001B7A05">
        <w:rPr>
          <w:rFonts w:ascii="Arial" w:hAnsi="Arial" w:cs="Arial"/>
          <w:sz w:val="24"/>
          <w:szCs w:val="24"/>
          <w:shd w:val="clear" w:color="auto" w:fill="FFFFFF"/>
        </w:rPr>
        <w:t>10.1093/</w:t>
      </w:r>
      <w:proofErr w:type="spellStart"/>
      <w:r w:rsidRPr="001B7A05">
        <w:rPr>
          <w:rFonts w:ascii="Arial" w:hAnsi="Arial" w:cs="Arial"/>
          <w:sz w:val="24"/>
          <w:szCs w:val="24"/>
          <w:shd w:val="clear" w:color="auto" w:fill="FFFFFF"/>
        </w:rPr>
        <w:t>rheumatology</w:t>
      </w:r>
      <w:proofErr w:type="spellEnd"/>
      <w:r w:rsidRPr="001B7A05">
        <w:rPr>
          <w:rFonts w:ascii="Arial" w:hAnsi="Arial" w:cs="Arial"/>
          <w:sz w:val="24"/>
          <w:szCs w:val="24"/>
          <w:shd w:val="clear" w:color="auto" w:fill="FFFFFF"/>
        </w:rPr>
        <w:t>/ker390.</w:t>
      </w:r>
      <w:r w:rsidRPr="00FD1822">
        <w:rPr>
          <w:rFonts w:ascii="Arial" w:hAnsi="Arial" w:cs="Arial"/>
          <w:noProof/>
          <w:sz w:val="24"/>
          <w:szCs w:val="24"/>
        </w:rPr>
        <w:t xml:space="preserve"> </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D1822">
        <w:rPr>
          <w:rFonts w:ascii="Arial" w:hAnsi="Arial" w:cs="Arial"/>
          <w:noProof/>
          <w:sz w:val="24"/>
          <w:szCs w:val="24"/>
        </w:rPr>
        <w:t xml:space="preserve">9. </w:t>
      </w:r>
      <w:r w:rsidRPr="00FD1822">
        <w:rPr>
          <w:rFonts w:ascii="Arial" w:hAnsi="Arial" w:cs="Arial"/>
          <w:noProof/>
          <w:sz w:val="24"/>
          <w:szCs w:val="24"/>
        </w:rPr>
        <w:tab/>
        <w:t xml:space="preserve">Matos MA, Prado A, Schenkel G, Barreto R, Acosta AX. </w:t>
      </w:r>
      <w:r w:rsidRPr="00FF1F37">
        <w:rPr>
          <w:rFonts w:ascii="Arial" w:hAnsi="Arial" w:cs="Arial"/>
          <w:noProof/>
          <w:sz w:val="24"/>
          <w:szCs w:val="24"/>
          <w:lang w:val="en-US"/>
        </w:rPr>
        <w:t xml:space="preserve">Energy expenditure during gait in patients with mucopolysaccharidosis. Acta Ortop Bras. 2013;21(2):116–9. DOI: </w:t>
      </w:r>
      <w:hyperlink r:id="rId29" w:tgtFrame="pmc_ext" w:history="1">
        <w:r w:rsidRPr="00FF1F37">
          <w:rPr>
            <w:rStyle w:val="Hyperlink"/>
            <w:rFonts w:ascii="Arial" w:hAnsi="Arial" w:cs="Arial"/>
            <w:color w:val="auto"/>
            <w:sz w:val="24"/>
            <w:szCs w:val="24"/>
            <w:u w:val="none"/>
            <w:shd w:val="clear" w:color="auto" w:fill="FFFFFF"/>
            <w:lang w:val="en-US"/>
          </w:rPr>
          <w:t>10.1590/S1413-78522013000200009</w:t>
        </w:r>
      </w:hyperlink>
      <w:r w:rsidRPr="00FF1F37">
        <w:rPr>
          <w:rFonts w:ascii="Arial" w:hAnsi="Arial" w:cs="Arial"/>
          <w:sz w:val="24"/>
          <w:szCs w:val="24"/>
          <w:lang w:val="en-US"/>
        </w:rPr>
        <w:t>.</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 xml:space="preserve">10. </w:t>
      </w:r>
      <w:r w:rsidRPr="00FF1F37">
        <w:rPr>
          <w:rFonts w:ascii="Arial" w:hAnsi="Arial" w:cs="Arial"/>
          <w:noProof/>
          <w:sz w:val="24"/>
          <w:szCs w:val="24"/>
          <w:lang w:val="en-US"/>
        </w:rPr>
        <w:tab/>
        <w:t xml:space="preserve">Hendriksz CJ, Berger KI, Lampe C, Kircher SG, Orchard PJ, Southall R, et al. Health-related quality of life in mucopolysaccharidosis: looking beyond biomedical issues. Orphanet J Rare Dis. 2016;11(119):1–15. DOI: </w:t>
      </w:r>
      <w:hyperlink r:id="rId30" w:tgtFrame="pmc_ext" w:history="1">
        <w:r w:rsidRPr="00FF1F37">
          <w:rPr>
            <w:rStyle w:val="Hyperlink"/>
            <w:rFonts w:ascii="Arial" w:hAnsi="Arial" w:cs="Arial"/>
            <w:color w:val="auto"/>
            <w:sz w:val="24"/>
            <w:szCs w:val="24"/>
            <w:u w:val="none"/>
            <w:shd w:val="clear" w:color="auto" w:fill="FFFFFF"/>
            <w:lang w:val="en-US"/>
          </w:rPr>
          <w:t>10.1186/s13023-016-0503-2</w:t>
        </w:r>
      </w:hyperlink>
      <w:r w:rsidRPr="00FF1F37">
        <w:rPr>
          <w:rFonts w:ascii="Arial" w:hAnsi="Arial" w:cs="Arial"/>
          <w:sz w:val="24"/>
          <w:szCs w:val="24"/>
          <w:lang w:val="en-US"/>
        </w:rPr>
        <w:t>.</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 xml:space="preserve">11. </w:t>
      </w:r>
      <w:r w:rsidRPr="00FF1F37">
        <w:rPr>
          <w:rFonts w:ascii="Arial" w:hAnsi="Arial" w:cs="Arial"/>
          <w:noProof/>
          <w:sz w:val="24"/>
          <w:szCs w:val="24"/>
          <w:lang w:val="en-US"/>
        </w:rPr>
        <w:tab/>
        <w:t xml:space="preserve">Needham M, Packman W, Quinn N, Rappoport M, Aoki C, Bostrom A, et al. Health-Related Quality of Life in Patients with MPS II. J Genet Couns. 2015;24(4):635–44. DOI: </w:t>
      </w:r>
      <w:r w:rsidRPr="00FF1F37">
        <w:rPr>
          <w:rFonts w:ascii="Arial" w:hAnsi="Arial" w:cs="Arial"/>
          <w:sz w:val="24"/>
          <w:szCs w:val="17"/>
          <w:shd w:val="clear" w:color="auto" w:fill="FFFFFF"/>
          <w:lang w:val="en-US"/>
        </w:rPr>
        <w:t> 10.1007/s10897-014-9791-7.</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lastRenderedPageBreak/>
        <w:t xml:space="preserve">12. </w:t>
      </w:r>
      <w:r w:rsidRPr="00FF1F37">
        <w:rPr>
          <w:rFonts w:ascii="Arial" w:hAnsi="Arial" w:cs="Arial"/>
          <w:noProof/>
          <w:sz w:val="24"/>
          <w:szCs w:val="24"/>
          <w:lang w:val="en-US"/>
        </w:rPr>
        <w:tab/>
        <w:t xml:space="preserve">Guffon N, Heron B, Chabrol B, Feillet F, Montauban V, Valayannopoulos V. Diagnosis, quality of life, and treatment of patients with Hunter syndrome in the French healthcare system: a retrospective observational study. Orphanet J Rare Dis. 2015;10(43). DOI: </w:t>
      </w:r>
      <w:r w:rsidRPr="00FF1F37">
        <w:rPr>
          <w:rFonts w:ascii="Arial" w:hAnsi="Arial" w:cs="Arial"/>
          <w:sz w:val="24"/>
          <w:szCs w:val="24"/>
          <w:shd w:val="clear" w:color="auto" w:fill="FFFFFF"/>
          <w:lang w:val="en-US"/>
        </w:rPr>
        <w:t>10.1186/s13023-015-0259-0.</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 xml:space="preserve">13. </w:t>
      </w:r>
      <w:r w:rsidRPr="00FF1F37">
        <w:rPr>
          <w:rFonts w:ascii="Arial" w:hAnsi="Arial" w:cs="Arial"/>
          <w:noProof/>
          <w:sz w:val="24"/>
          <w:szCs w:val="24"/>
          <w:lang w:val="en-US"/>
        </w:rPr>
        <w:tab/>
        <w:t>Shapiro EG, Rudser K, Ahmed A, Steiner RD, Delaney KA, Yund B, et al. A longitudinal study of emotional adjustment, quality of life and adaptive function in attenuated MPS II. Mol Gen</w:t>
      </w:r>
      <w:r>
        <w:rPr>
          <w:rFonts w:ascii="Arial" w:hAnsi="Arial" w:cs="Arial"/>
          <w:noProof/>
          <w:sz w:val="24"/>
          <w:szCs w:val="24"/>
          <w:lang w:val="en-US"/>
        </w:rPr>
        <w:t xml:space="preserve">et Metab Rep. 2016;7:32–9. DOI: </w:t>
      </w:r>
      <w:hyperlink r:id="rId31" w:tgtFrame="pmc_ext" w:history="1">
        <w:r w:rsidRPr="00FF1F37">
          <w:rPr>
            <w:rStyle w:val="Hyperlink"/>
            <w:rFonts w:ascii="Arial" w:hAnsi="Arial" w:cs="Arial"/>
            <w:color w:val="auto"/>
            <w:sz w:val="24"/>
            <w:szCs w:val="24"/>
            <w:u w:val="none"/>
            <w:shd w:val="clear" w:color="auto" w:fill="FFFFFF"/>
            <w:lang w:val="en-US"/>
          </w:rPr>
          <w:t>10.1016/j.ymgmr.2016.03.005</w:t>
        </w:r>
      </w:hyperlink>
      <w:r w:rsidRPr="00FF1F37">
        <w:rPr>
          <w:rFonts w:ascii="Arial" w:hAnsi="Arial" w:cs="Arial"/>
          <w:sz w:val="24"/>
          <w:szCs w:val="24"/>
          <w:lang w:val="en-US"/>
        </w:rPr>
        <w:t>.</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 xml:space="preserve">14. </w:t>
      </w:r>
      <w:r w:rsidRPr="00FF1F37">
        <w:rPr>
          <w:rFonts w:ascii="Arial" w:hAnsi="Arial" w:cs="Arial"/>
          <w:noProof/>
          <w:sz w:val="24"/>
          <w:szCs w:val="24"/>
          <w:lang w:val="en-US"/>
        </w:rPr>
        <w:tab/>
        <w:t xml:space="preserve">Lin HY, Lin SP, Chuang CK, Niu DM, Chen MR, Tsai FJ, et al. Incidence of the Mucopolysaccharidoses in Taiwan, 1984-2004. Am J Med Genet A. 2009;149(5):960–4. DOI: </w:t>
      </w:r>
      <w:r w:rsidRPr="00FF1F37">
        <w:rPr>
          <w:rFonts w:ascii="Arial" w:hAnsi="Arial" w:cs="Arial"/>
          <w:sz w:val="24"/>
          <w:szCs w:val="24"/>
          <w:shd w:val="clear" w:color="auto" w:fill="FFFFFF"/>
          <w:lang w:val="en-US"/>
        </w:rPr>
        <w:t>10.1002/ajmg.a.32781.</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 xml:space="preserve">15. </w:t>
      </w:r>
      <w:r w:rsidRPr="00FF1F37">
        <w:rPr>
          <w:rFonts w:ascii="Arial" w:hAnsi="Arial" w:cs="Arial"/>
          <w:noProof/>
          <w:sz w:val="24"/>
          <w:szCs w:val="24"/>
          <w:lang w:val="en-US"/>
        </w:rPr>
        <w:tab/>
        <w:t xml:space="preserve">Baehner F, Schmiedeskamp C, Krummenauer F, Miebach E, Bajbouj M, Whybra C, et al. Cumulative incidence rates of the mucopolysaccharidoses in Germany. J Inherit Metab Dis. 2005;28(6):1011–7. DOI: </w:t>
      </w:r>
      <w:hyperlink r:id="rId32" w:history="1">
        <w:r w:rsidRPr="00FF1F37">
          <w:rPr>
            <w:rStyle w:val="Hyperlink"/>
            <w:rFonts w:ascii="Arial" w:hAnsi="Arial" w:cs="Arial"/>
            <w:color w:val="auto"/>
            <w:sz w:val="24"/>
            <w:szCs w:val="24"/>
            <w:u w:val="none"/>
            <w:shd w:val="clear" w:color="auto" w:fill="FFFFFF"/>
            <w:lang w:val="en-US"/>
          </w:rPr>
          <w:t>10.1007/s10545-005-0112-z</w:t>
        </w:r>
      </w:hyperlink>
      <w:r w:rsidRPr="00FF1F37">
        <w:rPr>
          <w:rFonts w:ascii="Arial" w:hAnsi="Arial" w:cs="Arial"/>
          <w:sz w:val="24"/>
          <w:szCs w:val="24"/>
          <w:lang w:val="en-US"/>
        </w:rPr>
        <w:t>.</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 xml:space="preserve">16. </w:t>
      </w:r>
      <w:r w:rsidRPr="00FF1F37">
        <w:rPr>
          <w:rFonts w:ascii="Arial" w:hAnsi="Arial" w:cs="Arial"/>
          <w:noProof/>
          <w:sz w:val="24"/>
          <w:szCs w:val="24"/>
          <w:lang w:val="en-US"/>
        </w:rPr>
        <w:tab/>
        <w:t xml:space="preserve">Applegarth DA, Toone JR, Lowry RB. Incidence of Inborn Errors of Metabolism in British Columbia, 1969 – 1996. Pediatrics. 2000;105(1):1–6. </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F1F37">
        <w:rPr>
          <w:rFonts w:ascii="Arial" w:hAnsi="Arial" w:cs="Arial"/>
          <w:noProof/>
          <w:sz w:val="24"/>
          <w:szCs w:val="24"/>
          <w:lang w:val="en-US"/>
        </w:rPr>
        <w:t xml:space="preserve">17. </w:t>
      </w:r>
      <w:r w:rsidRPr="00FF1F37">
        <w:rPr>
          <w:rFonts w:ascii="Arial" w:hAnsi="Arial" w:cs="Arial"/>
          <w:noProof/>
          <w:sz w:val="24"/>
          <w:szCs w:val="24"/>
          <w:lang w:val="en-US"/>
        </w:rPr>
        <w:tab/>
        <w:t xml:space="preserve">Poorthuis BJ, Wevers RA, Kleijer WJ, Groener JE, de Jong JG, van Weely S, et al. The frequency of lysosomal storage diseases in The Netherlands. Hum Genet. </w:t>
      </w:r>
      <w:r w:rsidRPr="00FD1822">
        <w:rPr>
          <w:rFonts w:ascii="Arial" w:hAnsi="Arial" w:cs="Arial"/>
          <w:noProof/>
          <w:sz w:val="24"/>
          <w:szCs w:val="24"/>
        </w:rPr>
        <w:t xml:space="preserve">1999;105(1-2):151–6. </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D1822">
        <w:rPr>
          <w:rFonts w:ascii="Arial" w:hAnsi="Arial" w:cs="Arial"/>
          <w:noProof/>
          <w:sz w:val="24"/>
          <w:szCs w:val="24"/>
        </w:rPr>
        <w:t xml:space="preserve">18. </w:t>
      </w:r>
      <w:r w:rsidRPr="00FD1822">
        <w:rPr>
          <w:rFonts w:ascii="Arial" w:hAnsi="Arial" w:cs="Arial"/>
          <w:noProof/>
          <w:sz w:val="24"/>
          <w:szCs w:val="24"/>
        </w:rPr>
        <w:tab/>
        <w:t>Gueudeville RS. O papel da classe hospitalar na atenção terapêutica de alunos-pacientes com doença crônica progressiva: o caso da mucopolissacaridose.</w:t>
      </w:r>
      <w:r>
        <w:rPr>
          <w:rFonts w:ascii="Arial" w:hAnsi="Arial" w:cs="Arial"/>
          <w:noProof/>
          <w:sz w:val="24"/>
          <w:szCs w:val="24"/>
        </w:rPr>
        <w:t xml:space="preserve"> Salvador. Dissertação [Mestrado em Educação] - Faculdade de Educação da</w:t>
      </w:r>
      <w:r w:rsidRPr="00FD1822">
        <w:rPr>
          <w:rFonts w:ascii="Arial" w:hAnsi="Arial" w:cs="Arial"/>
          <w:noProof/>
          <w:sz w:val="24"/>
          <w:szCs w:val="24"/>
        </w:rPr>
        <w:t xml:space="preserve"> Universidade Federal da Bahia; 2013. </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2903EE"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D1822">
        <w:rPr>
          <w:rFonts w:ascii="Arial" w:hAnsi="Arial" w:cs="Arial"/>
          <w:noProof/>
          <w:sz w:val="24"/>
          <w:szCs w:val="24"/>
        </w:rPr>
        <w:t xml:space="preserve">19. </w:t>
      </w:r>
      <w:r w:rsidRPr="00FD1822">
        <w:rPr>
          <w:rFonts w:ascii="Arial" w:hAnsi="Arial" w:cs="Arial"/>
          <w:noProof/>
          <w:sz w:val="24"/>
          <w:szCs w:val="24"/>
        </w:rPr>
        <w:tab/>
        <w:t>Machado T</w:t>
      </w:r>
      <w:r>
        <w:rPr>
          <w:rFonts w:ascii="Arial" w:hAnsi="Arial" w:cs="Arial"/>
          <w:noProof/>
          <w:sz w:val="24"/>
          <w:szCs w:val="24"/>
        </w:rPr>
        <w:t>M</w:t>
      </w:r>
      <w:r w:rsidRPr="00FD1822">
        <w:rPr>
          <w:rFonts w:ascii="Arial" w:hAnsi="Arial" w:cs="Arial"/>
          <w:noProof/>
          <w:sz w:val="24"/>
          <w:szCs w:val="24"/>
        </w:rPr>
        <w:t>, Bomfim T</w:t>
      </w:r>
      <w:r>
        <w:rPr>
          <w:rFonts w:ascii="Arial" w:hAnsi="Arial" w:cs="Arial"/>
          <w:noProof/>
          <w:sz w:val="24"/>
          <w:szCs w:val="24"/>
        </w:rPr>
        <w:t>F</w:t>
      </w:r>
      <w:r w:rsidRPr="00FD1822">
        <w:rPr>
          <w:rFonts w:ascii="Arial" w:hAnsi="Arial" w:cs="Arial"/>
          <w:noProof/>
          <w:sz w:val="24"/>
          <w:szCs w:val="24"/>
        </w:rPr>
        <w:t>, Souza L</w:t>
      </w:r>
      <w:r>
        <w:rPr>
          <w:rFonts w:ascii="Arial" w:hAnsi="Arial" w:cs="Arial"/>
          <w:noProof/>
          <w:sz w:val="24"/>
          <w:szCs w:val="24"/>
        </w:rPr>
        <w:t>V</w:t>
      </w:r>
      <w:r w:rsidRPr="00FD1822">
        <w:rPr>
          <w:rFonts w:ascii="Arial" w:hAnsi="Arial" w:cs="Arial"/>
          <w:noProof/>
          <w:sz w:val="24"/>
          <w:szCs w:val="24"/>
        </w:rPr>
        <w:t>, Soares N, Santos F</w:t>
      </w:r>
      <w:r>
        <w:rPr>
          <w:rFonts w:ascii="Arial" w:hAnsi="Arial" w:cs="Arial"/>
          <w:noProof/>
          <w:sz w:val="24"/>
          <w:szCs w:val="24"/>
        </w:rPr>
        <w:t>L</w:t>
      </w:r>
      <w:r w:rsidRPr="00FD1822">
        <w:rPr>
          <w:rFonts w:ascii="Arial" w:hAnsi="Arial" w:cs="Arial"/>
          <w:noProof/>
          <w:sz w:val="24"/>
          <w:szCs w:val="24"/>
        </w:rPr>
        <w:t>, Acosta A</w:t>
      </w:r>
      <w:r>
        <w:rPr>
          <w:rFonts w:ascii="Arial" w:hAnsi="Arial" w:cs="Arial"/>
          <w:noProof/>
          <w:sz w:val="24"/>
          <w:szCs w:val="24"/>
        </w:rPr>
        <w:t>X</w:t>
      </w:r>
      <w:r w:rsidRPr="00FD1822">
        <w:rPr>
          <w:rFonts w:ascii="Arial" w:hAnsi="Arial" w:cs="Arial"/>
          <w:noProof/>
          <w:sz w:val="24"/>
          <w:szCs w:val="24"/>
        </w:rPr>
        <w:t xml:space="preserve">, et al. </w:t>
      </w:r>
      <w:r w:rsidRPr="00FF1F37">
        <w:rPr>
          <w:rFonts w:ascii="Arial" w:hAnsi="Arial" w:cs="Arial"/>
          <w:noProof/>
          <w:sz w:val="24"/>
          <w:szCs w:val="24"/>
          <w:lang w:val="en-US"/>
        </w:rPr>
        <w:t xml:space="preserve">Types of marriages, population structure and genetic disease. J Biosoc Sci. 2013;45(4):461–70. </w:t>
      </w:r>
      <w:r w:rsidRPr="002903EE">
        <w:rPr>
          <w:rFonts w:ascii="Arial" w:hAnsi="Arial" w:cs="Arial"/>
          <w:noProof/>
          <w:sz w:val="24"/>
          <w:szCs w:val="24"/>
        </w:rPr>
        <w:t xml:space="preserve">DOI: </w:t>
      </w:r>
      <w:hyperlink r:id="rId33" w:history="1">
        <w:r w:rsidRPr="002903EE">
          <w:rPr>
            <w:rStyle w:val="Hyperlink"/>
            <w:rFonts w:ascii="Arial" w:hAnsi="Arial" w:cs="Arial"/>
            <w:color w:val="auto"/>
            <w:sz w:val="24"/>
            <w:szCs w:val="24"/>
            <w:u w:val="none"/>
            <w:shd w:val="clear" w:color="auto" w:fill="FFFFFF"/>
          </w:rPr>
          <w:t>10.1017/S0021932012000673</w:t>
        </w:r>
      </w:hyperlink>
      <w:r w:rsidRPr="002903EE">
        <w:rPr>
          <w:rFonts w:ascii="Arial" w:hAnsi="Arial" w:cs="Arial"/>
          <w:sz w:val="24"/>
          <w:szCs w:val="24"/>
        </w:rPr>
        <w:t>.</w:t>
      </w:r>
    </w:p>
    <w:p w:rsidR="002306F1" w:rsidRPr="002903EE"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2903EE">
        <w:rPr>
          <w:rFonts w:ascii="Arial" w:hAnsi="Arial" w:cs="Arial"/>
          <w:noProof/>
          <w:sz w:val="24"/>
          <w:szCs w:val="24"/>
        </w:rPr>
        <w:t xml:space="preserve">20. </w:t>
      </w:r>
      <w:r w:rsidRPr="002903EE">
        <w:rPr>
          <w:rFonts w:ascii="Arial" w:hAnsi="Arial" w:cs="Arial"/>
          <w:noProof/>
          <w:sz w:val="24"/>
          <w:szCs w:val="24"/>
        </w:rPr>
        <w:tab/>
        <w:t xml:space="preserve">Valayannopoulos V, Nicely H, Harmatz P, Tuberville S. Mucopolysaccharidosis VI. </w:t>
      </w:r>
      <w:r w:rsidRPr="002306F1">
        <w:rPr>
          <w:rFonts w:ascii="Arial" w:hAnsi="Arial" w:cs="Arial"/>
          <w:noProof/>
          <w:sz w:val="24"/>
          <w:szCs w:val="24"/>
        </w:rPr>
        <w:t xml:space="preserve">Orphanet J Rare Dis. 2010;5(5). DOI: </w:t>
      </w:r>
      <w:r w:rsidRPr="002306F1">
        <w:rPr>
          <w:rFonts w:ascii="Arial" w:hAnsi="Arial" w:cs="Arial"/>
          <w:color w:val="000000"/>
          <w:sz w:val="16"/>
          <w:szCs w:val="16"/>
          <w:shd w:val="clear" w:color="auto" w:fill="FFFFFF"/>
        </w:rPr>
        <w:t> </w:t>
      </w:r>
      <w:hyperlink r:id="rId34" w:tgtFrame="pmc_ext" w:history="1">
        <w:r w:rsidRPr="002306F1">
          <w:rPr>
            <w:rStyle w:val="Hyperlink"/>
            <w:rFonts w:ascii="Arial" w:hAnsi="Arial" w:cs="Arial"/>
            <w:color w:val="auto"/>
            <w:sz w:val="24"/>
            <w:szCs w:val="24"/>
            <w:u w:val="none"/>
            <w:shd w:val="clear" w:color="auto" w:fill="FFFFFF"/>
          </w:rPr>
          <w:t>10.1186/1750-1172-5-5</w:t>
        </w:r>
      </w:hyperlink>
      <w:r w:rsidRPr="002306F1">
        <w:rPr>
          <w:rFonts w:ascii="Arial" w:hAnsi="Arial" w:cs="Arial"/>
          <w:sz w:val="24"/>
          <w:szCs w:val="24"/>
        </w:rPr>
        <w:t>.</w:t>
      </w:r>
    </w:p>
    <w:p w:rsidR="002306F1" w:rsidRP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2306F1">
        <w:rPr>
          <w:rFonts w:ascii="Arial" w:hAnsi="Arial" w:cs="Arial"/>
          <w:noProof/>
          <w:sz w:val="24"/>
          <w:szCs w:val="24"/>
        </w:rPr>
        <w:t xml:space="preserve">21. </w:t>
      </w:r>
      <w:r w:rsidRPr="002306F1">
        <w:rPr>
          <w:rFonts w:ascii="Arial" w:hAnsi="Arial" w:cs="Arial"/>
          <w:noProof/>
          <w:sz w:val="24"/>
          <w:szCs w:val="24"/>
        </w:rPr>
        <w:tab/>
        <w:t xml:space="preserve">Matos MA, Barreto R, Acosta AX. </w:t>
      </w:r>
      <w:r w:rsidRPr="00FF1F37">
        <w:rPr>
          <w:rFonts w:ascii="Arial" w:hAnsi="Arial" w:cs="Arial"/>
          <w:noProof/>
          <w:sz w:val="24"/>
          <w:szCs w:val="24"/>
          <w:lang w:val="en-US"/>
        </w:rPr>
        <w:t xml:space="preserve">Evaluation of motor response in mucopolysaccharidosis patients treated with enzyme replacement therapy. </w:t>
      </w:r>
      <w:r w:rsidRPr="00FD1822">
        <w:rPr>
          <w:rFonts w:ascii="Arial" w:hAnsi="Arial" w:cs="Arial"/>
          <w:noProof/>
          <w:sz w:val="24"/>
          <w:szCs w:val="24"/>
        </w:rPr>
        <w:t xml:space="preserve">Ortop Traumatol Rehabil. 2013;15(5):389–93. </w:t>
      </w:r>
      <w:r>
        <w:rPr>
          <w:rFonts w:ascii="Arial" w:hAnsi="Arial" w:cs="Arial"/>
          <w:noProof/>
          <w:sz w:val="24"/>
          <w:szCs w:val="24"/>
        </w:rPr>
        <w:t xml:space="preserve">DOI: </w:t>
      </w:r>
      <w:hyperlink r:id="rId35" w:history="1">
        <w:r w:rsidRPr="00F5754A">
          <w:rPr>
            <w:rStyle w:val="Hyperlink"/>
            <w:rFonts w:ascii="Arial" w:hAnsi="Arial" w:cs="Arial"/>
            <w:color w:val="auto"/>
            <w:sz w:val="24"/>
            <w:szCs w:val="24"/>
            <w:u w:val="none"/>
            <w:shd w:val="clear" w:color="auto" w:fill="FFFFFF"/>
          </w:rPr>
          <w:t>10.5604/15093492.1084240</w:t>
        </w:r>
      </w:hyperlink>
      <w:r w:rsidRPr="00F5754A">
        <w:rPr>
          <w:rFonts w:ascii="Arial" w:hAnsi="Arial" w:cs="Arial"/>
          <w:sz w:val="24"/>
          <w:szCs w:val="24"/>
        </w:rPr>
        <w:t>.</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D1822">
        <w:rPr>
          <w:rFonts w:ascii="Arial" w:hAnsi="Arial" w:cs="Arial"/>
          <w:noProof/>
          <w:sz w:val="24"/>
          <w:szCs w:val="24"/>
        </w:rPr>
        <w:t xml:space="preserve">22. </w:t>
      </w:r>
      <w:r w:rsidRPr="00FD1822">
        <w:rPr>
          <w:rFonts w:ascii="Arial" w:hAnsi="Arial" w:cs="Arial"/>
          <w:noProof/>
          <w:sz w:val="24"/>
          <w:szCs w:val="24"/>
        </w:rPr>
        <w:tab/>
        <w:t>Mi</w:t>
      </w:r>
      <w:r>
        <w:rPr>
          <w:rFonts w:ascii="Arial" w:hAnsi="Arial" w:cs="Arial"/>
          <w:noProof/>
          <w:sz w:val="24"/>
          <w:szCs w:val="24"/>
        </w:rPr>
        <w:t>zuno CA, Figueiredo JB, Teza IT, Taira LG, Silva TA</w:t>
      </w:r>
      <w:r w:rsidRPr="00FD1822">
        <w:rPr>
          <w:rFonts w:ascii="Arial" w:hAnsi="Arial" w:cs="Arial"/>
          <w:noProof/>
          <w:sz w:val="24"/>
          <w:szCs w:val="24"/>
        </w:rPr>
        <w:t xml:space="preserve">, Paixão DL, et al. Aspectos clínicos da mucopolissacaridose tipo VI. Rev </w:t>
      </w:r>
      <w:r>
        <w:rPr>
          <w:rFonts w:ascii="Arial" w:hAnsi="Arial" w:cs="Arial"/>
          <w:noProof/>
          <w:sz w:val="24"/>
          <w:szCs w:val="24"/>
        </w:rPr>
        <w:t xml:space="preserve">Soc </w:t>
      </w:r>
      <w:r w:rsidRPr="00FD1822">
        <w:rPr>
          <w:rFonts w:ascii="Arial" w:hAnsi="Arial" w:cs="Arial"/>
          <w:noProof/>
          <w:sz w:val="24"/>
          <w:szCs w:val="24"/>
        </w:rPr>
        <w:t xml:space="preserve">Bras Clin Med. 2010;8(4):356–61. </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2903EE">
        <w:rPr>
          <w:rFonts w:ascii="Arial" w:hAnsi="Arial" w:cs="Arial"/>
          <w:noProof/>
          <w:sz w:val="24"/>
          <w:szCs w:val="24"/>
          <w:lang w:val="en-US"/>
        </w:rPr>
        <w:t xml:space="preserve">23. </w:t>
      </w:r>
      <w:r w:rsidRPr="002903EE">
        <w:rPr>
          <w:rFonts w:ascii="Arial" w:hAnsi="Arial" w:cs="Arial"/>
          <w:noProof/>
          <w:sz w:val="24"/>
          <w:szCs w:val="24"/>
          <w:lang w:val="en-US"/>
        </w:rPr>
        <w:tab/>
      </w:r>
      <w:r w:rsidRPr="00FF1F37">
        <w:rPr>
          <w:rFonts w:ascii="Arial" w:hAnsi="Arial" w:cs="Arial"/>
          <w:noProof/>
          <w:sz w:val="24"/>
          <w:szCs w:val="24"/>
          <w:lang w:val="en-US"/>
        </w:rPr>
        <w:t xml:space="preserve">Schwartz IV, Souza CF, Giugliani R. Treatment of inborn errors of metabolism. </w:t>
      </w:r>
      <w:r w:rsidRPr="00FD1822">
        <w:rPr>
          <w:rFonts w:ascii="Arial" w:hAnsi="Arial" w:cs="Arial"/>
          <w:noProof/>
          <w:sz w:val="24"/>
          <w:szCs w:val="24"/>
        </w:rPr>
        <w:t>J Pediatr (Rio J). 2008;84(Suppl 4):8–19.</w:t>
      </w:r>
      <w:r>
        <w:rPr>
          <w:rFonts w:ascii="Arial" w:hAnsi="Arial" w:cs="Arial"/>
          <w:noProof/>
          <w:sz w:val="24"/>
          <w:szCs w:val="24"/>
        </w:rPr>
        <w:t xml:space="preserve"> DOI:</w:t>
      </w:r>
      <w:r w:rsidRPr="00F5754A">
        <w:rPr>
          <w:rFonts w:ascii="Arial" w:hAnsi="Arial" w:cs="Arial"/>
          <w:noProof/>
          <w:sz w:val="24"/>
          <w:szCs w:val="24"/>
        </w:rPr>
        <w:t xml:space="preserve"> </w:t>
      </w:r>
      <w:hyperlink r:id="rId36" w:history="1">
        <w:r w:rsidRPr="00F5754A">
          <w:rPr>
            <w:rStyle w:val="Hyperlink"/>
            <w:rFonts w:ascii="Arial" w:hAnsi="Arial" w:cs="Arial"/>
            <w:color w:val="auto"/>
            <w:sz w:val="24"/>
            <w:szCs w:val="24"/>
            <w:u w:val="none"/>
            <w:shd w:val="clear" w:color="auto" w:fill="FFFFFF"/>
          </w:rPr>
          <w:t>10.2223/JPED.1801</w:t>
        </w:r>
      </w:hyperlink>
      <w:r w:rsidRPr="00F5754A">
        <w:rPr>
          <w:rFonts w:ascii="Arial" w:hAnsi="Arial" w:cs="Arial"/>
          <w:sz w:val="24"/>
          <w:szCs w:val="24"/>
        </w:rPr>
        <w:t>.</w:t>
      </w:r>
      <w:r w:rsidRPr="00F5754A">
        <w:rPr>
          <w:rFonts w:ascii="Arial" w:hAnsi="Arial" w:cs="Arial"/>
          <w:noProof/>
          <w:sz w:val="24"/>
          <w:szCs w:val="24"/>
        </w:rPr>
        <w:t xml:space="preserve"> </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D1822">
        <w:rPr>
          <w:rFonts w:ascii="Arial" w:hAnsi="Arial" w:cs="Arial"/>
          <w:noProof/>
          <w:sz w:val="24"/>
          <w:szCs w:val="24"/>
        </w:rPr>
        <w:lastRenderedPageBreak/>
        <w:t xml:space="preserve">24. </w:t>
      </w:r>
      <w:r w:rsidRPr="00FD1822">
        <w:rPr>
          <w:rFonts w:ascii="Arial" w:hAnsi="Arial" w:cs="Arial"/>
          <w:noProof/>
          <w:sz w:val="24"/>
          <w:szCs w:val="24"/>
        </w:rPr>
        <w:tab/>
        <w:t xml:space="preserve">Giugliani R, Federhen A, Rojas MV, Vieira TA, Artigalás O, Pinto LL  et al. Terapia de reposição enzimática para as mucopolissacaridoses I , II e VI: recomendações de um grupo de especialistas brasileiros. Rev Assoc Med Bras. 2010;56(3):271–7. </w:t>
      </w:r>
      <w:r w:rsidRPr="009E5E10">
        <w:rPr>
          <w:rFonts w:ascii="Arial" w:hAnsi="Arial" w:cs="Arial"/>
          <w:noProof/>
          <w:sz w:val="24"/>
          <w:szCs w:val="24"/>
        </w:rPr>
        <w:t xml:space="preserve">DOI: </w:t>
      </w:r>
      <w:r w:rsidRPr="009E5E10">
        <w:rPr>
          <w:rFonts w:ascii="Arial" w:hAnsi="Arial" w:cs="Arial"/>
          <w:sz w:val="24"/>
          <w:szCs w:val="24"/>
          <w:shd w:val="clear" w:color="auto" w:fill="FFFFFF"/>
        </w:rPr>
        <w:t>10.1590/S0104-42302010000300009.</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D1822">
        <w:rPr>
          <w:rFonts w:ascii="Arial" w:hAnsi="Arial" w:cs="Arial"/>
          <w:noProof/>
          <w:sz w:val="24"/>
          <w:szCs w:val="24"/>
        </w:rPr>
        <w:t xml:space="preserve">25. </w:t>
      </w:r>
      <w:r w:rsidRPr="00FD1822">
        <w:rPr>
          <w:rFonts w:ascii="Arial" w:hAnsi="Arial" w:cs="Arial"/>
          <w:noProof/>
          <w:sz w:val="24"/>
          <w:szCs w:val="24"/>
        </w:rPr>
        <w:tab/>
        <w:t>Giugliani R, Federhen A, Rojas MV, Vieira T</w:t>
      </w:r>
      <w:r>
        <w:rPr>
          <w:rFonts w:ascii="Arial" w:hAnsi="Arial" w:cs="Arial"/>
          <w:noProof/>
          <w:sz w:val="24"/>
          <w:szCs w:val="24"/>
        </w:rPr>
        <w:t>A</w:t>
      </w:r>
      <w:r w:rsidRPr="00FD1822">
        <w:rPr>
          <w:rFonts w:ascii="Arial" w:hAnsi="Arial" w:cs="Arial"/>
          <w:noProof/>
          <w:sz w:val="24"/>
          <w:szCs w:val="24"/>
        </w:rPr>
        <w:t xml:space="preserve">, Artigalás O, Pinto LL, et al. </w:t>
      </w:r>
      <w:r w:rsidRPr="00FF1F37">
        <w:rPr>
          <w:rFonts w:ascii="Arial" w:hAnsi="Arial" w:cs="Arial"/>
          <w:noProof/>
          <w:sz w:val="24"/>
          <w:szCs w:val="24"/>
          <w:lang w:val="en-US"/>
        </w:rPr>
        <w:t xml:space="preserve">Mucopolysaccharidosis I, II, and VI: brief review and guidelines for treatment. </w:t>
      </w:r>
      <w:r w:rsidRPr="00FD1822">
        <w:rPr>
          <w:rFonts w:ascii="Arial" w:hAnsi="Arial" w:cs="Arial"/>
          <w:noProof/>
          <w:sz w:val="24"/>
          <w:szCs w:val="24"/>
        </w:rPr>
        <w:t>Genet Mol Biol. 2010;33(4):589–604.</w:t>
      </w:r>
      <w:r>
        <w:rPr>
          <w:rFonts w:ascii="Arial" w:hAnsi="Arial" w:cs="Arial"/>
          <w:noProof/>
          <w:sz w:val="24"/>
          <w:szCs w:val="24"/>
        </w:rPr>
        <w:t xml:space="preserve"> DOI: 10.1590/S1415-47572010005000093.</w:t>
      </w:r>
      <w:r w:rsidRPr="00FD1822">
        <w:rPr>
          <w:rFonts w:ascii="Arial" w:hAnsi="Arial" w:cs="Arial"/>
          <w:noProof/>
          <w:sz w:val="24"/>
          <w:szCs w:val="24"/>
        </w:rPr>
        <w:t xml:space="preserve"> </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D1822">
        <w:rPr>
          <w:rFonts w:ascii="Arial" w:hAnsi="Arial" w:cs="Arial"/>
          <w:noProof/>
          <w:sz w:val="24"/>
          <w:szCs w:val="24"/>
        </w:rPr>
        <w:t xml:space="preserve">26. </w:t>
      </w:r>
      <w:r w:rsidRPr="00FD1822">
        <w:rPr>
          <w:rFonts w:ascii="Arial" w:hAnsi="Arial" w:cs="Arial"/>
          <w:noProof/>
          <w:sz w:val="24"/>
          <w:szCs w:val="24"/>
        </w:rPr>
        <w:tab/>
        <w:t xml:space="preserve">Alegra </w:t>
      </w:r>
      <w:r>
        <w:rPr>
          <w:rFonts w:ascii="Arial" w:hAnsi="Arial" w:cs="Arial"/>
          <w:noProof/>
          <w:sz w:val="24"/>
          <w:szCs w:val="24"/>
        </w:rPr>
        <w:t>T</w:t>
      </w:r>
      <w:r w:rsidRPr="00FD1822">
        <w:rPr>
          <w:rFonts w:ascii="Arial" w:hAnsi="Arial" w:cs="Arial"/>
          <w:noProof/>
          <w:sz w:val="24"/>
          <w:szCs w:val="24"/>
        </w:rPr>
        <w:t>, Eizerik D, Cerqueira C, Pereira T, Dornelles A, Schwartz I. Eficácia e segurança da terapia com idursulfase em pacientes com mucopolissacaridose tipo II, com e sem comparação com placebo: revisão sistemática e metanáli</w:t>
      </w:r>
      <w:r>
        <w:rPr>
          <w:rFonts w:ascii="Arial" w:hAnsi="Arial" w:cs="Arial"/>
          <w:noProof/>
          <w:sz w:val="24"/>
          <w:szCs w:val="24"/>
        </w:rPr>
        <w:t>se. Cad Saúde Pública. 2013;29(Su</w:t>
      </w:r>
      <w:r w:rsidRPr="00FD1822">
        <w:rPr>
          <w:rFonts w:ascii="Arial" w:hAnsi="Arial" w:cs="Arial"/>
          <w:noProof/>
          <w:sz w:val="24"/>
          <w:szCs w:val="24"/>
        </w:rPr>
        <w:t>pl 1):45–58.</w:t>
      </w:r>
      <w:r>
        <w:rPr>
          <w:rFonts w:ascii="Arial" w:hAnsi="Arial" w:cs="Arial"/>
          <w:noProof/>
          <w:sz w:val="24"/>
          <w:szCs w:val="24"/>
        </w:rPr>
        <w:t xml:space="preserve"> DOI: 10.1590/0102-311X00017613.</w:t>
      </w:r>
      <w:r w:rsidRPr="00FD1822">
        <w:rPr>
          <w:rFonts w:ascii="Arial" w:hAnsi="Arial" w:cs="Arial"/>
          <w:noProof/>
          <w:sz w:val="24"/>
          <w:szCs w:val="24"/>
        </w:rPr>
        <w:t xml:space="preserve"> </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D1822">
        <w:rPr>
          <w:rFonts w:ascii="Arial" w:hAnsi="Arial" w:cs="Arial"/>
          <w:noProof/>
          <w:sz w:val="24"/>
          <w:szCs w:val="24"/>
        </w:rPr>
        <w:t xml:space="preserve">27. </w:t>
      </w:r>
      <w:r w:rsidRPr="00FD1822">
        <w:rPr>
          <w:rFonts w:ascii="Arial" w:hAnsi="Arial" w:cs="Arial"/>
          <w:noProof/>
          <w:sz w:val="24"/>
          <w:szCs w:val="24"/>
        </w:rPr>
        <w:tab/>
        <w:t xml:space="preserve">Regier D, Tanpaiboon P. Role of elosulfase alfa in mucopolysaccharidosis IVA. Appl Clin Genet. </w:t>
      </w:r>
      <w:r w:rsidRPr="002306F1">
        <w:rPr>
          <w:rFonts w:ascii="Arial" w:hAnsi="Arial" w:cs="Arial"/>
          <w:noProof/>
          <w:sz w:val="24"/>
          <w:szCs w:val="24"/>
        </w:rPr>
        <w:t xml:space="preserve">2016;9:67–74. DOI: </w:t>
      </w:r>
      <w:hyperlink r:id="rId37" w:tgtFrame="pmc_ext" w:history="1">
        <w:r w:rsidRPr="002306F1">
          <w:rPr>
            <w:rStyle w:val="Hyperlink"/>
            <w:rFonts w:ascii="Arial" w:hAnsi="Arial" w:cs="Arial"/>
            <w:color w:val="auto"/>
            <w:sz w:val="24"/>
            <w:szCs w:val="24"/>
            <w:u w:val="none"/>
            <w:shd w:val="clear" w:color="auto" w:fill="FFFFFF"/>
          </w:rPr>
          <w:t>10.2147/TACG.S69080</w:t>
        </w:r>
      </w:hyperlink>
      <w:r w:rsidRPr="002306F1">
        <w:rPr>
          <w:rFonts w:ascii="Arial" w:hAnsi="Arial" w:cs="Arial"/>
          <w:sz w:val="24"/>
          <w:szCs w:val="24"/>
        </w:rPr>
        <w:t>.</w:t>
      </w:r>
    </w:p>
    <w:p w:rsidR="002306F1" w:rsidRP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FF1F37" w:rsidRDefault="002306F1" w:rsidP="002306F1">
      <w:pPr>
        <w:widowControl w:val="0"/>
        <w:autoSpaceDE w:val="0"/>
        <w:autoSpaceDN w:val="0"/>
        <w:adjustRightInd w:val="0"/>
        <w:spacing w:after="0" w:line="240" w:lineRule="auto"/>
        <w:ind w:left="641" w:hanging="641"/>
        <w:rPr>
          <w:rFonts w:ascii="Arial" w:hAnsi="Arial" w:cs="Arial"/>
          <w:noProof/>
          <w:sz w:val="24"/>
          <w:szCs w:val="24"/>
          <w:lang w:val="en-US"/>
        </w:rPr>
      </w:pPr>
      <w:r w:rsidRPr="002306F1">
        <w:rPr>
          <w:rFonts w:ascii="Arial" w:hAnsi="Arial" w:cs="Arial"/>
          <w:noProof/>
          <w:sz w:val="24"/>
          <w:szCs w:val="24"/>
        </w:rPr>
        <w:t xml:space="preserve">28. </w:t>
      </w:r>
      <w:r w:rsidRPr="002306F1">
        <w:rPr>
          <w:rFonts w:ascii="Arial" w:hAnsi="Arial" w:cs="Arial"/>
          <w:noProof/>
          <w:sz w:val="24"/>
          <w:szCs w:val="24"/>
        </w:rPr>
        <w:tab/>
        <w:t xml:space="preserve">Kato T, Kato Z, Kuratsubo I, Ota T, Orii T, Kondo N, et al. </w:t>
      </w:r>
      <w:r w:rsidRPr="00FF1F37">
        <w:rPr>
          <w:rFonts w:ascii="Arial" w:hAnsi="Arial" w:cs="Arial"/>
          <w:noProof/>
          <w:sz w:val="24"/>
          <w:szCs w:val="24"/>
          <w:lang w:val="en-US"/>
        </w:rPr>
        <w:t xml:space="preserve">Evaluation of ADL in patients with Hunter disease using FIM score. Brain Dev. 2007;29(5):298–305. DOI: </w:t>
      </w:r>
      <w:hyperlink r:id="rId38" w:history="1">
        <w:r w:rsidRPr="00FF1F37">
          <w:rPr>
            <w:rStyle w:val="Hyperlink"/>
            <w:rFonts w:ascii="Arial" w:hAnsi="Arial" w:cs="Arial"/>
            <w:color w:val="auto"/>
            <w:sz w:val="24"/>
            <w:szCs w:val="24"/>
            <w:u w:val="none"/>
            <w:shd w:val="clear" w:color="auto" w:fill="FFFFFF"/>
            <w:lang w:val="en-US"/>
          </w:rPr>
          <w:t>10.1016/j.braindev.2006.08.015</w:t>
        </w:r>
      </w:hyperlink>
      <w:r w:rsidRPr="00FF1F37">
        <w:rPr>
          <w:rFonts w:ascii="Arial" w:hAnsi="Arial" w:cs="Arial"/>
          <w:sz w:val="24"/>
          <w:szCs w:val="24"/>
          <w:lang w:val="en-US"/>
        </w:rPr>
        <w:t>.</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F1F37">
        <w:rPr>
          <w:rFonts w:ascii="Arial" w:hAnsi="Arial" w:cs="Arial"/>
          <w:noProof/>
          <w:sz w:val="24"/>
          <w:szCs w:val="24"/>
          <w:lang w:val="en-US"/>
        </w:rPr>
        <w:t xml:space="preserve">29. </w:t>
      </w:r>
      <w:r w:rsidRPr="00FF1F37">
        <w:rPr>
          <w:rFonts w:ascii="Arial" w:hAnsi="Arial" w:cs="Arial"/>
          <w:noProof/>
          <w:sz w:val="24"/>
          <w:szCs w:val="24"/>
          <w:lang w:val="en-US"/>
        </w:rPr>
        <w:tab/>
        <w:t xml:space="preserve">Yasuda E, Suzuki Y, Shimada T, Sawamoto K, Mackenzie WG, Theroux MC, et al. Activity of daily living for Morquio A syndrome. </w:t>
      </w:r>
      <w:r w:rsidRPr="002903EE">
        <w:rPr>
          <w:rFonts w:ascii="Arial" w:hAnsi="Arial" w:cs="Arial"/>
          <w:noProof/>
          <w:sz w:val="24"/>
          <w:szCs w:val="24"/>
          <w:lang w:val="en-US"/>
        </w:rPr>
        <w:t xml:space="preserve">Mol Genet Metab. </w:t>
      </w:r>
      <w:r w:rsidRPr="00FD1822">
        <w:rPr>
          <w:rFonts w:ascii="Arial" w:hAnsi="Arial" w:cs="Arial"/>
          <w:noProof/>
          <w:sz w:val="24"/>
          <w:szCs w:val="24"/>
        </w:rPr>
        <w:t xml:space="preserve">2016;118(2):111–22. </w:t>
      </w:r>
      <w:r>
        <w:rPr>
          <w:rFonts w:ascii="Arial" w:hAnsi="Arial" w:cs="Arial"/>
          <w:noProof/>
          <w:sz w:val="24"/>
          <w:szCs w:val="24"/>
        </w:rPr>
        <w:t>DOI:</w:t>
      </w:r>
      <w:r w:rsidRPr="004003D1">
        <w:rPr>
          <w:rFonts w:ascii="Arial" w:hAnsi="Arial" w:cs="Arial"/>
          <w:noProof/>
          <w:sz w:val="24"/>
          <w:szCs w:val="24"/>
        </w:rPr>
        <w:t xml:space="preserve"> </w:t>
      </w:r>
      <w:r w:rsidRPr="004003D1">
        <w:rPr>
          <w:rFonts w:ascii="Arial" w:hAnsi="Arial" w:cs="Arial"/>
          <w:sz w:val="24"/>
          <w:szCs w:val="24"/>
          <w:shd w:val="clear" w:color="auto" w:fill="FFFFFF"/>
        </w:rPr>
        <w:t>10.1016/j.ymgme.2016.04.005.</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D1822">
        <w:rPr>
          <w:rFonts w:ascii="Arial" w:hAnsi="Arial" w:cs="Arial"/>
          <w:noProof/>
          <w:sz w:val="24"/>
          <w:szCs w:val="24"/>
        </w:rPr>
        <w:t xml:space="preserve">30. </w:t>
      </w:r>
      <w:r w:rsidRPr="00FD1822">
        <w:rPr>
          <w:rFonts w:ascii="Arial" w:hAnsi="Arial" w:cs="Arial"/>
          <w:noProof/>
          <w:sz w:val="24"/>
          <w:szCs w:val="24"/>
        </w:rPr>
        <w:tab/>
        <w:t>Cardoso-Santos A, Azevedo AC, Fagondes S, Burin MG, Giugli</w:t>
      </w:r>
      <w:r>
        <w:rPr>
          <w:rFonts w:ascii="Arial" w:hAnsi="Arial" w:cs="Arial"/>
          <w:noProof/>
          <w:sz w:val="24"/>
          <w:szCs w:val="24"/>
        </w:rPr>
        <w:t>ani R, Schwartz I</w:t>
      </w:r>
      <w:r w:rsidRPr="00FD1822">
        <w:rPr>
          <w:rFonts w:ascii="Arial" w:hAnsi="Arial" w:cs="Arial"/>
          <w:noProof/>
          <w:sz w:val="24"/>
          <w:szCs w:val="24"/>
        </w:rPr>
        <w:t xml:space="preserve">V. </w:t>
      </w:r>
      <w:r w:rsidRPr="00FF1F37">
        <w:rPr>
          <w:rFonts w:ascii="Arial" w:hAnsi="Arial" w:cs="Arial"/>
          <w:noProof/>
          <w:sz w:val="24"/>
          <w:szCs w:val="24"/>
          <w:lang w:val="en-US"/>
        </w:rPr>
        <w:t xml:space="preserve">Mucopolysaccharidosis type VI (Maroteaux-Lamy syndrome): assessment of joint mobility and grip and pinch strength. J Pediatr. 2008;84(2):130–5. DOI: </w:t>
      </w:r>
      <w:hyperlink r:id="rId39" w:tgtFrame="_blank" w:history="1">
        <w:r w:rsidRPr="00FF1F37">
          <w:rPr>
            <w:rFonts w:ascii="Arial" w:eastAsia="Times New Roman" w:hAnsi="Arial" w:cs="Arial"/>
            <w:sz w:val="24"/>
            <w:szCs w:val="24"/>
            <w:lang w:val="en-US" w:eastAsia="pt-BR"/>
          </w:rPr>
          <w:t>10.2223/JPED.1743</w:t>
        </w:r>
      </w:hyperlink>
      <w:r w:rsidRPr="00FF1F37">
        <w:rPr>
          <w:rFonts w:ascii="Arial" w:eastAsia="Times New Roman" w:hAnsi="Arial" w:cs="Arial"/>
          <w:sz w:val="24"/>
          <w:szCs w:val="16"/>
          <w:lang w:val="en-US" w:eastAsia="pt-BR"/>
        </w:rPr>
        <w:t>.</w:t>
      </w:r>
      <w:r w:rsidRPr="00FF1F37">
        <w:rPr>
          <w:rFonts w:ascii="Arial" w:hAnsi="Arial" w:cs="Arial"/>
          <w:noProof/>
          <w:sz w:val="24"/>
          <w:szCs w:val="24"/>
          <w:lang w:val="en-US"/>
        </w:rPr>
        <w:t xml:space="preserve"> </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 xml:space="preserve">31. </w:t>
      </w:r>
      <w:r w:rsidRPr="00FF1F37">
        <w:rPr>
          <w:rFonts w:ascii="Arial" w:hAnsi="Arial" w:cs="Arial"/>
          <w:noProof/>
          <w:sz w:val="24"/>
          <w:szCs w:val="24"/>
          <w:lang w:val="en-US"/>
        </w:rPr>
        <w:tab/>
        <w:t>Nava E, Weber P, Gautschi M, Nuoffer JM, Grunt S. Botulinum toxin type A for the treatment of equinus deformity in patients with mucopolysaccharidosis type II. J Child Neurol. 2012;27(12):1611–5. DOI:</w:t>
      </w:r>
      <w:r w:rsidRPr="00FF1F37">
        <w:rPr>
          <w:rFonts w:ascii="Arial" w:hAnsi="Arial" w:cs="Arial"/>
          <w:color w:val="000000"/>
          <w:sz w:val="24"/>
          <w:szCs w:val="24"/>
          <w:shd w:val="clear" w:color="auto" w:fill="FFFFFF"/>
          <w:lang w:val="en-US"/>
        </w:rPr>
        <w:t> 10.1177/0883073812438100.</w:t>
      </w:r>
      <w:r w:rsidRPr="00FF1F37">
        <w:rPr>
          <w:rFonts w:ascii="Arial" w:hAnsi="Arial" w:cs="Arial"/>
          <w:noProof/>
          <w:sz w:val="24"/>
          <w:szCs w:val="24"/>
          <w:lang w:val="en-US"/>
        </w:rPr>
        <w:t xml:space="preserve"> </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 xml:space="preserve">32. </w:t>
      </w:r>
      <w:r w:rsidRPr="00FF1F37">
        <w:rPr>
          <w:rFonts w:ascii="Arial" w:hAnsi="Arial" w:cs="Arial"/>
          <w:noProof/>
          <w:sz w:val="24"/>
          <w:szCs w:val="24"/>
          <w:lang w:val="en-US"/>
        </w:rPr>
        <w:tab/>
        <w:t xml:space="preserve">Guarany NR, Schwartz IV, Guarany FC, Giugliani R. Functional capacity evaluation of patients with mucopolysaccharidosis. J Pediatr Rehabil Med. 2012;5(1):37–46. DOI: </w:t>
      </w:r>
      <w:r w:rsidRPr="00FF1F37">
        <w:rPr>
          <w:rFonts w:ascii="Arial" w:hAnsi="Arial" w:cs="Arial"/>
          <w:sz w:val="24"/>
          <w:szCs w:val="24"/>
          <w:shd w:val="clear" w:color="auto" w:fill="FFFFFF"/>
          <w:lang w:val="en-US"/>
        </w:rPr>
        <w:t>10.3233/PRM-2012-0194.</w:t>
      </w:r>
      <w:r w:rsidRPr="00FF1F37">
        <w:rPr>
          <w:rFonts w:ascii="Arial" w:hAnsi="Arial" w:cs="Arial"/>
          <w:noProof/>
          <w:sz w:val="24"/>
          <w:szCs w:val="24"/>
          <w:lang w:val="en-US"/>
        </w:rPr>
        <w:t xml:space="preserve"> </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 xml:space="preserve">33. </w:t>
      </w:r>
      <w:r w:rsidRPr="00FF1F37">
        <w:rPr>
          <w:rFonts w:ascii="Arial" w:hAnsi="Arial" w:cs="Arial"/>
          <w:noProof/>
          <w:sz w:val="24"/>
          <w:szCs w:val="24"/>
          <w:lang w:val="en-US"/>
        </w:rPr>
        <w:tab/>
        <w:t xml:space="preserve">Brands MM, Güngör D, van den Hout JM, Karstens FP, Oussoren E, Plug I, et al. Pain: a prevalent feature in patients with mucopolysaccharidosis. Results of a cross-sectional national survey. J Inherit Metab Dis. 2015;38(2):323–31. DOI: </w:t>
      </w:r>
      <w:r w:rsidRPr="00FF1F37">
        <w:rPr>
          <w:rFonts w:ascii="Arial" w:hAnsi="Arial" w:cs="Arial"/>
          <w:sz w:val="24"/>
          <w:szCs w:val="24"/>
          <w:shd w:val="clear" w:color="auto" w:fill="FFFFFF"/>
          <w:lang w:val="en-US"/>
        </w:rPr>
        <w:t>10.1007/s10545-014-9737-0.</w:t>
      </w:r>
      <w:r w:rsidRPr="00FF1F37">
        <w:rPr>
          <w:rFonts w:ascii="Arial" w:hAnsi="Arial" w:cs="Arial"/>
          <w:noProof/>
          <w:sz w:val="24"/>
          <w:szCs w:val="24"/>
          <w:lang w:val="en-US"/>
        </w:rPr>
        <w:t xml:space="preserve"> </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 xml:space="preserve">34. </w:t>
      </w:r>
      <w:r w:rsidRPr="00FF1F37">
        <w:rPr>
          <w:rFonts w:ascii="Arial" w:hAnsi="Arial" w:cs="Arial"/>
          <w:noProof/>
          <w:sz w:val="24"/>
          <w:szCs w:val="24"/>
          <w:lang w:val="en-US"/>
        </w:rPr>
        <w:tab/>
        <w:t xml:space="preserve">Kliemt S, Lange C, Otto W, Hintze V, Möller S, von Bergen M, et al. Sulfated hyaluronan containing collagen matrices enhance cell-matrix-interaction, endocytosis, and osteogenic differentiation of human mesenchymal stromal cells. J Proteome Res. 2013;12(1):378–89. DOI: </w:t>
      </w:r>
      <w:r w:rsidRPr="00FF1F37">
        <w:rPr>
          <w:rFonts w:ascii="Arial" w:hAnsi="Arial" w:cs="Arial"/>
          <w:sz w:val="24"/>
          <w:szCs w:val="24"/>
          <w:shd w:val="clear" w:color="auto" w:fill="FFFFFF"/>
          <w:lang w:val="en-US"/>
        </w:rPr>
        <w:t>10.1021/pr300640h.</w:t>
      </w:r>
      <w:r w:rsidRPr="00FF1F37">
        <w:rPr>
          <w:rFonts w:ascii="Arial" w:hAnsi="Arial" w:cs="Arial"/>
          <w:noProof/>
          <w:sz w:val="24"/>
          <w:szCs w:val="24"/>
          <w:lang w:val="en-US"/>
        </w:rPr>
        <w:t xml:space="preserve"> </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540FF"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F1F37">
        <w:rPr>
          <w:rFonts w:ascii="Arial" w:hAnsi="Arial" w:cs="Arial"/>
          <w:noProof/>
          <w:sz w:val="24"/>
          <w:szCs w:val="24"/>
          <w:lang w:val="en-US"/>
        </w:rPr>
        <w:lastRenderedPageBreak/>
        <w:t xml:space="preserve">35. </w:t>
      </w:r>
      <w:r w:rsidRPr="00FF1F37">
        <w:rPr>
          <w:rFonts w:ascii="Arial" w:hAnsi="Arial" w:cs="Arial"/>
          <w:noProof/>
          <w:sz w:val="24"/>
          <w:szCs w:val="24"/>
          <w:lang w:val="en-US"/>
        </w:rPr>
        <w:tab/>
        <w:t xml:space="preserve">Guffon N, Heron B, Chabrol B, Feillet F, Montauban V, Valayannopoulos V. Diagnosis, quality of life, and treatment of patients with Hunter syndrome in the French healthcare system: a retrospective observational study. </w:t>
      </w:r>
      <w:r>
        <w:rPr>
          <w:rFonts w:ascii="Arial" w:hAnsi="Arial" w:cs="Arial"/>
          <w:noProof/>
          <w:sz w:val="24"/>
          <w:szCs w:val="24"/>
        </w:rPr>
        <w:t>Orphanet J Rare Dis</w:t>
      </w:r>
      <w:r w:rsidRPr="00FD1822">
        <w:rPr>
          <w:rFonts w:ascii="Arial" w:hAnsi="Arial" w:cs="Arial"/>
          <w:noProof/>
          <w:sz w:val="24"/>
          <w:szCs w:val="24"/>
        </w:rPr>
        <w:t>. 2015;10(43):1–13.</w:t>
      </w:r>
      <w:r>
        <w:rPr>
          <w:rFonts w:ascii="Arial" w:hAnsi="Arial" w:cs="Arial"/>
          <w:noProof/>
          <w:sz w:val="24"/>
          <w:szCs w:val="24"/>
        </w:rPr>
        <w:t xml:space="preserve"> DOI</w:t>
      </w:r>
      <w:r w:rsidRPr="00F540FF">
        <w:rPr>
          <w:rFonts w:ascii="Arial" w:hAnsi="Arial" w:cs="Arial"/>
          <w:noProof/>
          <w:sz w:val="24"/>
          <w:szCs w:val="24"/>
        </w:rPr>
        <w:t xml:space="preserve">: </w:t>
      </w:r>
      <w:r w:rsidRPr="00F540FF">
        <w:rPr>
          <w:rFonts w:ascii="Arial" w:hAnsi="Arial" w:cs="Arial"/>
          <w:sz w:val="24"/>
          <w:szCs w:val="24"/>
          <w:shd w:val="clear" w:color="auto" w:fill="FFFFFF"/>
        </w:rPr>
        <w:t>10.1186/s13023-015-0259-0</w:t>
      </w:r>
      <w:r>
        <w:rPr>
          <w:rFonts w:ascii="Arial" w:hAnsi="Arial" w:cs="Arial"/>
          <w:sz w:val="24"/>
          <w:szCs w:val="24"/>
          <w:shd w:val="clear" w:color="auto" w:fill="FFFFFF"/>
        </w:rPr>
        <w:t>.</w:t>
      </w:r>
      <w:r w:rsidRPr="00F540FF">
        <w:rPr>
          <w:rFonts w:ascii="Arial" w:hAnsi="Arial" w:cs="Arial"/>
          <w:sz w:val="24"/>
          <w:szCs w:val="24"/>
          <w:shd w:val="clear" w:color="auto" w:fill="FFFFFF"/>
        </w:rPr>
        <w:t> </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D1822">
        <w:rPr>
          <w:rFonts w:ascii="Arial" w:hAnsi="Arial" w:cs="Arial"/>
          <w:noProof/>
          <w:sz w:val="24"/>
          <w:szCs w:val="24"/>
        </w:rPr>
        <w:t xml:space="preserve">36. </w:t>
      </w:r>
      <w:r w:rsidRPr="00FD1822">
        <w:rPr>
          <w:rFonts w:ascii="Arial" w:hAnsi="Arial" w:cs="Arial"/>
          <w:noProof/>
          <w:sz w:val="24"/>
          <w:szCs w:val="24"/>
        </w:rPr>
        <w:tab/>
        <w:t xml:space="preserve">Santos S, López L, González L, Domínguez MJ. Hipoacusia y problemas de vía aérea en niños con mucopolisacaridosis. Acta </w:t>
      </w:r>
      <w:r>
        <w:rPr>
          <w:rFonts w:ascii="Arial" w:hAnsi="Arial" w:cs="Arial"/>
          <w:noProof/>
          <w:sz w:val="24"/>
          <w:szCs w:val="24"/>
        </w:rPr>
        <w:t>Otorrinolaringol Esp</w:t>
      </w:r>
      <w:r w:rsidRPr="00FD1822">
        <w:rPr>
          <w:rFonts w:ascii="Arial" w:hAnsi="Arial" w:cs="Arial"/>
          <w:noProof/>
          <w:sz w:val="24"/>
          <w:szCs w:val="24"/>
        </w:rPr>
        <w:t xml:space="preserve">. 2011;62(6):411–7. </w:t>
      </w:r>
      <w:r>
        <w:rPr>
          <w:rFonts w:ascii="Arial" w:hAnsi="Arial" w:cs="Arial"/>
          <w:noProof/>
          <w:sz w:val="24"/>
          <w:szCs w:val="24"/>
        </w:rPr>
        <w:t xml:space="preserve">DOI: </w:t>
      </w:r>
      <w:hyperlink r:id="rId40" w:tgtFrame="_blank" w:tooltip="Persistent link using digital object identifier" w:history="1">
        <w:r w:rsidRPr="00E500B4">
          <w:rPr>
            <w:rStyle w:val="Hyperlink"/>
            <w:rFonts w:ascii="Arial" w:hAnsi="Arial" w:cs="Arial"/>
            <w:color w:val="auto"/>
            <w:sz w:val="24"/>
            <w:szCs w:val="24"/>
            <w:u w:val="none"/>
          </w:rPr>
          <w:t>10.1016/j.otorri.2011.05.003</w:t>
        </w:r>
      </w:hyperlink>
      <w:r>
        <w:rPr>
          <w:rFonts w:ascii="Arial" w:hAnsi="Arial" w:cs="Arial"/>
          <w:sz w:val="24"/>
          <w:szCs w:val="24"/>
        </w:rPr>
        <w:t>.</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D1822">
        <w:rPr>
          <w:rFonts w:ascii="Arial" w:hAnsi="Arial" w:cs="Arial"/>
          <w:noProof/>
          <w:sz w:val="24"/>
          <w:szCs w:val="24"/>
        </w:rPr>
        <w:t xml:space="preserve">37. </w:t>
      </w:r>
      <w:r w:rsidRPr="00FD1822">
        <w:rPr>
          <w:rFonts w:ascii="Arial" w:hAnsi="Arial" w:cs="Arial"/>
          <w:noProof/>
          <w:sz w:val="24"/>
          <w:szCs w:val="24"/>
        </w:rPr>
        <w:tab/>
        <w:t xml:space="preserve">Jurecka A, Ługowska A, Golda A, Czartoryska B, Tylki-Szymańska A. Prevalence rates of mucopolysaccharidoses in Poland. J Appl Genet. 2015;56:205–10. </w:t>
      </w:r>
      <w:r>
        <w:rPr>
          <w:rFonts w:ascii="Arial" w:hAnsi="Arial" w:cs="Arial"/>
          <w:noProof/>
          <w:sz w:val="24"/>
          <w:szCs w:val="24"/>
        </w:rPr>
        <w:t>DOI</w:t>
      </w:r>
      <w:r w:rsidRPr="00E500B4">
        <w:rPr>
          <w:rFonts w:ascii="Arial" w:hAnsi="Arial" w:cs="Arial"/>
          <w:noProof/>
          <w:sz w:val="24"/>
          <w:szCs w:val="24"/>
        </w:rPr>
        <w:t xml:space="preserve">: </w:t>
      </w:r>
      <w:hyperlink r:id="rId41" w:tgtFrame="pmc_ext" w:history="1">
        <w:r w:rsidRPr="00E500B4">
          <w:rPr>
            <w:rStyle w:val="Hyperlink"/>
            <w:rFonts w:ascii="Arial" w:hAnsi="Arial" w:cs="Arial"/>
            <w:color w:val="auto"/>
            <w:sz w:val="24"/>
            <w:szCs w:val="24"/>
            <w:u w:val="none"/>
            <w:shd w:val="clear" w:color="auto" w:fill="FFFFFF"/>
          </w:rPr>
          <w:t>10.1007/s13353-014-0262-5</w:t>
        </w:r>
      </w:hyperlink>
      <w:r>
        <w:rPr>
          <w:rFonts w:ascii="Arial" w:hAnsi="Arial" w:cs="Arial"/>
          <w:sz w:val="24"/>
          <w:szCs w:val="24"/>
        </w:rPr>
        <w:t>.</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2903EE"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D1822">
        <w:rPr>
          <w:rFonts w:ascii="Arial" w:hAnsi="Arial" w:cs="Arial"/>
          <w:noProof/>
          <w:sz w:val="24"/>
          <w:szCs w:val="24"/>
        </w:rPr>
        <w:t xml:space="preserve">38. </w:t>
      </w:r>
      <w:r w:rsidRPr="00FD1822">
        <w:rPr>
          <w:rFonts w:ascii="Arial" w:hAnsi="Arial" w:cs="Arial"/>
          <w:noProof/>
          <w:sz w:val="24"/>
          <w:szCs w:val="24"/>
        </w:rPr>
        <w:tab/>
        <w:t xml:space="preserve">Costa-Motta FM, Acosta AX, Abé-Sandes K, Bender F, Schwartz IV, Giugliani R, et al. </w:t>
      </w:r>
      <w:r w:rsidRPr="00FF1F37">
        <w:rPr>
          <w:rFonts w:ascii="Arial" w:hAnsi="Arial" w:cs="Arial"/>
          <w:noProof/>
          <w:sz w:val="24"/>
          <w:szCs w:val="24"/>
          <w:lang w:val="en-US"/>
        </w:rPr>
        <w:t xml:space="preserve">Genetic studies in a cluster of Mucopolysaccharidosis type VI patients in Northeast Brazil. </w:t>
      </w:r>
      <w:r w:rsidRPr="002903EE">
        <w:rPr>
          <w:rFonts w:ascii="Arial" w:hAnsi="Arial" w:cs="Arial"/>
          <w:noProof/>
          <w:sz w:val="24"/>
          <w:szCs w:val="24"/>
        </w:rPr>
        <w:t>Mol Genet Metab. 2011;104(4):603-7. DOI: 10.1016/j.ymgme.2011.09.017.</w:t>
      </w:r>
    </w:p>
    <w:p w:rsidR="002306F1" w:rsidRPr="002903EE"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2903EE">
        <w:rPr>
          <w:rFonts w:ascii="Arial" w:hAnsi="Arial" w:cs="Arial"/>
          <w:noProof/>
          <w:sz w:val="24"/>
          <w:szCs w:val="24"/>
        </w:rPr>
        <w:t xml:space="preserve">39. </w:t>
      </w:r>
      <w:r w:rsidRPr="002903EE">
        <w:rPr>
          <w:rFonts w:ascii="Arial" w:hAnsi="Arial" w:cs="Arial"/>
          <w:noProof/>
          <w:sz w:val="24"/>
          <w:szCs w:val="24"/>
        </w:rPr>
        <w:tab/>
        <w:t xml:space="preserve">Facchin AC. </w:t>
      </w:r>
      <w:r w:rsidRPr="00FD1822">
        <w:rPr>
          <w:rFonts w:ascii="Arial" w:hAnsi="Arial" w:cs="Arial"/>
          <w:noProof/>
          <w:sz w:val="24"/>
          <w:szCs w:val="24"/>
        </w:rPr>
        <w:t>Análise molecular de pacientes com mucopolissacaridose tipo II.</w:t>
      </w:r>
      <w:r>
        <w:rPr>
          <w:rFonts w:ascii="Arial" w:hAnsi="Arial" w:cs="Arial"/>
          <w:noProof/>
          <w:sz w:val="24"/>
          <w:szCs w:val="24"/>
        </w:rPr>
        <w:t xml:space="preserve"> Porto Alegre. Tese [Doutorado] - Faculdade de Medicina da</w:t>
      </w:r>
      <w:r w:rsidRPr="00FD1822">
        <w:rPr>
          <w:rFonts w:ascii="Arial" w:hAnsi="Arial" w:cs="Arial"/>
          <w:noProof/>
          <w:sz w:val="24"/>
          <w:szCs w:val="24"/>
        </w:rPr>
        <w:t xml:space="preserve"> Universidade Federal do Rio Grande do Sul; 2012. </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D403D5">
        <w:rPr>
          <w:rFonts w:ascii="Arial" w:hAnsi="Arial" w:cs="Arial"/>
          <w:noProof/>
          <w:sz w:val="24"/>
          <w:szCs w:val="24"/>
        </w:rPr>
        <w:t xml:space="preserve">40.    </w:t>
      </w:r>
      <w:r w:rsidRPr="00461C08">
        <w:rPr>
          <w:rFonts w:ascii="Arial" w:hAnsi="Arial" w:cs="Arial"/>
          <w:noProof/>
          <w:sz w:val="24"/>
          <w:szCs w:val="24"/>
        </w:rPr>
        <w:t xml:space="preserve">Pereira JO, Garbelini MG, Palazzo VC. Mucopolissacaridose tipo VI : evolução natural, importância diagnóstica e terapêutica. </w:t>
      </w:r>
      <w:r w:rsidRPr="00983D7D">
        <w:rPr>
          <w:rFonts w:ascii="Arial" w:hAnsi="Arial" w:cs="Arial"/>
          <w:noProof/>
          <w:sz w:val="24"/>
          <w:szCs w:val="24"/>
          <w:lang w:val="en-US"/>
        </w:rPr>
        <w:t>Rev Neurocienc. 2011;19(2):329–38</w:t>
      </w:r>
      <w:r>
        <w:rPr>
          <w:rFonts w:ascii="Arial" w:hAnsi="Arial" w:cs="Arial"/>
          <w:noProof/>
          <w:sz w:val="24"/>
          <w:szCs w:val="24"/>
          <w:lang w:val="en-US"/>
        </w:rPr>
        <w:t>.</w:t>
      </w: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F1F37">
        <w:rPr>
          <w:rFonts w:ascii="Arial" w:hAnsi="Arial" w:cs="Arial"/>
          <w:noProof/>
          <w:sz w:val="24"/>
          <w:szCs w:val="24"/>
          <w:lang w:val="en-US"/>
        </w:rPr>
        <w:t>4</w:t>
      </w:r>
      <w:r>
        <w:rPr>
          <w:rFonts w:ascii="Arial" w:hAnsi="Arial" w:cs="Arial"/>
          <w:noProof/>
          <w:sz w:val="24"/>
          <w:szCs w:val="24"/>
          <w:lang w:val="en-US"/>
        </w:rPr>
        <w:t>1</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Tomatsu S. Newborn screening and diagnosis of mucopolysaccharidoses. </w:t>
      </w:r>
      <w:r>
        <w:rPr>
          <w:rFonts w:ascii="Arial" w:hAnsi="Arial" w:cs="Arial"/>
          <w:noProof/>
          <w:sz w:val="24"/>
          <w:szCs w:val="24"/>
        </w:rPr>
        <w:t>Mol Genet Metab. 2013</w:t>
      </w:r>
      <w:r w:rsidRPr="00FD1822">
        <w:rPr>
          <w:rFonts w:ascii="Arial" w:hAnsi="Arial" w:cs="Arial"/>
          <w:noProof/>
          <w:sz w:val="24"/>
          <w:szCs w:val="24"/>
        </w:rPr>
        <w:t>;110(</w:t>
      </w:r>
      <w:r>
        <w:rPr>
          <w:rFonts w:ascii="Arial" w:hAnsi="Arial" w:cs="Arial"/>
          <w:noProof/>
          <w:sz w:val="24"/>
          <w:szCs w:val="24"/>
        </w:rPr>
        <w:t>1-2</w:t>
      </w:r>
      <w:r w:rsidRPr="00FD1822">
        <w:rPr>
          <w:rFonts w:ascii="Arial" w:hAnsi="Arial" w:cs="Arial"/>
          <w:noProof/>
          <w:sz w:val="24"/>
          <w:szCs w:val="24"/>
        </w:rPr>
        <w:t xml:space="preserve">):42–53. </w:t>
      </w:r>
      <w:r>
        <w:rPr>
          <w:rFonts w:ascii="Arial" w:hAnsi="Arial" w:cs="Arial"/>
          <w:noProof/>
          <w:sz w:val="24"/>
          <w:szCs w:val="24"/>
        </w:rPr>
        <w:t>DOI:</w:t>
      </w:r>
      <w:r w:rsidRPr="006D0C73">
        <w:rPr>
          <w:rFonts w:ascii="Arial" w:hAnsi="Arial" w:cs="Arial"/>
          <w:noProof/>
          <w:sz w:val="24"/>
          <w:szCs w:val="24"/>
        </w:rPr>
        <w:t xml:space="preserve"> </w:t>
      </w:r>
      <w:r w:rsidRPr="006D0C73">
        <w:rPr>
          <w:rFonts w:ascii="Arial" w:hAnsi="Arial" w:cs="Arial"/>
          <w:sz w:val="24"/>
          <w:szCs w:val="24"/>
          <w:shd w:val="clear" w:color="auto" w:fill="FFFFFF"/>
        </w:rPr>
        <w:t>10.1016/j.ymgme.2013.06.007</w:t>
      </w:r>
      <w:r>
        <w:rPr>
          <w:rFonts w:ascii="Arial" w:hAnsi="Arial" w:cs="Arial"/>
          <w:sz w:val="24"/>
          <w:szCs w:val="24"/>
          <w:shd w:val="clear" w:color="auto" w:fill="FFFFFF"/>
        </w:rPr>
        <w:t>.</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FF1F37" w:rsidRDefault="002306F1" w:rsidP="002306F1">
      <w:pPr>
        <w:widowControl w:val="0"/>
        <w:autoSpaceDE w:val="0"/>
        <w:autoSpaceDN w:val="0"/>
        <w:adjustRightInd w:val="0"/>
        <w:spacing w:after="0" w:line="240" w:lineRule="auto"/>
        <w:ind w:left="641" w:hanging="641"/>
        <w:rPr>
          <w:rFonts w:ascii="Arial" w:hAnsi="Arial" w:cs="Arial"/>
          <w:noProof/>
          <w:sz w:val="24"/>
          <w:szCs w:val="24"/>
          <w:lang w:val="en-US"/>
        </w:rPr>
      </w:pPr>
      <w:r w:rsidRPr="00FD1822">
        <w:rPr>
          <w:rFonts w:ascii="Arial" w:hAnsi="Arial" w:cs="Arial"/>
          <w:noProof/>
          <w:sz w:val="24"/>
          <w:szCs w:val="24"/>
        </w:rPr>
        <w:t>4</w:t>
      </w:r>
      <w:r>
        <w:rPr>
          <w:rFonts w:ascii="Arial" w:hAnsi="Arial" w:cs="Arial"/>
          <w:noProof/>
          <w:sz w:val="24"/>
          <w:szCs w:val="24"/>
        </w:rPr>
        <w:t>2</w:t>
      </w:r>
      <w:r w:rsidRPr="00FD1822">
        <w:rPr>
          <w:rFonts w:ascii="Arial" w:hAnsi="Arial" w:cs="Arial"/>
          <w:noProof/>
          <w:sz w:val="24"/>
          <w:szCs w:val="24"/>
        </w:rPr>
        <w:t xml:space="preserve">. </w:t>
      </w:r>
      <w:r w:rsidRPr="00FD1822">
        <w:rPr>
          <w:rFonts w:ascii="Arial" w:hAnsi="Arial" w:cs="Arial"/>
          <w:noProof/>
          <w:sz w:val="24"/>
          <w:szCs w:val="24"/>
        </w:rPr>
        <w:tab/>
        <w:t xml:space="preserve">Vieira T, Schwartz I, Muñoz V, Pinto L, Steiner C, Ribeiro M, et al. </w:t>
      </w:r>
      <w:r w:rsidRPr="00FF1F37">
        <w:rPr>
          <w:rFonts w:ascii="Arial" w:hAnsi="Arial" w:cs="Arial"/>
          <w:noProof/>
          <w:sz w:val="24"/>
          <w:szCs w:val="24"/>
          <w:lang w:val="en-US"/>
        </w:rPr>
        <w:t xml:space="preserve">Mucopolysaccharidoses in Brazil: what happens from birth to biochemical diagnosis? Am J Med Genet A. 2008;146(13):1741–7. </w:t>
      </w:r>
      <w:r w:rsidRPr="00FF1F37">
        <w:rPr>
          <w:rFonts w:ascii="Arial" w:hAnsi="Arial" w:cs="Arial"/>
          <w:color w:val="000000"/>
          <w:sz w:val="24"/>
          <w:szCs w:val="24"/>
          <w:shd w:val="clear" w:color="auto" w:fill="FFFFFF"/>
          <w:lang w:val="en-US"/>
        </w:rPr>
        <w:t>DOI: 10.1002/ajmg.a.32320.</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Pr>
          <w:rFonts w:ascii="Arial" w:hAnsi="Arial" w:cs="Arial"/>
          <w:noProof/>
          <w:sz w:val="24"/>
          <w:szCs w:val="24"/>
          <w:lang w:val="en-US"/>
        </w:rPr>
        <w:t>43</w:t>
      </w:r>
      <w:r w:rsidRPr="00FF1F37">
        <w:rPr>
          <w:rFonts w:ascii="Arial" w:hAnsi="Arial" w:cs="Arial"/>
          <w:noProof/>
          <w:sz w:val="24"/>
          <w:szCs w:val="24"/>
          <w:lang w:val="en-US"/>
        </w:rPr>
        <w:t xml:space="preserve">. </w:t>
      </w:r>
      <w:r w:rsidRPr="00FF1F37">
        <w:rPr>
          <w:rFonts w:ascii="Arial" w:hAnsi="Arial" w:cs="Arial"/>
          <w:noProof/>
          <w:sz w:val="24"/>
          <w:szCs w:val="24"/>
          <w:lang w:val="en-US"/>
        </w:rPr>
        <w:tab/>
      </w:r>
      <w:r w:rsidRPr="002903EE">
        <w:rPr>
          <w:rFonts w:ascii="Arial" w:hAnsi="Arial" w:cs="Arial"/>
          <w:noProof/>
          <w:sz w:val="24"/>
          <w:szCs w:val="24"/>
          <w:lang w:val="en-US"/>
        </w:rPr>
        <w:t xml:space="preserve">Cimaz R, Coppa GV, Koné-Paut I, Link B, Pastores GM, Elorduy MR, et al. </w:t>
      </w:r>
      <w:r w:rsidRPr="00FF1F37">
        <w:rPr>
          <w:rFonts w:ascii="Arial" w:hAnsi="Arial" w:cs="Arial"/>
          <w:noProof/>
          <w:sz w:val="24"/>
          <w:szCs w:val="24"/>
          <w:lang w:val="en-US"/>
        </w:rPr>
        <w:t xml:space="preserve">Joint contractures in the absence of inflammation may indicate mucopolysaccharidosis. Pediatr Rheumatol Online J. 2009;7(18). DOI: </w:t>
      </w:r>
      <w:r w:rsidRPr="00FF1F37">
        <w:rPr>
          <w:rFonts w:ascii="Arial" w:hAnsi="Arial" w:cs="Arial"/>
          <w:sz w:val="24"/>
          <w:szCs w:val="24"/>
          <w:shd w:val="clear" w:color="auto" w:fill="FFFFFF"/>
          <w:lang w:val="en-US"/>
        </w:rPr>
        <w:t>10.1186/1546-0096-7-18.</w:t>
      </w:r>
      <w:r w:rsidRPr="00FF1F37">
        <w:rPr>
          <w:rFonts w:ascii="Arial" w:hAnsi="Arial" w:cs="Arial"/>
          <w:noProof/>
          <w:sz w:val="24"/>
          <w:szCs w:val="24"/>
          <w:lang w:val="en-US"/>
        </w:rPr>
        <w:t xml:space="preserve"> </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4</w:t>
      </w:r>
      <w:r>
        <w:rPr>
          <w:rFonts w:ascii="Arial" w:hAnsi="Arial" w:cs="Arial"/>
          <w:noProof/>
          <w:sz w:val="24"/>
          <w:szCs w:val="24"/>
          <w:lang w:val="en-US"/>
        </w:rPr>
        <w:t>4</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Ru MH, Teunissen QG, van der Lee JH, Beck M, Bodamer OA, Clarke LA, et al. Capturing phenotypic heterogeneity in MPS I: results of an international consensus procedure. Orphanet J Rare Dis. 2012;7(1):22. DOI: </w:t>
      </w:r>
      <w:r w:rsidRPr="00FF1F37">
        <w:rPr>
          <w:rFonts w:ascii="Arial" w:hAnsi="Arial" w:cs="Arial"/>
          <w:sz w:val="24"/>
          <w:szCs w:val="24"/>
          <w:shd w:val="clear" w:color="auto" w:fill="FFFFFF"/>
          <w:lang w:val="en-US"/>
        </w:rPr>
        <w:t>10.1186/1750-1172-7-22.</w:t>
      </w:r>
      <w:r w:rsidRPr="00FF1F37">
        <w:rPr>
          <w:rFonts w:ascii="Arial" w:hAnsi="Arial" w:cs="Arial"/>
          <w:noProof/>
          <w:sz w:val="24"/>
          <w:szCs w:val="24"/>
          <w:lang w:val="en-US"/>
        </w:rPr>
        <w:t xml:space="preserve"> </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4</w:t>
      </w:r>
      <w:r>
        <w:rPr>
          <w:rFonts w:ascii="Arial" w:hAnsi="Arial" w:cs="Arial"/>
          <w:noProof/>
          <w:sz w:val="24"/>
          <w:szCs w:val="24"/>
          <w:lang w:val="en-US"/>
        </w:rPr>
        <w:t>5</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Montaño AM, Tomatsu S, Gottesman GS, Smith M, Orii T. International Morquio A Registry: Clinical manifestation and natural course of Morquio A disease. J Inherit Metab Dis. 2007;30(2):165–74. DOI: </w:t>
      </w:r>
      <w:hyperlink r:id="rId42" w:history="1">
        <w:r w:rsidRPr="00FF1F37">
          <w:rPr>
            <w:rStyle w:val="Hyperlink"/>
            <w:rFonts w:ascii="Arial" w:hAnsi="Arial" w:cs="Arial"/>
            <w:color w:val="auto"/>
            <w:sz w:val="24"/>
            <w:szCs w:val="24"/>
            <w:u w:val="none"/>
            <w:shd w:val="clear" w:color="auto" w:fill="FFFFFF"/>
            <w:lang w:val="en-US"/>
          </w:rPr>
          <w:t>10.1007/s10545-007-0529-7</w:t>
        </w:r>
      </w:hyperlink>
      <w:r w:rsidRPr="00FF1F37">
        <w:rPr>
          <w:rFonts w:ascii="Arial" w:hAnsi="Arial" w:cs="Arial"/>
          <w:sz w:val="24"/>
          <w:szCs w:val="24"/>
          <w:lang w:val="en-US"/>
        </w:rPr>
        <w:t>.</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1" w:hanging="641"/>
        <w:rPr>
          <w:rFonts w:ascii="Arial" w:hAnsi="Arial" w:cs="Arial"/>
          <w:noProof/>
          <w:sz w:val="24"/>
          <w:szCs w:val="24"/>
          <w:lang w:val="en-US"/>
        </w:rPr>
      </w:pPr>
      <w:r w:rsidRPr="00FF1F37">
        <w:rPr>
          <w:rFonts w:ascii="Arial" w:hAnsi="Arial" w:cs="Arial"/>
          <w:noProof/>
          <w:sz w:val="24"/>
          <w:szCs w:val="24"/>
          <w:lang w:val="en-US"/>
        </w:rPr>
        <w:t>4</w:t>
      </w:r>
      <w:r>
        <w:rPr>
          <w:rFonts w:ascii="Arial" w:hAnsi="Arial" w:cs="Arial"/>
          <w:noProof/>
          <w:sz w:val="24"/>
          <w:szCs w:val="24"/>
          <w:lang w:val="en-US"/>
        </w:rPr>
        <w:t>6</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Tomatsu S, Mackenzie WG, Theroux MC, Mason RW, Thacker MM, Shaffer </w:t>
      </w:r>
      <w:r w:rsidRPr="00FF1F37">
        <w:rPr>
          <w:rFonts w:ascii="Arial" w:hAnsi="Arial" w:cs="Arial"/>
          <w:noProof/>
          <w:sz w:val="24"/>
          <w:szCs w:val="24"/>
          <w:lang w:val="en-US"/>
        </w:rPr>
        <w:lastRenderedPageBreak/>
        <w:t xml:space="preserve">TH, et al. Current and emerging treatments and surgical interventions for Morquio A syndrome: a review. Res Rep Endocr Disord. 2012;2(1):65–77. DOI: </w:t>
      </w:r>
      <w:hyperlink r:id="rId43" w:history="1">
        <w:r w:rsidRPr="00FF1F37">
          <w:rPr>
            <w:rStyle w:val="Hyperlink"/>
            <w:rFonts w:ascii="Arial" w:hAnsi="Arial" w:cs="Arial"/>
            <w:color w:val="auto"/>
            <w:sz w:val="24"/>
            <w:szCs w:val="24"/>
            <w:u w:val="none"/>
            <w:shd w:val="clear" w:color="auto" w:fill="FFFFFF"/>
            <w:lang w:val="en-US"/>
          </w:rPr>
          <w:t>10.2147/RRED.S37278</w:t>
        </w:r>
      </w:hyperlink>
      <w:r w:rsidRPr="00FF1F37">
        <w:rPr>
          <w:rFonts w:ascii="Arial" w:hAnsi="Arial" w:cs="Arial"/>
          <w:sz w:val="24"/>
          <w:szCs w:val="24"/>
          <w:lang w:val="en-US"/>
        </w:rPr>
        <w:t>.</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2903EE"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4</w:t>
      </w:r>
      <w:r>
        <w:rPr>
          <w:rFonts w:ascii="Arial" w:hAnsi="Arial" w:cs="Arial"/>
          <w:noProof/>
          <w:sz w:val="24"/>
          <w:szCs w:val="24"/>
          <w:lang w:val="en-US"/>
        </w:rPr>
        <w:t>7</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White KK. Orthopaedic aspects of mucopolysaccharidoses. Rheumatology (Oxford). 2011;50(Suppl. 5):26–33. </w:t>
      </w:r>
      <w:r w:rsidRPr="002903EE">
        <w:rPr>
          <w:rFonts w:ascii="Arial" w:hAnsi="Arial" w:cs="Arial"/>
          <w:noProof/>
          <w:sz w:val="24"/>
          <w:szCs w:val="24"/>
          <w:lang w:val="en-US"/>
        </w:rPr>
        <w:t>DOI</w:t>
      </w:r>
      <w:r w:rsidRPr="002903EE">
        <w:rPr>
          <w:rFonts w:ascii="Arial" w:hAnsi="Arial" w:cs="Arial"/>
          <w:color w:val="000000"/>
          <w:sz w:val="24"/>
          <w:szCs w:val="24"/>
          <w:shd w:val="clear" w:color="auto" w:fill="FFFFFF"/>
          <w:lang w:val="en-US"/>
        </w:rPr>
        <w:t>: 10.1093/rheumatology/ker393.</w:t>
      </w:r>
    </w:p>
    <w:p w:rsidR="002306F1" w:rsidRPr="002903EE"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2903EE"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D1822">
        <w:rPr>
          <w:rFonts w:ascii="Arial" w:hAnsi="Arial" w:cs="Arial"/>
          <w:noProof/>
          <w:sz w:val="24"/>
          <w:szCs w:val="24"/>
        </w:rPr>
        <w:t>4</w:t>
      </w:r>
      <w:r>
        <w:rPr>
          <w:rFonts w:ascii="Arial" w:hAnsi="Arial" w:cs="Arial"/>
          <w:noProof/>
          <w:sz w:val="24"/>
          <w:szCs w:val="24"/>
        </w:rPr>
        <w:t>8</w:t>
      </w:r>
      <w:r w:rsidRPr="00FD1822">
        <w:rPr>
          <w:rFonts w:ascii="Arial" w:hAnsi="Arial" w:cs="Arial"/>
          <w:noProof/>
          <w:sz w:val="24"/>
          <w:szCs w:val="24"/>
        </w:rPr>
        <w:t xml:space="preserve">. </w:t>
      </w:r>
      <w:r w:rsidRPr="00FD1822">
        <w:rPr>
          <w:rFonts w:ascii="Arial" w:hAnsi="Arial" w:cs="Arial"/>
          <w:noProof/>
          <w:sz w:val="24"/>
          <w:szCs w:val="24"/>
        </w:rPr>
        <w:tab/>
        <w:t>Borges MF, Tavares FS, Silva PCL, Oliveira ZAR, Ballarin MAS, Gomes RA, et al. Mucopolissacaridose Tipo VI</w:t>
      </w:r>
      <w:r>
        <w:rPr>
          <w:rFonts w:ascii="Arial" w:hAnsi="Arial" w:cs="Arial"/>
          <w:noProof/>
          <w:sz w:val="24"/>
          <w:szCs w:val="24"/>
        </w:rPr>
        <w:t xml:space="preserve"> (Síndrome de Maroteaux-Lamy): a</w:t>
      </w:r>
      <w:r w:rsidRPr="00FD1822">
        <w:rPr>
          <w:rFonts w:ascii="Arial" w:hAnsi="Arial" w:cs="Arial"/>
          <w:noProof/>
          <w:sz w:val="24"/>
          <w:szCs w:val="24"/>
        </w:rPr>
        <w:t xml:space="preserve">valiação endócrina de três casos. </w:t>
      </w:r>
      <w:r w:rsidRPr="002903EE">
        <w:rPr>
          <w:rFonts w:ascii="Arial" w:hAnsi="Arial" w:cs="Arial"/>
          <w:noProof/>
          <w:sz w:val="24"/>
          <w:szCs w:val="24"/>
          <w:lang w:val="en-US"/>
        </w:rPr>
        <w:t xml:space="preserve">Arq Bras Endocrinol Metab. 2003;47(1):87–94. </w:t>
      </w:r>
    </w:p>
    <w:p w:rsidR="002306F1" w:rsidRPr="002903EE"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color w:val="000000"/>
          <w:sz w:val="24"/>
          <w:szCs w:val="24"/>
          <w:shd w:val="clear" w:color="auto" w:fill="FFFFFF"/>
          <w:lang w:val="en-US"/>
        </w:rPr>
      </w:pPr>
      <w:r w:rsidRPr="002903EE">
        <w:rPr>
          <w:rFonts w:ascii="Arial" w:hAnsi="Arial" w:cs="Arial"/>
          <w:noProof/>
          <w:sz w:val="24"/>
          <w:szCs w:val="24"/>
          <w:lang w:val="en-US"/>
        </w:rPr>
        <w:t xml:space="preserve">49. </w:t>
      </w:r>
      <w:r w:rsidRPr="002903EE">
        <w:rPr>
          <w:rFonts w:ascii="Arial" w:hAnsi="Arial" w:cs="Arial"/>
          <w:noProof/>
          <w:sz w:val="24"/>
          <w:szCs w:val="24"/>
          <w:lang w:val="en-US"/>
        </w:rPr>
        <w:tab/>
      </w:r>
      <w:r w:rsidRPr="00FF1F37">
        <w:rPr>
          <w:rFonts w:ascii="Arial" w:hAnsi="Arial" w:cs="Arial"/>
          <w:noProof/>
          <w:sz w:val="24"/>
          <w:szCs w:val="24"/>
          <w:lang w:val="en-US"/>
        </w:rPr>
        <w:t xml:space="preserve">Summers CG, Ashworth JL. Ocular manifestations as key features for diagnosing mucopolysaccharidoses. Rheumatology (Oxford). 2011;50(Suppl. 5):34–40. </w:t>
      </w:r>
      <w:r w:rsidRPr="00FF1F37">
        <w:rPr>
          <w:rFonts w:ascii="Arial" w:hAnsi="Arial" w:cs="Arial"/>
          <w:color w:val="000000"/>
          <w:sz w:val="24"/>
          <w:szCs w:val="24"/>
          <w:shd w:val="clear" w:color="auto" w:fill="FFFFFF"/>
          <w:lang w:val="en-US"/>
        </w:rPr>
        <w:t>DOI: 10.1093/rheumatology/ker392.</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 xml:space="preserve"> </w:t>
      </w: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Pr>
          <w:rFonts w:ascii="Arial" w:hAnsi="Arial" w:cs="Arial"/>
          <w:noProof/>
          <w:sz w:val="24"/>
          <w:szCs w:val="24"/>
          <w:lang w:val="en-US"/>
        </w:rPr>
        <w:t>50</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Semenza GL, Pyeritz RE. Respiratory complications of mucopolysaccharide storage disorders. </w:t>
      </w:r>
      <w:r>
        <w:rPr>
          <w:rFonts w:ascii="Arial" w:hAnsi="Arial" w:cs="Arial"/>
          <w:noProof/>
          <w:sz w:val="24"/>
          <w:szCs w:val="24"/>
        </w:rPr>
        <w:t>Medicine.</w:t>
      </w:r>
      <w:r w:rsidRPr="00FD1822">
        <w:rPr>
          <w:rFonts w:ascii="Arial" w:hAnsi="Arial" w:cs="Arial"/>
          <w:noProof/>
          <w:sz w:val="24"/>
          <w:szCs w:val="24"/>
        </w:rPr>
        <w:t xml:space="preserve"> 1988;67(4):209–19. </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1" w:hanging="641"/>
        <w:rPr>
          <w:rFonts w:ascii="Arial" w:hAnsi="Arial" w:cs="Arial"/>
          <w:noProof/>
          <w:sz w:val="24"/>
          <w:szCs w:val="24"/>
        </w:rPr>
      </w:pPr>
      <w:r w:rsidRPr="00FD1822">
        <w:rPr>
          <w:rFonts w:ascii="Arial" w:hAnsi="Arial" w:cs="Arial"/>
          <w:noProof/>
          <w:sz w:val="24"/>
          <w:szCs w:val="24"/>
        </w:rPr>
        <w:t>5</w:t>
      </w:r>
      <w:r>
        <w:rPr>
          <w:rFonts w:ascii="Arial" w:hAnsi="Arial" w:cs="Arial"/>
          <w:noProof/>
          <w:sz w:val="24"/>
          <w:szCs w:val="24"/>
        </w:rPr>
        <w:t>1</w:t>
      </w:r>
      <w:r w:rsidRPr="00FD1822">
        <w:rPr>
          <w:rFonts w:ascii="Arial" w:hAnsi="Arial" w:cs="Arial"/>
          <w:noProof/>
          <w:sz w:val="24"/>
          <w:szCs w:val="24"/>
        </w:rPr>
        <w:t xml:space="preserve">. </w:t>
      </w:r>
      <w:r w:rsidRPr="00FD1822">
        <w:rPr>
          <w:rFonts w:ascii="Arial" w:hAnsi="Arial" w:cs="Arial"/>
          <w:noProof/>
          <w:sz w:val="24"/>
          <w:szCs w:val="24"/>
        </w:rPr>
        <w:tab/>
        <w:t xml:space="preserve">Reichert R, Campos LG, Vairo F, de Souza CFM, Perez J, Duate J, et al. </w:t>
      </w:r>
      <w:r w:rsidRPr="00FF1F37">
        <w:rPr>
          <w:rFonts w:ascii="Arial" w:hAnsi="Arial" w:cs="Arial"/>
          <w:noProof/>
          <w:sz w:val="24"/>
          <w:szCs w:val="24"/>
          <w:lang w:val="en-US"/>
        </w:rPr>
        <w:t xml:space="preserve">Neuroimaging findings in patients with mucopolysaccharidosis: what you really need to know. </w:t>
      </w:r>
      <w:r>
        <w:rPr>
          <w:rFonts w:ascii="Arial" w:hAnsi="Arial" w:cs="Arial"/>
          <w:noProof/>
          <w:sz w:val="24"/>
          <w:szCs w:val="24"/>
        </w:rPr>
        <w:t>Radiog</w:t>
      </w:r>
      <w:r w:rsidRPr="00FD1822">
        <w:rPr>
          <w:rFonts w:ascii="Arial" w:hAnsi="Arial" w:cs="Arial"/>
          <w:noProof/>
          <w:sz w:val="24"/>
          <w:szCs w:val="24"/>
        </w:rPr>
        <w:t>raphics</w:t>
      </w:r>
      <w:r>
        <w:rPr>
          <w:rFonts w:ascii="Arial" w:hAnsi="Arial" w:cs="Arial"/>
          <w:noProof/>
          <w:sz w:val="24"/>
          <w:szCs w:val="24"/>
        </w:rPr>
        <w:t>.</w:t>
      </w:r>
      <w:r w:rsidRPr="00FD1822">
        <w:rPr>
          <w:rFonts w:ascii="Arial" w:hAnsi="Arial" w:cs="Arial"/>
          <w:noProof/>
          <w:sz w:val="24"/>
          <w:szCs w:val="24"/>
        </w:rPr>
        <w:t xml:space="preserve"> 2016;36(5):1448–62.</w:t>
      </w:r>
      <w:r>
        <w:rPr>
          <w:rFonts w:ascii="Arial" w:hAnsi="Arial" w:cs="Arial"/>
          <w:noProof/>
          <w:sz w:val="24"/>
          <w:szCs w:val="24"/>
        </w:rPr>
        <w:t xml:space="preserve"> DOI:</w:t>
      </w:r>
      <w:r w:rsidRPr="00A76470">
        <w:rPr>
          <w:rFonts w:ascii="Arial" w:hAnsi="Arial" w:cs="Arial"/>
          <w:color w:val="000000"/>
          <w:sz w:val="24"/>
          <w:szCs w:val="24"/>
          <w:shd w:val="clear" w:color="auto" w:fill="FFFFFF"/>
        </w:rPr>
        <w:t xml:space="preserve"> 10.1148/rg.2016150168</w:t>
      </w:r>
      <w:r>
        <w:rPr>
          <w:rFonts w:ascii="Arial" w:hAnsi="Arial" w:cs="Arial"/>
          <w:color w:val="000000"/>
          <w:sz w:val="24"/>
          <w:szCs w:val="24"/>
          <w:shd w:val="clear" w:color="auto" w:fill="FFFFFF"/>
        </w:rPr>
        <w:t>.</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40"/>
          <w:szCs w:val="24"/>
          <w:lang w:val="en-US"/>
        </w:rPr>
      </w:pPr>
      <w:r w:rsidRPr="00FD1822">
        <w:rPr>
          <w:rFonts w:ascii="Arial" w:hAnsi="Arial" w:cs="Arial"/>
          <w:noProof/>
          <w:sz w:val="24"/>
          <w:szCs w:val="24"/>
        </w:rPr>
        <w:t>5</w:t>
      </w:r>
      <w:r>
        <w:rPr>
          <w:rFonts w:ascii="Arial" w:hAnsi="Arial" w:cs="Arial"/>
          <w:noProof/>
          <w:sz w:val="24"/>
          <w:szCs w:val="24"/>
        </w:rPr>
        <w:t>2</w:t>
      </w:r>
      <w:r w:rsidRPr="00FD1822">
        <w:rPr>
          <w:rFonts w:ascii="Arial" w:hAnsi="Arial" w:cs="Arial"/>
          <w:noProof/>
          <w:sz w:val="24"/>
          <w:szCs w:val="24"/>
        </w:rPr>
        <w:t xml:space="preserve">. </w:t>
      </w:r>
      <w:r w:rsidRPr="00FD1822">
        <w:rPr>
          <w:rFonts w:ascii="Arial" w:hAnsi="Arial" w:cs="Arial"/>
          <w:noProof/>
          <w:sz w:val="24"/>
          <w:szCs w:val="24"/>
        </w:rPr>
        <w:tab/>
        <w:t>Silva Neto AR, Holanda GB, Farias MC</w:t>
      </w:r>
      <w:r>
        <w:rPr>
          <w:rFonts w:ascii="Arial" w:hAnsi="Arial" w:cs="Arial"/>
          <w:noProof/>
          <w:sz w:val="24"/>
          <w:szCs w:val="24"/>
        </w:rPr>
        <w:t>, Costa GS</w:t>
      </w:r>
      <w:r w:rsidRPr="00FD1822">
        <w:rPr>
          <w:rFonts w:ascii="Arial" w:hAnsi="Arial" w:cs="Arial"/>
          <w:noProof/>
          <w:sz w:val="24"/>
          <w:szCs w:val="24"/>
        </w:rPr>
        <w:t xml:space="preserve">, Pereira HS. </w:t>
      </w:r>
      <w:r w:rsidRPr="00FF1F37">
        <w:rPr>
          <w:rFonts w:ascii="Arial" w:hAnsi="Arial" w:cs="Arial"/>
          <w:noProof/>
          <w:sz w:val="24"/>
          <w:szCs w:val="24"/>
          <w:lang w:val="en-US"/>
        </w:rPr>
        <w:t xml:space="preserve">Hydrocephalus in mucopolysaccharidosis type VI successfully treated with endoscopic third ventriculostomy. J Neurosurg Pediatr. 2013;11(3):327–30. DOI: </w:t>
      </w:r>
      <w:r w:rsidRPr="00FF1F37">
        <w:rPr>
          <w:rFonts w:ascii="Arial" w:hAnsi="Arial" w:cs="Arial"/>
          <w:sz w:val="24"/>
          <w:szCs w:val="17"/>
          <w:shd w:val="clear" w:color="auto" w:fill="FFFFFF"/>
          <w:lang w:val="en-US"/>
        </w:rPr>
        <w:t> 10.3171/2012.11.PEDS11419.</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Pr>
          <w:rFonts w:ascii="Arial" w:hAnsi="Arial" w:cs="Arial"/>
          <w:noProof/>
          <w:sz w:val="24"/>
          <w:szCs w:val="24"/>
          <w:lang w:val="en-US"/>
        </w:rPr>
        <w:t>53</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Önçaǧ G, Erdinç AM, Cal E. Multidisciplinary treatment approach of Morquio Syndrome (Mucopolysaccharidosis type IVA). Angle Orthod. 2006;76(2):335–40. DOI: </w:t>
      </w:r>
      <w:hyperlink r:id="rId44" w:history="1">
        <w:r w:rsidRPr="00FF1F37">
          <w:rPr>
            <w:rFonts w:ascii="Arial" w:eastAsia="Times New Roman" w:hAnsi="Arial" w:cs="Arial"/>
            <w:sz w:val="24"/>
            <w:szCs w:val="24"/>
            <w:lang w:val="en-US" w:eastAsia="pt-BR"/>
          </w:rPr>
          <w:t>10.1043/0003-3219(2006)076[0335:MTAOMS]2.0.CO;2</w:t>
        </w:r>
      </w:hyperlink>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eastAsia="Times New Roman" w:hAnsi="Arial" w:cs="Arial"/>
          <w:sz w:val="24"/>
          <w:szCs w:val="24"/>
          <w:lang w:val="en-US" w:eastAsia="pt-BR"/>
        </w:rPr>
      </w:pPr>
      <w:r w:rsidRPr="00FF1F37">
        <w:rPr>
          <w:rFonts w:ascii="Arial" w:hAnsi="Arial" w:cs="Arial"/>
          <w:noProof/>
          <w:sz w:val="24"/>
          <w:szCs w:val="24"/>
          <w:lang w:val="en-US"/>
        </w:rPr>
        <w:t>5</w:t>
      </w:r>
      <w:r>
        <w:rPr>
          <w:rFonts w:ascii="Arial" w:hAnsi="Arial" w:cs="Arial"/>
          <w:noProof/>
          <w:sz w:val="24"/>
          <w:szCs w:val="24"/>
          <w:lang w:val="en-US"/>
        </w:rPr>
        <w:t>4</w:t>
      </w:r>
      <w:r w:rsidRPr="00FF1F37">
        <w:rPr>
          <w:rFonts w:ascii="Arial" w:hAnsi="Arial" w:cs="Arial"/>
          <w:noProof/>
          <w:sz w:val="24"/>
          <w:szCs w:val="24"/>
          <w:lang w:val="en-US"/>
        </w:rPr>
        <w:t xml:space="preserve">. </w:t>
      </w:r>
      <w:r w:rsidRPr="00FF1F37">
        <w:rPr>
          <w:rFonts w:ascii="Arial" w:hAnsi="Arial" w:cs="Arial"/>
          <w:noProof/>
          <w:sz w:val="24"/>
          <w:szCs w:val="24"/>
          <w:lang w:val="en-US"/>
        </w:rPr>
        <w:tab/>
      </w:r>
      <w:r w:rsidRPr="002903EE">
        <w:rPr>
          <w:rFonts w:ascii="Arial" w:hAnsi="Arial" w:cs="Arial"/>
          <w:noProof/>
          <w:sz w:val="24"/>
          <w:szCs w:val="24"/>
          <w:lang w:val="en-US"/>
        </w:rPr>
        <w:t xml:space="preserve">Peck SH, Casal ML, Malhotra NR, Ficicioglu C, Smith LJ. </w:t>
      </w:r>
      <w:r w:rsidRPr="00FF1F37">
        <w:rPr>
          <w:rFonts w:ascii="Arial" w:hAnsi="Arial" w:cs="Arial"/>
          <w:noProof/>
          <w:sz w:val="24"/>
          <w:szCs w:val="24"/>
          <w:lang w:val="en-US"/>
        </w:rPr>
        <w:t xml:space="preserve">Pathogenesis and treatment of spine disease in the mucopolysaccharidoses. Mol Genet Metab. 2016;118(4):232–43. DOI: </w:t>
      </w:r>
      <w:hyperlink r:id="rId45" w:history="1">
        <w:r w:rsidRPr="00FF1F37">
          <w:rPr>
            <w:rStyle w:val="Hyperlink"/>
            <w:rFonts w:ascii="Arial" w:hAnsi="Arial" w:cs="Arial"/>
            <w:color w:val="auto"/>
            <w:sz w:val="24"/>
            <w:szCs w:val="24"/>
            <w:u w:val="none"/>
            <w:shd w:val="clear" w:color="auto" w:fill="FFFFFF"/>
            <w:lang w:val="en-US"/>
          </w:rPr>
          <w:t>10.1016/j.ymgme.2016.06.002</w:t>
        </w:r>
      </w:hyperlink>
      <w:r w:rsidRPr="00FF1F37">
        <w:rPr>
          <w:rFonts w:ascii="Arial" w:hAnsi="Arial" w:cs="Arial"/>
          <w:sz w:val="24"/>
          <w:szCs w:val="24"/>
          <w:lang w:val="en-US"/>
        </w:rPr>
        <w:t>.</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Pr>
          <w:rFonts w:ascii="Arial" w:hAnsi="Arial" w:cs="Arial"/>
          <w:noProof/>
          <w:sz w:val="24"/>
          <w:szCs w:val="24"/>
          <w:lang w:val="en-US"/>
        </w:rPr>
        <w:t>55</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Ruijter J, Maas M, Janssen A, Wijburg FA. High prevalence of femoral head necrosis in Mucopolysaccharidosis type III (Sanfilippo disease): A national, observational, cross-sectional study. Mol Genet Metab. 2013;109(1):49–53. DOI: </w:t>
      </w:r>
      <w:hyperlink r:id="rId46" w:history="1">
        <w:r w:rsidRPr="00FF1F37">
          <w:rPr>
            <w:rStyle w:val="Hyperlink"/>
            <w:rFonts w:ascii="Arial" w:hAnsi="Arial" w:cs="Arial"/>
            <w:color w:val="auto"/>
            <w:sz w:val="24"/>
            <w:szCs w:val="24"/>
            <w:u w:val="none"/>
            <w:shd w:val="clear" w:color="auto" w:fill="FFFFFF"/>
            <w:lang w:val="en-US"/>
          </w:rPr>
          <w:t>10.1016/j.ymgme.2013.03.004</w:t>
        </w:r>
      </w:hyperlink>
      <w:r w:rsidRPr="00FF1F37">
        <w:rPr>
          <w:rFonts w:ascii="Arial" w:hAnsi="Arial" w:cs="Arial"/>
          <w:sz w:val="24"/>
          <w:szCs w:val="24"/>
          <w:lang w:val="en-US"/>
        </w:rPr>
        <w:t>.</w:t>
      </w:r>
      <w:r w:rsidRPr="00FF1F37">
        <w:rPr>
          <w:rFonts w:ascii="Arial" w:hAnsi="Arial" w:cs="Arial"/>
          <w:noProof/>
          <w:sz w:val="24"/>
          <w:szCs w:val="24"/>
          <w:lang w:val="en-US"/>
        </w:rPr>
        <w:t xml:space="preserve"> </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F1F37">
        <w:rPr>
          <w:rFonts w:ascii="Arial" w:hAnsi="Arial" w:cs="Arial"/>
          <w:noProof/>
          <w:sz w:val="24"/>
          <w:szCs w:val="24"/>
          <w:lang w:val="en-US"/>
        </w:rPr>
        <w:t>5</w:t>
      </w:r>
      <w:r>
        <w:rPr>
          <w:rFonts w:ascii="Arial" w:hAnsi="Arial" w:cs="Arial"/>
          <w:noProof/>
          <w:sz w:val="24"/>
          <w:szCs w:val="24"/>
          <w:lang w:val="en-US"/>
        </w:rPr>
        <w:t>6</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Davis L, Vedanarayanan VV. Carpal tunnel syndrome in children. Pediatr Neurol. 2014;50(1):57–9. DOI: </w:t>
      </w:r>
      <w:hyperlink r:id="rId47" w:history="1">
        <w:r w:rsidRPr="00FF1F37">
          <w:rPr>
            <w:rStyle w:val="Hyperlink"/>
            <w:rFonts w:ascii="Arial" w:hAnsi="Arial" w:cs="Arial"/>
            <w:color w:val="auto"/>
            <w:sz w:val="24"/>
            <w:szCs w:val="24"/>
            <w:u w:val="none"/>
            <w:shd w:val="clear" w:color="auto" w:fill="FFFFFF"/>
            <w:lang w:val="en-US"/>
          </w:rPr>
          <w:t>10.1016/j.pediatrneurol.2013.08.019</w:t>
        </w:r>
      </w:hyperlink>
      <w:r w:rsidRPr="00FF1F37">
        <w:rPr>
          <w:rFonts w:ascii="Arial" w:hAnsi="Arial" w:cs="Arial"/>
          <w:sz w:val="24"/>
          <w:szCs w:val="24"/>
          <w:lang w:val="en-US"/>
        </w:rPr>
        <w:t>.</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F1F37">
        <w:rPr>
          <w:rFonts w:ascii="Arial" w:hAnsi="Arial" w:cs="Arial"/>
          <w:noProof/>
          <w:sz w:val="24"/>
          <w:szCs w:val="24"/>
          <w:lang w:val="en-US"/>
        </w:rPr>
        <w:t>5</w:t>
      </w:r>
      <w:r>
        <w:rPr>
          <w:rFonts w:ascii="Arial" w:hAnsi="Arial" w:cs="Arial"/>
          <w:noProof/>
          <w:sz w:val="24"/>
          <w:szCs w:val="24"/>
          <w:lang w:val="en-US"/>
        </w:rPr>
        <w:t>7</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Kwon JY, Ko K, Sohn YB, Kim SJ, Park SW, Kim SH, et al. High prevalence of carpal tunnel syndrome in children with mucopolysaccharidosis type II (Hunter syndrome). </w:t>
      </w:r>
      <w:r w:rsidRPr="00FD1822">
        <w:rPr>
          <w:rFonts w:ascii="Arial" w:hAnsi="Arial" w:cs="Arial"/>
          <w:noProof/>
          <w:sz w:val="24"/>
          <w:szCs w:val="24"/>
        </w:rPr>
        <w:t>Am J Med Genet A. 2011;155</w:t>
      </w:r>
      <w:r>
        <w:rPr>
          <w:rFonts w:ascii="Arial" w:hAnsi="Arial" w:cs="Arial"/>
          <w:noProof/>
          <w:sz w:val="24"/>
          <w:szCs w:val="24"/>
        </w:rPr>
        <w:t>A(6)</w:t>
      </w:r>
      <w:r w:rsidRPr="00FD1822">
        <w:rPr>
          <w:rFonts w:ascii="Arial" w:hAnsi="Arial" w:cs="Arial"/>
          <w:noProof/>
          <w:sz w:val="24"/>
          <w:szCs w:val="24"/>
        </w:rPr>
        <w:t xml:space="preserve">:1329–35. </w:t>
      </w:r>
      <w:r>
        <w:rPr>
          <w:rFonts w:ascii="Arial" w:hAnsi="Arial" w:cs="Arial"/>
          <w:noProof/>
          <w:sz w:val="24"/>
          <w:szCs w:val="24"/>
        </w:rPr>
        <w:t xml:space="preserve">DOI: </w:t>
      </w:r>
      <w:hyperlink r:id="rId48" w:history="1">
        <w:r w:rsidRPr="00EC7D09">
          <w:rPr>
            <w:rStyle w:val="Hyperlink"/>
            <w:rFonts w:ascii="Arial" w:hAnsi="Arial" w:cs="Arial"/>
            <w:color w:val="auto"/>
            <w:sz w:val="24"/>
            <w:szCs w:val="24"/>
            <w:u w:val="none"/>
            <w:shd w:val="clear" w:color="auto" w:fill="FFFFFF"/>
          </w:rPr>
          <w:t>10.1002/ajmg.a.34013</w:t>
        </w:r>
      </w:hyperlink>
      <w:r w:rsidRPr="00EC7D09">
        <w:rPr>
          <w:rFonts w:ascii="Arial" w:hAnsi="Arial" w:cs="Arial"/>
          <w:sz w:val="24"/>
          <w:szCs w:val="24"/>
        </w:rPr>
        <w:t>.</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D1822">
        <w:rPr>
          <w:rFonts w:ascii="Arial" w:hAnsi="Arial" w:cs="Arial"/>
          <w:noProof/>
          <w:sz w:val="24"/>
          <w:szCs w:val="24"/>
        </w:rPr>
        <w:t>5</w:t>
      </w:r>
      <w:r>
        <w:rPr>
          <w:rFonts w:ascii="Arial" w:hAnsi="Arial" w:cs="Arial"/>
          <w:noProof/>
          <w:sz w:val="24"/>
          <w:szCs w:val="24"/>
        </w:rPr>
        <w:t>8</w:t>
      </w:r>
      <w:r w:rsidRPr="00FD1822">
        <w:rPr>
          <w:rFonts w:ascii="Arial" w:hAnsi="Arial" w:cs="Arial"/>
          <w:noProof/>
          <w:sz w:val="24"/>
          <w:szCs w:val="24"/>
        </w:rPr>
        <w:t xml:space="preserve">. </w:t>
      </w:r>
      <w:r w:rsidRPr="00FD1822">
        <w:rPr>
          <w:rFonts w:ascii="Arial" w:hAnsi="Arial" w:cs="Arial"/>
          <w:noProof/>
          <w:sz w:val="24"/>
          <w:szCs w:val="24"/>
        </w:rPr>
        <w:tab/>
        <w:t xml:space="preserve">Rossier VF, Guaré R de O, Haddad AS, Ciamponi AL. Mucopolissacaridose </w:t>
      </w:r>
      <w:r w:rsidRPr="00FD1822">
        <w:rPr>
          <w:rFonts w:ascii="Arial" w:hAnsi="Arial" w:cs="Arial"/>
          <w:noProof/>
          <w:sz w:val="24"/>
          <w:szCs w:val="24"/>
        </w:rPr>
        <w:lastRenderedPageBreak/>
        <w:t xml:space="preserve">Tipo III ( Síndrome de Sanfilippo ) – Revisão e Relato de Casos Clínicos. JBP - Rev Ibero-am Odontopediatr Odontol Bebê. 2004;7(38):326–34. </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D1822">
        <w:rPr>
          <w:rFonts w:ascii="Arial" w:hAnsi="Arial" w:cs="Arial"/>
          <w:noProof/>
          <w:sz w:val="24"/>
          <w:szCs w:val="24"/>
        </w:rPr>
        <w:t>5</w:t>
      </w:r>
      <w:r>
        <w:rPr>
          <w:rFonts w:ascii="Arial" w:hAnsi="Arial" w:cs="Arial"/>
          <w:noProof/>
          <w:sz w:val="24"/>
          <w:szCs w:val="24"/>
        </w:rPr>
        <w:t>9</w:t>
      </w:r>
      <w:r w:rsidRPr="00FD1822">
        <w:rPr>
          <w:rFonts w:ascii="Arial" w:hAnsi="Arial" w:cs="Arial"/>
          <w:noProof/>
          <w:sz w:val="24"/>
          <w:szCs w:val="24"/>
        </w:rPr>
        <w:t xml:space="preserve">. </w:t>
      </w:r>
      <w:r w:rsidRPr="00FD1822">
        <w:rPr>
          <w:rFonts w:ascii="Arial" w:hAnsi="Arial" w:cs="Arial"/>
          <w:noProof/>
          <w:sz w:val="24"/>
          <w:szCs w:val="24"/>
        </w:rPr>
        <w:tab/>
        <w:t xml:space="preserve">Turra GS, Schwartz IV. </w:t>
      </w:r>
      <w:r w:rsidRPr="00FF1F37">
        <w:rPr>
          <w:rFonts w:ascii="Arial" w:hAnsi="Arial" w:cs="Arial"/>
          <w:noProof/>
          <w:sz w:val="24"/>
          <w:szCs w:val="24"/>
          <w:lang w:val="en-US"/>
        </w:rPr>
        <w:t xml:space="preserve">Evaluation of orofacial motricity in patients with mucopolysaccharidosis: a cross-sectional study. J Pediatr (Rio J). 2009;85(3):254–60. DOI: </w:t>
      </w:r>
      <w:r w:rsidRPr="00FF1F37">
        <w:rPr>
          <w:rFonts w:ascii="Arial" w:hAnsi="Arial" w:cs="Arial"/>
          <w:sz w:val="24"/>
          <w:szCs w:val="24"/>
          <w:shd w:val="clear" w:color="auto" w:fill="FFFFFF"/>
          <w:lang w:val="en-US"/>
        </w:rPr>
        <w:t>10.2223/JPED.1899.</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382EBE"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Pr>
          <w:rFonts w:ascii="Arial" w:hAnsi="Arial" w:cs="Arial"/>
          <w:noProof/>
          <w:sz w:val="24"/>
          <w:szCs w:val="24"/>
          <w:lang w:val="en-US"/>
        </w:rPr>
        <w:t>60</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Ahmed A, Rudser K, Kunin-Batson A, Delaney K, Whitley C, Shapiro E. Mucopolysaccharidosis (MPS) Physical Symptom Score: Development, Reliability, and Validity. </w:t>
      </w:r>
      <w:r w:rsidRPr="00FD1822">
        <w:rPr>
          <w:rFonts w:ascii="Arial" w:hAnsi="Arial" w:cs="Arial"/>
          <w:noProof/>
          <w:sz w:val="24"/>
          <w:szCs w:val="24"/>
        </w:rPr>
        <w:t xml:space="preserve">JIMD Rep. 2016;26:61–8. </w:t>
      </w:r>
      <w:r w:rsidRPr="00382EBE">
        <w:rPr>
          <w:rFonts w:ascii="Arial" w:hAnsi="Arial" w:cs="Arial"/>
          <w:noProof/>
          <w:sz w:val="24"/>
          <w:szCs w:val="24"/>
        </w:rPr>
        <w:t xml:space="preserve">DOI: </w:t>
      </w:r>
      <w:r w:rsidRPr="00382EBE">
        <w:rPr>
          <w:rFonts w:ascii="Arial" w:hAnsi="Arial" w:cs="Arial"/>
          <w:color w:val="000000"/>
          <w:sz w:val="24"/>
          <w:szCs w:val="24"/>
          <w:shd w:val="clear" w:color="auto" w:fill="FFFFFF"/>
        </w:rPr>
        <w:t>10.1007/8904_2015_485</w:t>
      </w:r>
      <w:r>
        <w:rPr>
          <w:rFonts w:ascii="Arial" w:hAnsi="Arial" w:cs="Arial"/>
          <w:color w:val="000000"/>
          <w:sz w:val="24"/>
          <w:szCs w:val="24"/>
          <w:shd w:val="clear" w:color="auto" w:fill="FFFFFF"/>
        </w:rPr>
        <w:t>.</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Pr>
          <w:rFonts w:ascii="Arial" w:hAnsi="Arial" w:cs="Arial"/>
          <w:noProof/>
          <w:sz w:val="24"/>
          <w:szCs w:val="24"/>
        </w:rPr>
        <w:t>61</w:t>
      </w:r>
      <w:r w:rsidRPr="00FD1822">
        <w:rPr>
          <w:rFonts w:ascii="Arial" w:hAnsi="Arial" w:cs="Arial"/>
          <w:noProof/>
          <w:sz w:val="24"/>
          <w:szCs w:val="24"/>
        </w:rPr>
        <w:t xml:space="preserve">. </w:t>
      </w:r>
      <w:r w:rsidRPr="00FD1822">
        <w:rPr>
          <w:rFonts w:ascii="Arial" w:hAnsi="Arial" w:cs="Arial"/>
          <w:noProof/>
          <w:sz w:val="24"/>
          <w:szCs w:val="24"/>
        </w:rPr>
        <w:tab/>
        <w:t>Riberto M, Miyazaki MH, Jucá SS, Sakamoto H, Potiguara P, Pinto N, et al. Validação da Versão Brasileira da Me</w:t>
      </w:r>
      <w:r>
        <w:rPr>
          <w:rFonts w:ascii="Arial" w:hAnsi="Arial" w:cs="Arial"/>
          <w:noProof/>
          <w:sz w:val="24"/>
          <w:szCs w:val="24"/>
        </w:rPr>
        <w:t>dida de Independência Funcional</w:t>
      </w:r>
      <w:r w:rsidRPr="00FD1822">
        <w:rPr>
          <w:rFonts w:ascii="Arial" w:hAnsi="Arial" w:cs="Arial"/>
          <w:noProof/>
          <w:sz w:val="24"/>
          <w:szCs w:val="24"/>
        </w:rPr>
        <w:t xml:space="preserve">. Acta Fisiatr. 2004;11(2):72–6. </w:t>
      </w:r>
      <w:r>
        <w:rPr>
          <w:rFonts w:ascii="Arial" w:hAnsi="Arial" w:cs="Arial"/>
          <w:noProof/>
          <w:sz w:val="24"/>
          <w:szCs w:val="24"/>
        </w:rPr>
        <w:t xml:space="preserve">DOI: </w:t>
      </w:r>
      <w:hyperlink r:id="rId49" w:history="1">
        <w:r w:rsidRPr="00382EBE">
          <w:rPr>
            <w:rStyle w:val="Hyperlink"/>
            <w:rFonts w:ascii="Arial" w:hAnsi="Arial" w:cs="Arial"/>
            <w:color w:val="auto"/>
            <w:sz w:val="24"/>
            <w:szCs w:val="24"/>
            <w:u w:val="none"/>
            <w:shd w:val="clear" w:color="auto" w:fill="FFFFFF"/>
          </w:rPr>
          <w:t>10.5935/0104-7795.20040003</w:t>
        </w:r>
      </w:hyperlink>
      <w:r w:rsidRPr="00382EBE">
        <w:rPr>
          <w:rFonts w:ascii="Arial" w:hAnsi="Arial" w:cs="Arial"/>
          <w:sz w:val="24"/>
          <w:szCs w:val="24"/>
        </w:rPr>
        <w:t>.</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2903EE"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Pr>
          <w:rFonts w:ascii="Arial" w:hAnsi="Arial" w:cs="Arial"/>
          <w:noProof/>
          <w:sz w:val="24"/>
          <w:szCs w:val="24"/>
        </w:rPr>
        <w:t>62</w:t>
      </w:r>
      <w:r w:rsidRPr="00FD1822">
        <w:rPr>
          <w:rFonts w:ascii="Arial" w:hAnsi="Arial" w:cs="Arial"/>
          <w:noProof/>
          <w:sz w:val="24"/>
          <w:szCs w:val="24"/>
        </w:rPr>
        <w:t xml:space="preserve">. </w:t>
      </w:r>
      <w:r w:rsidRPr="00FD1822">
        <w:rPr>
          <w:rFonts w:ascii="Arial" w:hAnsi="Arial" w:cs="Arial"/>
          <w:noProof/>
          <w:sz w:val="24"/>
          <w:szCs w:val="24"/>
        </w:rPr>
        <w:tab/>
        <w:t>Riberto M, Miyazaki M, Jorge Filho D, Sakamoto H, Battistella LR. Reprodutibilidade da versäo brasileira da Medida de Independê</w:t>
      </w:r>
      <w:r>
        <w:rPr>
          <w:rFonts w:ascii="Arial" w:hAnsi="Arial" w:cs="Arial"/>
          <w:noProof/>
          <w:sz w:val="24"/>
          <w:szCs w:val="24"/>
        </w:rPr>
        <w:t>ncia Funcional. Acta Fisiatr</w:t>
      </w:r>
      <w:r w:rsidRPr="00FD1822">
        <w:rPr>
          <w:rFonts w:ascii="Arial" w:hAnsi="Arial" w:cs="Arial"/>
          <w:noProof/>
          <w:sz w:val="24"/>
          <w:szCs w:val="24"/>
        </w:rPr>
        <w:t xml:space="preserve">. </w:t>
      </w:r>
      <w:r w:rsidRPr="002903EE">
        <w:rPr>
          <w:rFonts w:ascii="Arial" w:hAnsi="Arial" w:cs="Arial"/>
          <w:noProof/>
          <w:sz w:val="24"/>
          <w:szCs w:val="24"/>
          <w:lang w:val="en-US"/>
        </w:rPr>
        <w:t xml:space="preserve">2001;8(1):45–52. DOI: </w:t>
      </w:r>
      <w:hyperlink r:id="rId50" w:history="1">
        <w:r w:rsidRPr="002903EE">
          <w:rPr>
            <w:rStyle w:val="Hyperlink"/>
            <w:rFonts w:ascii="Arial" w:hAnsi="Arial" w:cs="Arial"/>
            <w:color w:val="auto"/>
            <w:sz w:val="24"/>
            <w:szCs w:val="24"/>
            <w:u w:val="none"/>
            <w:shd w:val="clear" w:color="auto" w:fill="FFFFFF"/>
            <w:lang w:val="en-US"/>
          </w:rPr>
          <w:t>10.5935/0104-7795.20010002</w:t>
        </w:r>
      </w:hyperlink>
      <w:r w:rsidRPr="002903EE">
        <w:rPr>
          <w:rFonts w:ascii="Arial" w:hAnsi="Arial" w:cs="Arial"/>
          <w:sz w:val="24"/>
          <w:szCs w:val="24"/>
          <w:lang w:val="en-US"/>
        </w:rPr>
        <w:t>.</w:t>
      </w:r>
    </w:p>
    <w:p w:rsidR="002306F1" w:rsidRPr="002903EE"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AD04C0"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2903EE">
        <w:rPr>
          <w:rFonts w:ascii="Arial" w:hAnsi="Arial" w:cs="Arial"/>
          <w:noProof/>
          <w:sz w:val="24"/>
          <w:szCs w:val="24"/>
          <w:lang w:val="en-US"/>
        </w:rPr>
        <w:t xml:space="preserve">63. </w:t>
      </w:r>
      <w:r w:rsidRPr="002903EE">
        <w:rPr>
          <w:rFonts w:ascii="Arial" w:hAnsi="Arial" w:cs="Arial"/>
          <w:noProof/>
          <w:sz w:val="24"/>
          <w:szCs w:val="24"/>
          <w:lang w:val="en-US"/>
        </w:rPr>
        <w:tab/>
      </w:r>
      <w:r w:rsidRPr="00FF1F37">
        <w:rPr>
          <w:rFonts w:ascii="Arial" w:hAnsi="Arial" w:cs="Arial"/>
          <w:noProof/>
          <w:sz w:val="24"/>
          <w:szCs w:val="24"/>
          <w:lang w:val="en-US"/>
        </w:rPr>
        <w:t xml:space="preserve">Curzel J, Forgiarini Junior LA, Rieder M de M. Evaluation of functional independence after discharge from the intensive care unit. </w:t>
      </w:r>
      <w:r w:rsidRPr="00AD04C0">
        <w:rPr>
          <w:rFonts w:ascii="Arial" w:hAnsi="Arial" w:cs="Arial"/>
          <w:noProof/>
          <w:sz w:val="24"/>
          <w:szCs w:val="24"/>
        </w:rPr>
        <w:t xml:space="preserve">Rev Bras Ter Intensiva. 2013;25(2):93–8. DOI: </w:t>
      </w:r>
      <w:hyperlink r:id="rId51" w:tgtFrame="pmc_ext" w:history="1">
        <w:r w:rsidRPr="00AD04C0">
          <w:rPr>
            <w:rStyle w:val="Hyperlink"/>
            <w:rFonts w:ascii="Arial" w:hAnsi="Arial" w:cs="Arial"/>
            <w:color w:val="auto"/>
            <w:sz w:val="24"/>
            <w:szCs w:val="24"/>
            <w:u w:val="none"/>
            <w:shd w:val="clear" w:color="auto" w:fill="FFFFFF"/>
          </w:rPr>
          <w:t>10.5935/0103-507X.20130019</w:t>
        </w:r>
      </w:hyperlink>
      <w:r w:rsidRPr="00AD04C0">
        <w:rPr>
          <w:rFonts w:ascii="Arial" w:hAnsi="Arial" w:cs="Arial"/>
          <w:sz w:val="24"/>
          <w:szCs w:val="24"/>
        </w:rPr>
        <w:t>.</w:t>
      </w:r>
    </w:p>
    <w:p w:rsidR="002306F1" w:rsidRPr="00AD04C0"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Pr>
          <w:rFonts w:ascii="Arial" w:hAnsi="Arial" w:cs="Arial"/>
          <w:noProof/>
          <w:sz w:val="24"/>
          <w:szCs w:val="24"/>
        </w:rPr>
        <w:t>64</w:t>
      </w:r>
      <w:r w:rsidRPr="00FD1822">
        <w:rPr>
          <w:rFonts w:ascii="Arial" w:hAnsi="Arial" w:cs="Arial"/>
          <w:noProof/>
          <w:sz w:val="24"/>
          <w:szCs w:val="24"/>
        </w:rPr>
        <w:t xml:space="preserve">. </w:t>
      </w:r>
      <w:r w:rsidRPr="00FD1822">
        <w:rPr>
          <w:rFonts w:ascii="Arial" w:hAnsi="Arial" w:cs="Arial"/>
          <w:noProof/>
          <w:sz w:val="24"/>
          <w:szCs w:val="24"/>
        </w:rPr>
        <w:tab/>
        <w:t xml:space="preserve">Scattolin FA, Diogo MJ, Colombo RC. Correlação entre instrumentos de qualidade de vida relacionada à saúde e independência funcional em idosos com insuficiência cardíaca. </w:t>
      </w:r>
      <w:r w:rsidR="00796E34">
        <w:rPr>
          <w:rFonts w:ascii="Arial" w:hAnsi="Arial" w:cs="Arial"/>
          <w:noProof/>
          <w:sz w:val="24"/>
          <w:szCs w:val="24"/>
          <w:lang w:val="en-US"/>
        </w:rPr>
        <w:t>Cad Saúde Pú</w:t>
      </w:r>
      <w:r w:rsidRPr="00FF1F37">
        <w:rPr>
          <w:rFonts w:ascii="Arial" w:hAnsi="Arial" w:cs="Arial"/>
          <w:noProof/>
          <w:sz w:val="24"/>
          <w:szCs w:val="24"/>
          <w:lang w:val="en-US"/>
        </w:rPr>
        <w:t xml:space="preserve">blica. 2007;23(11):2705–15. DOI: </w:t>
      </w:r>
      <w:r w:rsidRPr="00FF1F37">
        <w:rPr>
          <w:rFonts w:ascii="Arial" w:hAnsi="Arial" w:cs="Arial"/>
          <w:color w:val="000000"/>
          <w:sz w:val="24"/>
          <w:szCs w:val="24"/>
          <w:shd w:val="clear" w:color="auto" w:fill="FFFFFF"/>
          <w:lang w:val="en-US"/>
        </w:rPr>
        <w:t>10.1590/S0102-311X2007001100018.</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Pr>
          <w:rFonts w:ascii="Arial" w:hAnsi="Arial" w:cs="Arial"/>
          <w:noProof/>
          <w:sz w:val="24"/>
          <w:szCs w:val="24"/>
          <w:lang w:val="en-US"/>
        </w:rPr>
        <w:t>65</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Oller GA, Ribeiro RC, Travagim DS, Batista MA, Marques S, Kusumota L. Functional independence in patients with chronic kidney disease being treated with haemodialysis. Rev Latino-Am Enfermagem. 2012;20(6):1033–40. DOI: </w:t>
      </w:r>
      <w:r w:rsidRPr="00FF1F37">
        <w:rPr>
          <w:rFonts w:ascii="Arial" w:hAnsi="Arial" w:cs="Arial"/>
          <w:bCs/>
          <w:sz w:val="24"/>
          <w:szCs w:val="24"/>
          <w:lang w:val="en-US"/>
        </w:rPr>
        <w:t>10.1590/S0104-11692012000600004.</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AD04C0"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Pr>
          <w:rFonts w:ascii="Arial" w:hAnsi="Arial" w:cs="Arial"/>
          <w:noProof/>
          <w:sz w:val="24"/>
          <w:szCs w:val="24"/>
          <w:lang w:val="en-US"/>
        </w:rPr>
        <w:t>66</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Dullenkopf A, Holzmann D, Feurer R, Gerber A, Weiss M. Tracheal intubation in children with Morquio syndrome using the angulated video-intubation laryngoscope. </w:t>
      </w:r>
      <w:r w:rsidRPr="00AD04C0">
        <w:rPr>
          <w:rFonts w:ascii="Arial" w:hAnsi="Arial" w:cs="Arial"/>
          <w:noProof/>
          <w:sz w:val="24"/>
          <w:szCs w:val="24"/>
        </w:rPr>
        <w:t xml:space="preserve">Can J Anesth. 2002;49(2):198–202. DOI: </w:t>
      </w:r>
      <w:hyperlink r:id="rId52" w:history="1">
        <w:r w:rsidRPr="00AD04C0">
          <w:rPr>
            <w:rStyle w:val="Hyperlink"/>
            <w:rFonts w:ascii="Arial" w:hAnsi="Arial" w:cs="Arial"/>
            <w:color w:val="auto"/>
            <w:sz w:val="24"/>
            <w:szCs w:val="24"/>
            <w:u w:val="none"/>
            <w:shd w:val="clear" w:color="auto" w:fill="FFFFFF"/>
          </w:rPr>
          <w:t>10.1007/BF03020496</w:t>
        </w:r>
      </w:hyperlink>
      <w:r w:rsidRPr="00AD04C0">
        <w:rPr>
          <w:rFonts w:ascii="Arial" w:hAnsi="Arial" w:cs="Arial"/>
          <w:sz w:val="24"/>
          <w:szCs w:val="24"/>
        </w:rPr>
        <w:t>.</w:t>
      </w:r>
    </w:p>
    <w:p w:rsidR="002306F1" w:rsidRPr="00AD04C0"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Pr>
          <w:rFonts w:ascii="Arial" w:hAnsi="Arial" w:cs="Arial"/>
          <w:noProof/>
          <w:sz w:val="24"/>
          <w:szCs w:val="24"/>
        </w:rPr>
        <w:t xml:space="preserve">67. </w:t>
      </w:r>
      <w:r>
        <w:rPr>
          <w:rFonts w:ascii="Arial" w:hAnsi="Arial" w:cs="Arial"/>
          <w:noProof/>
          <w:sz w:val="24"/>
          <w:szCs w:val="24"/>
        </w:rPr>
        <w:tab/>
      </w:r>
      <w:r w:rsidRPr="00FD1822">
        <w:rPr>
          <w:rFonts w:ascii="Arial" w:hAnsi="Arial" w:cs="Arial"/>
          <w:noProof/>
          <w:sz w:val="24"/>
          <w:szCs w:val="24"/>
        </w:rPr>
        <w:t>Organização Mundial da Saúde. CIF: Classificação Internaci</w:t>
      </w:r>
      <w:r>
        <w:rPr>
          <w:rFonts w:ascii="Arial" w:hAnsi="Arial" w:cs="Arial"/>
          <w:noProof/>
          <w:sz w:val="24"/>
          <w:szCs w:val="24"/>
        </w:rPr>
        <w:t>onal de Funcionalidade</w:t>
      </w:r>
      <w:r w:rsidRPr="00FD1822">
        <w:rPr>
          <w:rFonts w:ascii="Arial" w:hAnsi="Arial" w:cs="Arial"/>
          <w:noProof/>
          <w:sz w:val="24"/>
          <w:szCs w:val="24"/>
        </w:rPr>
        <w:t>. Direção-Geral da Saúde</w:t>
      </w:r>
      <w:r>
        <w:rPr>
          <w:rFonts w:ascii="Arial" w:hAnsi="Arial" w:cs="Arial"/>
          <w:noProof/>
          <w:sz w:val="24"/>
          <w:szCs w:val="24"/>
        </w:rPr>
        <w:t>. Lisboa; 2004</w:t>
      </w:r>
      <w:r w:rsidRPr="00FD1822">
        <w:rPr>
          <w:rFonts w:ascii="Arial" w:hAnsi="Arial" w:cs="Arial"/>
          <w:noProof/>
          <w:sz w:val="24"/>
          <w:szCs w:val="24"/>
        </w:rPr>
        <w:t>.</w:t>
      </w:r>
      <w:r>
        <w:rPr>
          <w:rFonts w:ascii="Arial" w:hAnsi="Arial" w:cs="Arial"/>
          <w:noProof/>
          <w:sz w:val="24"/>
          <w:szCs w:val="24"/>
        </w:rPr>
        <w:t xml:space="preserve"> [acesso em 03 ago 2017]. Disponível em: </w:t>
      </w:r>
      <w:r w:rsidRPr="008826CF">
        <w:rPr>
          <w:rFonts w:ascii="Arial" w:hAnsi="Arial" w:cs="Arial"/>
          <w:noProof/>
          <w:sz w:val="24"/>
          <w:szCs w:val="24"/>
        </w:rPr>
        <w:t>http://www.inr.pt/uploads/docs/cif/CIF_port_%202004.pdf</w:t>
      </w:r>
      <w:r w:rsidRPr="00FD1822">
        <w:rPr>
          <w:rFonts w:ascii="Arial" w:hAnsi="Arial" w:cs="Arial"/>
          <w:noProof/>
          <w:sz w:val="24"/>
          <w:szCs w:val="24"/>
        </w:rPr>
        <w:t xml:space="preserve"> </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Pr>
          <w:rFonts w:ascii="Arial" w:hAnsi="Arial" w:cs="Arial"/>
          <w:noProof/>
          <w:sz w:val="24"/>
          <w:szCs w:val="24"/>
        </w:rPr>
        <w:t>68</w:t>
      </w:r>
      <w:r w:rsidRPr="00FD1822">
        <w:rPr>
          <w:rFonts w:ascii="Arial" w:hAnsi="Arial" w:cs="Arial"/>
          <w:noProof/>
          <w:sz w:val="24"/>
          <w:szCs w:val="24"/>
        </w:rPr>
        <w:t>.</w:t>
      </w:r>
      <w:r>
        <w:rPr>
          <w:rFonts w:ascii="Arial" w:hAnsi="Arial" w:cs="Arial"/>
          <w:noProof/>
          <w:sz w:val="24"/>
          <w:szCs w:val="24"/>
        </w:rPr>
        <w:t xml:space="preserve"> </w:t>
      </w:r>
      <w:r>
        <w:rPr>
          <w:rFonts w:ascii="Arial" w:hAnsi="Arial" w:cs="Arial"/>
          <w:noProof/>
          <w:sz w:val="24"/>
          <w:szCs w:val="24"/>
        </w:rPr>
        <w:tab/>
        <w:t>Vasconcelos TB, Cavalcante LI</w:t>
      </w:r>
      <w:r w:rsidRPr="00FD1822">
        <w:rPr>
          <w:rFonts w:ascii="Arial" w:hAnsi="Arial" w:cs="Arial"/>
          <w:noProof/>
          <w:sz w:val="24"/>
          <w:szCs w:val="24"/>
        </w:rPr>
        <w:t>. Avaliação das atividades de vida diária em crianças: uma revisão da literatura. Rev Ter Ocup. 2013;24(3):267–72.</w:t>
      </w:r>
      <w:r>
        <w:rPr>
          <w:rFonts w:ascii="Arial" w:hAnsi="Arial" w:cs="Arial"/>
          <w:noProof/>
          <w:sz w:val="24"/>
          <w:szCs w:val="24"/>
        </w:rPr>
        <w:t xml:space="preserve"> DOI: </w:t>
      </w:r>
      <w:hyperlink r:id="rId53" w:history="1">
        <w:r w:rsidRPr="00DF358B">
          <w:rPr>
            <w:rStyle w:val="Hyperlink"/>
            <w:rFonts w:ascii="Arial" w:hAnsi="Arial" w:cs="Arial"/>
            <w:color w:val="auto"/>
            <w:sz w:val="24"/>
            <w:szCs w:val="24"/>
            <w:u w:val="none"/>
            <w:shd w:val="clear" w:color="auto" w:fill="FFFFFF"/>
          </w:rPr>
          <w:t>10.11606/issn.2238-6149.v24i3p267-272</w:t>
        </w:r>
      </w:hyperlink>
      <w:r>
        <w:rPr>
          <w:rFonts w:ascii="Arial" w:hAnsi="Arial" w:cs="Arial"/>
          <w:sz w:val="24"/>
          <w:szCs w:val="24"/>
        </w:rPr>
        <w:t>.</w:t>
      </w:r>
      <w:r w:rsidRPr="00FD1822">
        <w:rPr>
          <w:rFonts w:ascii="Arial" w:hAnsi="Arial" w:cs="Arial"/>
          <w:noProof/>
          <w:sz w:val="24"/>
          <w:szCs w:val="24"/>
        </w:rPr>
        <w:t xml:space="preserve"> </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Pr>
          <w:rFonts w:ascii="Arial" w:hAnsi="Arial" w:cs="Arial"/>
          <w:noProof/>
          <w:sz w:val="24"/>
          <w:szCs w:val="24"/>
        </w:rPr>
        <w:t>69</w:t>
      </w:r>
      <w:r w:rsidRPr="00FD1822">
        <w:rPr>
          <w:rFonts w:ascii="Arial" w:hAnsi="Arial" w:cs="Arial"/>
          <w:noProof/>
          <w:sz w:val="24"/>
          <w:szCs w:val="24"/>
        </w:rPr>
        <w:t xml:space="preserve">. </w:t>
      </w:r>
      <w:r w:rsidRPr="00FD1822">
        <w:rPr>
          <w:rFonts w:ascii="Arial" w:hAnsi="Arial" w:cs="Arial"/>
          <w:noProof/>
          <w:sz w:val="24"/>
          <w:szCs w:val="24"/>
        </w:rPr>
        <w:tab/>
        <w:t>Santos PD, Silva FC, Ferreira EG, Iop RR, Bento GG, Silva R. Instrumentos que avaliam a independência funcional em crianças com paralisia cerebral: uma revisão sistemática de estudos obse</w:t>
      </w:r>
      <w:r>
        <w:rPr>
          <w:rFonts w:ascii="Arial" w:hAnsi="Arial" w:cs="Arial"/>
          <w:noProof/>
          <w:sz w:val="24"/>
          <w:szCs w:val="24"/>
        </w:rPr>
        <w:t>rvacionais. Fisioter Pesqui</w:t>
      </w:r>
      <w:r w:rsidRPr="00FD1822">
        <w:rPr>
          <w:rFonts w:ascii="Arial" w:hAnsi="Arial" w:cs="Arial"/>
          <w:noProof/>
          <w:sz w:val="24"/>
          <w:szCs w:val="24"/>
        </w:rPr>
        <w:t xml:space="preserve">. </w:t>
      </w:r>
      <w:r w:rsidRPr="00FD1822">
        <w:rPr>
          <w:rFonts w:ascii="Arial" w:hAnsi="Arial" w:cs="Arial"/>
          <w:noProof/>
          <w:sz w:val="24"/>
          <w:szCs w:val="24"/>
        </w:rPr>
        <w:lastRenderedPageBreak/>
        <w:t>2016;23(3):318–28.</w:t>
      </w:r>
      <w:r>
        <w:rPr>
          <w:rFonts w:ascii="Arial" w:hAnsi="Arial" w:cs="Arial"/>
          <w:noProof/>
          <w:sz w:val="24"/>
          <w:szCs w:val="24"/>
        </w:rPr>
        <w:t xml:space="preserve"> DOI: </w:t>
      </w:r>
      <w:r w:rsidRPr="00DF358B">
        <w:rPr>
          <w:rFonts w:ascii="Arial" w:hAnsi="Arial" w:cs="Arial"/>
          <w:sz w:val="24"/>
          <w:szCs w:val="20"/>
          <w:shd w:val="clear" w:color="auto" w:fill="FFFFFF"/>
        </w:rPr>
        <w:t>10.1590/1809-2950/15260723032016</w:t>
      </w:r>
      <w:r>
        <w:rPr>
          <w:rFonts w:ascii="Arial" w:hAnsi="Arial" w:cs="Arial"/>
          <w:sz w:val="24"/>
          <w:szCs w:val="20"/>
          <w:shd w:val="clear" w:color="auto" w:fill="FFFFFF"/>
        </w:rPr>
        <w:t>.</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1" w:hanging="641"/>
        <w:rPr>
          <w:rFonts w:ascii="Arial" w:hAnsi="Arial" w:cs="Arial"/>
          <w:bCs/>
          <w:sz w:val="24"/>
          <w:szCs w:val="20"/>
        </w:rPr>
      </w:pPr>
      <w:r>
        <w:rPr>
          <w:rFonts w:ascii="Arial" w:hAnsi="Arial" w:cs="Arial"/>
          <w:noProof/>
          <w:sz w:val="24"/>
          <w:szCs w:val="24"/>
        </w:rPr>
        <w:t>70</w:t>
      </w:r>
      <w:r w:rsidRPr="00FD1822">
        <w:rPr>
          <w:rFonts w:ascii="Arial" w:hAnsi="Arial" w:cs="Arial"/>
          <w:noProof/>
          <w:sz w:val="24"/>
          <w:szCs w:val="24"/>
        </w:rPr>
        <w:t xml:space="preserve">. </w:t>
      </w:r>
      <w:r w:rsidRPr="00FD1822">
        <w:rPr>
          <w:rFonts w:ascii="Arial" w:hAnsi="Arial" w:cs="Arial"/>
          <w:noProof/>
          <w:sz w:val="24"/>
          <w:szCs w:val="24"/>
        </w:rPr>
        <w:tab/>
        <w:t>Camargos AC</w:t>
      </w:r>
      <w:r>
        <w:rPr>
          <w:rFonts w:ascii="Arial" w:hAnsi="Arial" w:cs="Arial"/>
          <w:noProof/>
          <w:sz w:val="24"/>
          <w:szCs w:val="24"/>
        </w:rPr>
        <w:t>,</w:t>
      </w:r>
      <w:r w:rsidRPr="00FD1822">
        <w:rPr>
          <w:rFonts w:ascii="Arial" w:hAnsi="Arial" w:cs="Arial"/>
          <w:noProof/>
          <w:sz w:val="24"/>
          <w:szCs w:val="24"/>
        </w:rPr>
        <w:t xml:space="preserve"> Lacerda TT</w:t>
      </w:r>
      <w:r>
        <w:rPr>
          <w:rFonts w:ascii="Arial" w:hAnsi="Arial" w:cs="Arial"/>
          <w:noProof/>
          <w:sz w:val="24"/>
          <w:szCs w:val="24"/>
        </w:rPr>
        <w:t>,</w:t>
      </w:r>
      <w:r w:rsidRPr="00FD1822">
        <w:rPr>
          <w:rFonts w:ascii="Arial" w:hAnsi="Arial" w:cs="Arial"/>
          <w:noProof/>
          <w:sz w:val="24"/>
          <w:szCs w:val="24"/>
        </w:rPr>
        <w:t xml:space="preserve"> Barros TV, Silva GC</w:t>
      </w:r>
      <w:r>
        <w:rPr>
          <w:rFonts w:ascii="Arial" w:hAnsi="Arial" w:cs="Arial"/>
          <w:noProof/>
          <w:sz w:val="24"/>
          <w:szCs w:val="24"/>
        </w:rPr>
        <w:t>,</w:t>
      </w:r>
      <w:r w:rsidRPr="00FD1822">
        <w:rPr>
          <w:rFonts w:ascii="Arial" w:hAnsi="Arial" w:cs="Arial"/>
          <w:noProof/>
          <w:sz w:val="24"/>
          <w:szCs w:val="24"/>
        </w:rPr>
        <w:t xml:space="preserve"> Parreiras JT</w:t>
      </w:r>
      <w:r>
        <w:rPr>
          <w:rFonts w:ascii="Arial" w:hAnsi="Arial" w:cs="Arial"/>
          <w:noProof/>
          <w:sz w:val="24"/>
          <w:szCs w:val="24"/>
        </w:rPr>
        <w:t>,</w:t>
      </w:r>
      <w:r w:rsidRPr="00FD1822">
        <w:rPr>
          <w:rFonts w:ascii="Arial" w:hAnsi="Arial" w:cs="Arial"/>
          <w:noProof/>
          <w:sz w:val="24"/>
          <w:szCs w:val="24"/>
        </w:rPr>
        <w:t xml:space="preserve"> Vidal T</w:t>
      </w:r>
      <w:r>
        <w:rPr>
          <w:rFonts w:ascii="Arial" w:hAnsi="Arial" w:cs="Arial"/>
          <w:noProof/>
          <w:sz w:val="24"/>
          <w:szCs w:val="24"/>
        </w:rPr>
        <w:t>H</w:t>
      </w:r>
      <w:r w:rsidRPr="00FD1822">
        <w:rPr>
          <w:rFonts w:ascii="Arial" w:hAnsi="Arial" w:cs="Arial"/>
          <w:noProof/>
          <w:sz w:val="24"/>
          <w:szCs w:val="24"/>
        </w:rPr>
        <w:t xml:space="preserve">. Relação entre independência funcional e qualidade de vida na paralisia cerebral. Fisioter Mov. 2012;25(1):83–92. </w:t>
      </w:r>
      <w:r>
        <w:rPr>
          <w:rFonts w:ascii="Arial" w:hAnsi="Arial" w:cs="Arial"/>
          <w:noProof/>
          <w:sz w:val="24"/>
          <w:szCs w:val="24"/>
        </w:rPr>
        <w:t xml:space="preserve">DOI: </w:t>
      </w:r>
      <w:r w:rsidRPr="00CB6FCE">
        <w:rPr>
          <w:rFonts w:ascii="Arial" w:hAnsi="Arial" w:cs="Arial"/>
          <w:bCs/>
          <w:sz w:val="24"/>
          <w:szCs w:val="20"/>
        </w:rPr>
        <w:t>10.1590/S0103-51502012000100009.</w:t>
      </w:r>
    </w:p>
    <w:p w:rsidR="002306F1" w:rsidRPr="00CB6FCE" w:rsidRDefault="002306F1" w:rsidP="002306F1">
      <w:pPr>
        <w:widowControl w:val="0"/>
        <w:autoSpaceDE w:val="0"/>
        <w:autoSpaceDN w:val="0"/>
        <w:adjustRightInd w:val="0"/>
        <w:spacing w:after="0" w:line="240" w:lineRule="auto"/>
        <w:ind w:left="641" w:hanging="641"/>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Pr>
          <w:rFonts w:ascii="Arial" w:hAnsi="Arial" w:cs="Arial"/>
          <w:noProof/>
          <w:sz w:val="24"/>
          <w:szCs w:val="24"/>
        </w:rPr>
        <w:t>71</w:t>
      </w:r>
      <w:r w:rsidRPr="00FD1822">
        <w:rPr>
          <w:rFonts w:ascii="Arial" w:hAnsi="Arial" w:cs="Arial"/>
          <w:noProof/>
          <w:sz w:val="24"/>
          <w:szCs w:val="24"/>
        </w:rPr>
        <w:t xml:space="preserve">. </w:t>
      </w:r>
      <w:r w:rsidRPr="00FD1822">
        <w:rPr>
          <w:rFonts w:ascii="Arial" w:hAnsi="Arial" w:cs="Arial"/>
          <w:noProof/>
          <w:sz w:val="24"/>
          <w:szCs w:val="24"/>
        </w:rPr>
        <w:tab/>
        <w:t xml:space="preserve">Freitas TB, Sá CS, Martins EF. Correlação entre instrumentos para se avaliar independência funcional e nível de atividade física em crianças. Acta Fisiatr. 2010;17(1):8–12. </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FF1F37" w:rsidRDefault="002306F1" w:rsidP="002306F1">
      <w:pPr>
        <w:widowControl w:val="0"/>
        <w:autoSpaceDE w:val="0"/>
        <w:autoSpaceDN w:val="0"/>
        <w:adjustRightInd w:val="0"/>
        <w:spacing w:after="0" w:line="240" w:lineRule="auto"/>
        <w:ind w:left="641" w:hanging="641"/>
        <w:rPr>
          <w:rFonts w:ascii="Arial" w:hAnsi="Arial" w:cs="Arial"/>
          <w:noProof/>
          <w:sz w:val="24"/>
          <w:szCs w:val="24"/>
          <w:lang w:val="en-US"/>
        </w:rPr>
      </w:pPr>
      <w:r>
        <w:rPr>
          <w:rFonts w:ascii="Arial" w:hAnsi="Arial" w:cs="Arial"/>
          <w:noProof/>
          <w:sz w:val="24"/>
          <w:szCs w:val="24"/>
        </w:rPr>
        <w:t>72</w:t>
      </w:r>
      <w:r w:rsidRPr="00FD1822">
        <w:rPr>
          <w:rFonts w:ascii="Arial" w:hAnsi="Arial" w:cs="Arial"/>
          <w:noProof/>
          <w:sz w:val="24"/>
          <w:szCs w:val="24"/>
        </w:rPr>
        <w:t xml:space="preserve">. </w:t>
      </w:r>
      <w:r w:rsidRPr="00FD1822">
        <w:rPr>
          <w:rFonts w:ascii="Arial" w:hAnsi="Arial" w:cs="Arial"/>
          <w:noProof/>
          <w:sz w:val="24"/>
          <w:szCs w:val="24"/>
        </w:rPr>
        <w:tab/>
        <w:t xml:space="preserve">Vasconcelos RL, Moura TL, Campos TF, Lindquist AR, Guerra RO. Avaliação do desempenho funcional de crianças com paralisia cerebral de acordo com níveis de comprometimento motor. </w:t>
      </w:r>
      <w:r w:rsidRPr="00FF1F37">
        <w:rPr>
          <w:rFonts w:ascii="Arial" w:hAnsi="Arial" w:cs="Arial"/>
          <w:noProof/>
          <w:sz w:val="24"/>
          <w:szCs w:val="24"/>
          <w:lang w:val="en-US"/>
        </w:rPr>
        <w:t xml:space="preserve">Braz J Phys Ther. 2009;13(5):390–7. DOI: </w:t>
      </w:r>
      <w:r w:rsidRPr="00FF1F37">
        <w:rPr>
          <w:rFonts w:ascii="Arial" w:hAnsi="Arial" w:cs="Arial"/>
          <w:sz w:val="24"/>
          <w:szCs w:val="20"/>
          <w:shd w:val="clear" w:color="auto" w:fill="FFFFFF"/>
          <w:lang w:val="en-US"/>
        </w:rPr>
        <w:t>10.1590/S1413-35552009005000051.</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2F2A48" w:rsidRDefault="002306F1" w:rsidP="002306F1">
      <w:pPr>
        <w:widowControl w:val="0"/>
        <w:autoSpaceDE w:val="0"/>
        <w:autoSpaceDN w:val="0"/>
        <w:adjustRightInd w:val="0"/>
        <w:spacing w:after="0" w:line="240" w:lineRule="auto"/>
        <w:ind w:left="641" w:hanging="641"/>
        <w:rPr>
          <w:rFonts w:ascii="Arial" w:hAnsi="Arial" w:cs="Arial"/>
          <w:b/>
          <w:i/>
          <w:sz w:val="24"/>
          <w:szCs w:val="24"/>
        </w:rPr>
      </w:pPr>
      <w:r>
        <w:rPr>
          <w:rFonts w:ascii="Arial" w:hAnsi="Arial" w:cs="Arial"/>
          <w:noProof/>
          <w:sz w:val="24"/>
          <w:szCs w:val="24"/>
          <w:lang w:val="en-US"/>
        </w:rPr>
        <w:t>73</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Williams KS, Young DK, Burke GA, Fountain DM. Comparing the WeeFIM and PEDI in neurorehabilitation for children with acquired brain injury: A systematic review. </w:t>
      </w:r>
      <w:r>
        <w:rPr>
          <w:rFonts w:ascii="Arial" w:hAnsi="Arial" w:cs="Arial"/>
          <w:noProof/>
          <w:sz w:val="24"/>
          <w:szCs w:val="24"/>
        </w:rPr>
        <w:t>Dev Neurorehabil. 2017;20(7):443-51</w:t>
      </w:r>
      <w:r w:rsidRPr="00FD1822">
        <w:rPr>
          <w:rFonts w:ascii="Arial" w:hAnsi="Arial" w:cs="Arial"/>
          <w:noProof/>
          <w:sz w:val="24"/>
          <w:szCs w:val="24"/>
        </w:rPr>
        <w:t>.</w:t>
      </w:r>
      <w:r>
        <w:rPr>
          <w:rFonts w:ascii="Arial" w:hAnsi="Arial" w:cs="Arial"/>
          <w:noProof/>
          <w:sz w:val="24"/>
          <w:szCs w:val="24"/>
        </w:rPr>
        <w:t xml:space="preserve"> DOI: </w:t>
      </w:r>
      <w:r w:rsidRPr="002F2A48">
        <w:rPr>
          <w:rFonts w:ascii="Arial" w:hAnsi="Arial" w:cs="Arial"/>
          <w:color w:val="000000"/>
          <w:sz w:val="24"/>
          <w:szCs w:val="24"/>
          <w:shd w:val="clear" w:color="auto" w:fill="FFFFFF"/>
        </w:rPr>
        <w:t>10.1080/17518423.2017.1289419</w:t>
      </w:r>
      <w:r>
        <w:rPr>
          <w:rFonts w:ascii="Arial" w:hAnsi="Arial" w:cs="Arial"/>
          <w:color w:val="000000"/>
          <w:sz w:val="24"/>
          <w:szCs w:val="24"/>
          <w:shd w:val="clear" w:color="auto" w:fill="FFFFFF"/>
        </w:rPr>
        <w:t>.</w:t>
      </w:r>
    </w:p>
    <w:p w:rsidR="002306F1" w:rsidRPr="00FD1822" w:rsidRDefault="002306F1" w:rsidP="002306F1">
      <w:pPr>
        <w:widowControl w:val="0"/>
        <w:autoSpaceDE w:val="0"/>
        <w:autoSpaceDN w:val="0"/>
        <w:adjustRightInd w:val="0"/>
        <w:spacing w:after="0" w:line="240" w:lineRule="auto"/>
        <w:ind w:left="641" w:hanging="641"/>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Pr>
          <w:rFonts w:ascii="Arial" w:hAnsi="Arial" w:cs="Arial"/>
          <w:noProof/>
          <w:sz w:val="24"/>
          <w:szCs w:val="24"/>
        </w:rPr>
        <w:t>74</w:t>
      </w:r>
      <w:r w:rsidRPr="00FD1822">
        <w:rPr>
          <w:rFonts w:ascii="Arial" w:hAnsi="Arial" w:cs="Arial"/>
          <w:noProof/>
          <w:sz w:val="24"/>
          <w:szCs w:val="24"/>
        </w:rPr>
        <w:t xml:space="preserve">. </w:t>
      </w:r>
      <w:r w:rsidRPr="00FD1822">
        <w:rPr>
          <w:rFonts w:ascii="Arial" w:hAnsi="Arial" w:cs="Arial"/>
          <w:noProof/>
          <w:sz w:val="24"/>
          <w:szCs w:val="24"/>
        </w:rPr>
        <w:tab/>
        <w:t xml:space="preserve">Mancini MC, Teixeira S, Araújo LG, Paixão ML, </w:t>
      </w:r>
      <w:r>
        <w:rPr>
          <w:rFonts w:ascii="Arial" w:hAnsi="Arial" w:cs="Arial"/>
          <w:noProof/>
          <w:sz w:val="24"/>
          <w:szCs w:val="24"/>
        </w:rPr>
        <w:t xml:space="preserve">Magalhães LC, </w:t>
      </w:r>
      <w:r w:rsidRPr="00FD1822">
        <w:rPr>
          <w:rFonts w:ascii="Arial" w:hAnsi="Arial" w:cs="Arial"/>
          <w:noProof/>
          <w:sz w:val="24"/>
          <w:szCs w:val="24"/>
        </w:rPr>
        <w:t xml:space="preserve">Coelho ZA, et al. Estudo do desenvolvimento da função motora aos 8 e 12 meses de idade em crianças nascidas pré-termo e a termo. Arq Neuropsiquiatr. 2002;60(4):974–80. </w:t>
      </w:r>
      <w:r>
        <w:rPr>
          <w:rFonts w:ascii="Arial" w:hAnsi="Arial" w:cs="Arial"/>
          <w:noProof/>
          <w:sz w:val="24"/>
          <w:szCs w:val="24"/>
        </w:rPr>
        <w:t xml:space="preserve">DOI: </w:t>
      </w:r>
      <w:r w:rsidRPr="00577933">
        <w:rPr>
          <w:rFonts w:ascii="Arial" w:hAnsi="Arial" w:cs="Arial"/>
          <w:color w:val="000000"/>
          <w:sz w:val="24"/>
          <w:szCs w:val="20"/>
          <w:shd w:val="clear" w:color="auto" w:fill="FFFFFF"/>
        </w:rPr>
        <w:t>10.1590/S0004-282X2002000600017</w:t>
      </w:r>
      <w:r>
        <w:rPr>
          <w:rFonts w:ascii="Arial" w:hAnsi="Arial" w:cs="Arial"/>
          <w:color w:val="000000"/>
          <w:sz w:val="24"/>
          <w:szCs w:val="20"/>
          <w:shd w:val="clear" w:color="auto" w:fill="FFFFFF"/>
        </w:rPr>
        <w:t>.</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AD04C0"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Pr>
          <w:rFonts w:ascii="Arial" w:hAnsi="Arial" w:cs="Arial"/>
          <w:noProof/>
          <w:sz w:val="24"/>
          <w:szCs w:val="24"/>
        </w:rPr>
        <w:t>75</w:t>
      </w:r>
      <w:r w:rsidRPr="00FD1822">
        <w:rPr>
          <w:rFonts w:ascii="Arial" w:hAnsi="Arial" w:cs="Arial"/>
          <w:noProof/>
          <w:sz w:val="24"/>
          <w:szCs w:val="24"/>
        </w:rPr>
        <w:t xml:space="preserve">. </w:t>
      </w:r>
      <w:r w:rsidRPr="00FD1822">
        <w:rPr>
          <w:rFonts w:ascii="Arial" w:hAnsi="Arial" w:cs="Arial"/>
          <w:noProof/>
          <w:sz w:val="24"/>
          <w:szCs w:val="24"/>
        </w:rPr>
        <w:tab/>
        <w:t>Barbetta DC</w:t>
      </w:r>
      <w:r>
        <w:rPr>
          <w:rFonts w:ascii="Arial" w:hAnsi="Arial" w:cs="Arial"/>
          <w:noProof/>
          <w:sz w:val="24"/>
          <w:szCs w:val="24"/>
        </w:rPr>
        <w:t>, Assis MR. Reproduti</w:t>
      </w:r>
      <w:r w:rsidRPr="00FD1822">
        <w:rPr>
          <w:rFonts w:ascii="Arial" w:hAnsi="Arial" w:cs="Arial"/>
          <w:noProof/>
          <w:sz w:val="24"/>
          <w:szCs w:val="24"/>
        </w:rPr>
        <w:t xml:space="preserve">bilidade, validade e responsividade da escala de Medida de Independência Funcional (MIF) na lesão medular: revisão da literatura. </w:t>
      </w:r>
      <w:r w:rsidRPr="00AD04C0">
        <w:rPr>
          <w:rFonts w:ascii="Arial" w:hAnsi="Arial" w:cs="Arial"/>
          <w:noProof/>
          <w:sz w:val="24"/>
          <w:szCs w:val="24"/>
          <w:lang w:val="en-US"/>
        </w:rPr>
        <w:t>Acta Fisiatr. 2008;15(3):176–81.</w:t>
      </w:r>
    </w:p>
    <w:p w:rsidR="002306F1" w:rsidRPr="00AD04C0"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AD04C0">
        <w:rPr>
          <w:rFonts w:ascii="Arial" w:hAnsi="Arial" w:cs="Arial"/>
          <w:noProof/>
          <w:sz w:val="24"/>
          <w:szCs w:val="24"/>
          <w:lang w:val="en-US"/>
        </w:rPr>
        <w:t xml:space="preserve">76. </w:t>
      </w:r>
      <w:r w:rsidRPr="00AD04C0">
        <w:rPr>
          <w:rFonts w:ascii="Arial" w:hAnsi="Arial" w:cs="Arial"/>
          <w:noProof/>
          <w:sz w:val="24"/>
          <w:szCs w:val="24"/>
          <w:lang w:val="en-US"/>
        </w:rPr>
        <w:tab/>
      </w:r>
      <w:r w:rsidRPr="00FF1F37">
        <w:rPr>
          <w:rFonts w:ascii="Arial" w:hAnsi="Arial" w:cs="Arial"/>
          <w:noProof/>
          <w:sz w:val="24"/>
          <w:szCs w:val="24"/>
          <w:lang w:val="en-US"/>
        </w:rPr>
        <w:t xml:space="preserve">Granger CV. The emerging science of functional assessment: Our tool for outcomes analysis. Arch Phys Med Rehabil. 1998;79(3):235–40. DOI: </w:t>
      </w:r>
      <w:hyperlink r:id="rId54" w:tgtFrame="_blank" w:tooltip="Persistent link using digital object identifier" w:history="1">
        <w:r w:rsidRPr="00FF1F37">
          <w:rPr>
            <w:rStyle w:val="Hyperlink"/>
            <w:rFonts w:ascii="Arial" w:hAnsi="Arial" w:cs="Arial"/>
            <w:color w:val="auto"/>
            <w:sz w:val="24"/>
            <w:szCs w:val="24"/>
            <w:u w:val="none"/>
            <w:lang w:val="en-US"/>
          </w:rPr>
          <w:t>10.1016/S0003-9993(98)90000-4</w:t>
        </w:r>
      </w:hyperlink>
      <w:r w:rsidRPr="00FF1F37">
        <w:rPr>
          <w:rFonts w:ascii="Arial" w:hAnsi="Arial" w:cs="Arial"/>
          <w:sz w:val="24"/>
          <w:szCs w:val="24"/>
          <w:lang w:val="en-US"/>
        </w:rPr>
        <w:t>.</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Pr>
          <w:rFonts w:ascii="Arial" w:hAnsi="Arial" w:cs="Arial"/>
          <w:noProof/>
          <w:sz w:val="24"/>
          <w:szCs w:val="24"/>
          <w:lang w:val="en-US"/>
        </w:rPr>
        <w:t>77</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Assis CS, Batista LC, Wolosker N, Zerati AE, Silva RC. Functional independence measure in patients with intermittent claudication. </w:t>
      </w:r>
      <w:r w:rsidRPr="00FD1822">
        <w:rPr>
          <w:rFonts w:ascii="Arial" w:hAnsi="Arial" w:cs="Arial"/>
          <w:noProof/>
          <w:sz w:val="24"/>
          <w:szCs w:val="24"/>
        </w:rPr>
        <w:t xml:space="preserve">Rev </w:t>
      </w:r>
      <w:r>
        <w:rPr>
          <w:rFonts w:ascii="Arial" w:hAnsi="Arial" w:cs="Arial"/>
          <w:noProof/>
          <w:sz w:val="24"/>
          <w:szCs w:val="24"/>
        </w:rPr>
        <w:t>Esc Enferm USP</w:t>
      </w:r>
      <w:r w:rsidRPr="00FD1822">
        <w:rPr>
          <w:rFonts w:ascii="Arial" w:hAnsi="Arial" w:cs="Arial"/>
          <w:noProof/>
          <w:sz w:val="24"/>
          <w:szCs w:val="24"/>
        </w:rPr>
        <w:t xml:space="preserve">. 2015;49(5):756–61. </w:t>
      </w:r>
      <w:r>
        <w:rPr>
          <w:rFonts w:ascii="Arial" w:hAnsi="Arial" w:cs="Arial"/>
          <w:noProof/>
          <w:sz w:val="24"/>
          <w:szCs w:val="24"/>
        </w:rPr>
        <w:t xml:space="preserve">DOI: </w:t>
      </w:r>
      <w:r w:rsidRPr="00FA1630">
        <w:rPr>
          <w:rFonts w:ascii="Arial" w:hAnsi="Arial" w:cs="Arial"/>
          <w:bCs/>
          <w:sz w:val="24"/>
          <w:szCs w:val="16"/>
        </w:rPr>
        <w:t>10.1590/S0080-623420150000500007</w:t>
      </w:r>
      <w:r>
        <w:rPr>
          <w:rFonts w:ascii="Arial" w:hAnsi="Arial" w:cs="Arial"/>
          <w:bCs/>
          <w:sz w:val="24"/>
          <w:szCs w:val="16"/>
        </w:rPr>
        <w:t>.</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Pr>
          <w:rFonts w:ascii="Arial" w:hAnsi="Arial" w:cs="Arial"/>
          <w:noProof/>
          <w:sz w:val="24"/>
          <w:szCs w:val="24"/>
        </w:rPr>
        <w:t>78</w:t>
      </w:r>
      <w:r w:rsidRPr="00FD1822">
        <w:rPr>
          <w:rFonts w:ascii="Arial" w:hAnsi="Arial" w:cs="Arial"/>
          <w:noProof/>
          <w:sz w:val="24"/>
          <w:szCs w:val="24"/>
        </w:rPr>
        <w:t xml:space="preserve">. </w:t>
      </w:r>
      <w:r w:rsidRPr="00FD1822">
        <w:rPr>
          <w:rFonts w:ascii="Arial" w:hAnsi="Arial" w:cs="Arial"/>
          <w:noProof/>
          <w:sz w:val="24"/>
          <w:szCs w:val="24"/>
        </w:rPr>
        <w:tab/>
        <w:t xml:space="preserve">Ribeiro DK, Lenardt MH, Michel T, Setoguchi LS, Grden CR, Oliveira ES. </w:t>
      </w:r>
      <w:r w:rsidRPr="00FF1F37">
        <w:rPr>
          <w:rFonts w:ascii="Arial" w:hAnsi="Arial" w:cs="Arial"/>
          <w:noProof/>
          <w:sz w:val="24"/>
          <w:szCs w:val="24"/>
          <w:lang w:val="en-US"/>
        </w:rPr>
        <w:t xml:space="preserve">Contributory factors for the functional independence of oldest old. Rev Esc Enferm USP. 2015;49(1):89–95. </w:t>
      </w:r>
      <w:r>
        <w:rPr>
          <w:rFonts w:ascii="Arial" w:hAnsi="Arial" w:cs="Arial"/>
          <w:noProof/>
          <w:sz w:val="24"/>
          <w:szCs w:val="24"/>
        </w:rPr>
        <w:t xml:space="preserve">DOI: </w:t>
      </w:r>
      <w:r w:rsidRPr="00FA1630">
        <w:rPr>
          <w:rFonts w:ascii="Arial" w:hAnsi="Arial" w:cs="Arial"/>
          <w:bCs/>
          <w:sz w:val="24"/>
          <w:szCs w:val="16"/>
        </w:rPr>
        <w:t>10.1590/S0080-623420150000100012</w:t>
      </w:r>
      <w:r>
        <w:rPr>
          <w:rFonts w:ascii="Arial" w:hAnsi="Arial" w:cs="Arial"/>
          <w:bCs/>
          <w:sz w:val="24"/>
          <w:szCs w:val="16"/>
        </w:rPr>
        <w:t>.</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Pr>
          <w:rFonts w:ascii="Arial" w:hAnsi="Arial" w:cs="Arial"/>
          <w:noProof/>
          <w:sz w:val="24"/>
          <w:szCs w:val="24"/>
        </w:rPr>
        <w:t>79</w:t>
      </w:r>
      <w:r w:rsidRPr="00FD1822">
        <w:rPr>
          <w:rFonts w:ascii="Arial" w:hAnsi="Arial" w:cs="Arial"/>
          <w:noProof/>
          <w:sz w:val="24"/>
          <w:szCs w:val="24"/>
        </w:rPr>
        <w:t xml:space="preserve">. </w:t>
      </w:r>
      <w:r w:rsidRPr="00FD1822">
        <w:rPr>
          <w:rFonts w:ascii="Arial" w:hAnsi="Arial" w:cs="Arial"/>
          <w:noProof/>
          <w:sz w:val="24"/>
          <w:szCs w:val="24"/>
        </w:rPr>
        <w:tab/>
        <w:t>Silva GA, Schoeller SD, Gelbcke FL, Carvalho ZM</w:t>
      </w:r>
      <w:r>
        <w:rPr>
          <w:rFonts w:ascii="Arial" w:hAnsi="Arial" w:cs="Arial"/>
          <w:noProof/>
          <w:sz w:val="24"/>
          <w:szCs w:val="24"/>
        </w:rPr>
        <w:t>, Silva E</w:t>
      </w:r>
      <w:r w:rsidRPr="00FD1822">
        <w:rPr>
          <w:rFonts w:ascii="Arial" w:hAnsi="Arial" w:cs="Arial"/>
          <w:noProof/>
          <w:sz w:val="24"/>
          <w:szCs w:val="24"/>
        </w:rPr>
        <w:t>M. Avaliação funcional de pessoas com lesão medular: utilização da escala de Independência Funcional - MIF. Texto Context Enferm. 2012;21(4):929–36.</w:t>
      </w:r>
      <w:r>
        <w:rPr>
          <w:rFonts w:ascii="Arial" w:hAnsi="Arial" w:cs="Arial"/>
          <w:noProof/>
          <w:sz w:val="24"/>
          <w:szCs w:val="24"/>
        </w:rPr>
        <w:t xml:space="preserve"> DOI: </w:t>
      </w:r>
      <w:r w:rsidRPr="00FA1630">
        <w:rPr>
          <w:rFonts w:ascii="Arial" w:hAnsi="Arial" w:cs="Arial"/>
          <w:color w:val="000000"/>
          <w:sz w:val="24"/>
          <w:szCs w:val="20"/>
          <w:shd w:val="clear" w:color="auto" w:fill="FFFFFF"/>
        </w:rPr>
        <w:t>10.1590/S0104-07072012000400025</w:t>
      </w:r>
      <w:r>
        <w:rPr>
          <w:rFonts w:ascii="Arial" w:hAnsi="Arial" w:cs="Arial"/>
          <w:color w:val="000000"/>
          <w:sz w:val="24"/>
          <w:szCs w:val="20"/>
          <w:shd w:val="clear" w:color="auto" w:fill="FFFFFF"/>
        </w:rPr>
        <w:t>.</w:t>
      </w:r>
      <w:r w:rsidRPr="00FD1822">
        <w:rPr>
          <w:rFonts w:ascii="Arial" w:hAnsi="Arial" w:cs="Arial"/>
          <w:noProof/>
          <w:sz w:val="24"/>
          <w:szCs w:val="24"/>
        </w:rPr>
        <w:t xml:space="preserve"> </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Pr>
          <w:rFonts w:ascii="Arial" w:hAnsi="Arial" w:cs="Arial"/>
          <w:noProof/>
          <w:sz w:val="24"/>
          <w:szCs w:val="24"/>
        </w:rPr>
        <w:t>80</w:t>
      </w:r>
      <w:r w:rsidRPr="00FD1822">
        <w:rPr>
          <w:rFonts w:ascii="Arial" w:hAnsi="Arial" w:cs="Arial"/>
          <w:noProof/>
          <w:sz w:val="24"/>
          <w:szCs w:val="24"/>
        </w:rPr>
        <w:t xml:space="preserve">. </w:t>
      </w:r>
      <w:r w:rsidRPr="00FD1822">
        <w:rPr>
          <w:rFonts w:ascii="Arial" w:hAnsi="Arial" w:cs="Arial"/>
          <w:noProof/>
          <w:sz w:val="24"/>
          <w:szCs w:val="24"/>
        </w:rPr>
        <w:tab/>
        <w:t xml:space="preserve">Hendriksz CJ, Giugliani R, Harmatz P, Mengel E, Guffon N, Valayannopoulos V, et al. </w:t>
      </w:r>
      <w:r w:rsidRPr="00FF1F37">
        <w:rPr>
          <w:rFonts w:ascii="Arial" w:hAnsi="Arial" w:cs="Arial"/>
          <w:noProof/>
          <w:sz w:val="24"/>
          <w:szCs w:val="24"/>
          <w:lang w:val="en-US"/>
        </w:rPr>
        <w:t xml:space="preserve">Multi-domain impact of elosulfase alfa in Morquio A syndrome in the pivotal phase III trial. Mol Genet Metab. 2015;114(2):178–85. DOI: </w:t>
      </w:r>
      <w:r w:rsidRPr="00FF1F37">
        <w:rPr>
          <w:rFonts w:ascii="Arial" w:hAnsi="Arial" w:cs="Arial"/>
          <w:noProof/>
          <w:sz w:val="24"/>
          <w:szCs w:val="24"/>
          <w:lang w:val="en-US"/>
        </w:rPr>
        <w:lastRenderedPageBreak/>
        <w:t>10.1016/j.ymgme.2014.08.012.</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Pr>
          <w:rFonts w:ascii="Arial" w:hAnsi="Arial" w:cs="Arial"/>
          <w:noProof/>
          <w:sz w:val="24"/>
          <w:szCs w:val="24"/>
          <w:lang w:val="en-US"/>
        </w:rPr>
        <w:t>81</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Tomatsu S, Sawamoto K, Shimada T, Bober M, Kubaski F, Yasuda E, et al. Enzyme replacement therapy for treating mucopolysaccharidosis type IVA (Morquio A syndrome): effect and limitations. Expert Opin Orphan Drugs. 2015;3(11):1279–90. DOI: </w:t>
      </w:r>
      <w:hyperlink r:id="rId55" w:tgtFrame="pmc_ext" w:history="1">
        <w:r w:rsidRPr="00FF1F37">
          <w:rPr>
            <w:rStyle w:val="Hyperlink"/>
            <w:rFonts w:ascii="Arial" w:hAnsi="Arial" w:cs="Arial"/>
            <w:color w:val="auto"/>
            <w:sz w:val="24"/>
            <w:szCs w:val="24"/>
            <w:u w:val="none"/>
            <w:shd w:val="clear" w:color="auto" w:fill="FFFFFF"/>
            <w:lang w:val="en-US"/>
          </w:rPr>
          <w:t>10.1517/21678707.2015.1086640</w:t>
        </w:r>
      </w:hyperlink>
      <w:r w:rsidRPr="00FF1F37">
        <w:rPr>
          <w:rFonts w:ascii="Arial" w:hAnsi="Arial" w:cs="Arial"/>
          <w:sz w:val="24"/>
          <w:szCs w:val="24"/>
          <w:lang w:val="en-US"/>
        </w:rPr>
        <w:t>.</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1" w:hanging="641"/>
        <w:rPr>
          <w:rFonts w:ascii="Arial" w:hAnsi="Arial" w:cs="Arial"/>
          <w:noProof/>
          <w:sz w:val="24"/>
          <w:szCs w:val="24"/>
          <w:lang w:val="en-US"/>
        </w:rPr>
      </w:pPr>
      <w:r>
        <w:rPr>
          <w:rFonts w:ascii="Arial" w:hAnsi="Arial" w:cs="Arial"/>
          <w:noProof/>
          <w:sz w:val="24"/>
          <w:szCs w:val="24"/>
          <w:lang w:val="en-US"/>
        </w:rPr>
        <w:t>82</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Tomatsu S, Azario I, Sawamoto K, Pievani A, Biondi A, Serafini M. Neonatal cellular and gene therapies for mucopolysaccharidoses: the earlier the better? J Inherit Metab Dis. 2016;39:189–202. DOI: </w:t>
      </w:r>
      <w:hyperlink r:id="rId56" w:tgtFrame="pmc_ext" w:history="1">
        <w:r w:rsidRPr="00FF1F37">
          <w:rPr>
            <w:rStyle w:val="Hyperlink"/>
            <w:rFonts w:ascii="Arial" w:hAnsi="Arial" w:cs="Arial"/>
            <w:color w:val="auto"/>
            <w:sz w:val="24"/>
            <w:szCs w:val="24"/>
            <w:u w:val="none"/>
            <w:shd w:val="clear" w:color="auto" w:fill="FFFFFF"/>
            <w:lang w:val="en-US"/>
          </w:rPr>
          <w:t>10.1007/s10545-015-9900-2</w:t>
        </w:r>
      </w:hyperlink>
      <w:r w:rsidRPr="00FF1F37">
        <w:rPr>
          <w:rFonts w:ascii="Arial" w:hAnsi="Arial" w:cs="Arial"/>
          <w:sz w:val="24"/>
          <w:szCs w:val="24"/>
          <w:lang w:val="en-US"/>
        </w:rPr>
        <w:t>.</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5B2D3B"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Pr>
          <w:rFonts w:ascii="Arial" w:hAnsi="Arial" w:cs="Arial"/>
          <w:noProof/>
          <w:sz w:val="24"/>
          <w:szCs w:val="24"/>
          <w:lang w:val="en-US"/>
        </w:rPr>
        <w:t>83</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Hendriksz CJ, Burton B, Fleming TR, Harmatz P, Hughes D, Jones SA, et al. Efficacy and safety of enzyme replacement therapy with BMN 110 (elosulfase alfa) for Morquio A syndrome (mucopolysaccharidosis IVA): a phase 3 randomised placebo-controlled study. </w:t>
      </w:r>
      <w:r w:rsidRPr="00FD1822">
        <w:rPr>
          <w:rFonts w:ascii="Arial" w:hAnsi="Arial" w:cs="Arial"/>
          <w:noProof/>
          <w:sz w:val="24"/>
          <w:szCs w:val="24"/>
        </w:rPr>
        <w:t xml:space="preserve">J Inherit Metab Dis. 2014;37(6):979–90. </w:t>
      </w:r>
      <w:r>
        <w:rPr>
          <w:rFonts w:ascii="Arial" w:hAnsi="Arial" w:cs="Arial"/>
          <w:noProof/>
          <w:sz w:val="24"/>
          <w:szCs w:val="24"/>
        </w:rPr>
        <w:t xml:space="preserve">DOI: </w:t>
      </w:r>
      <w:hyperlink r:id="rId57" w:tgtFrame="pmc_ext" w:history="1">
        <w:r w:rsidRPr="005B2D3B">
          <w:rPr>
            <w:rStyle w:val="Hyperlink"/>
            <w:rFonts w:ascii="Arial" w:hAnsi="Arial" w:cs="Arial"/>
            <w:color w:val="auto"/>
            <w:sz w:val="24"/>
            <w:szCs w:val="24"/>
            <w:u w:val="none"/>
            <w:shd w:val="clear" w:color="auto" w:fill="FFFFFF"/>
          </w:rPr>
          <w:t>10.1007/s10545-014-9715-6</w:t>
        </w:r>
      </w:hyperlink>
      <w:r w:rsidRPr="005B2D3B">
        <w:rPr>
          <w:rFonts w:ascii="Arial" w:hAnsi="Arial" w:cs="Arial"/>
          <w:sz w:val="24"/>
          <w:szCs w:val="24"/>
        </w:rPr>
        <w:t>.</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FF1F37" w:rsidRDefault="002306F1" w:rsidP="002306F1">
      <w:pPr>
        <w:widowControl w:val="0"/>
        <w:autoSpaceDE w:val="0"/>
        <w:autoSpaceDN w:val="0"/>
        <w:adjustRightInd w:val="0"/>
        <w:spacing w:after="0" w:line="240" w:lineRule="auto"/>
        <w:ind w:left="641" w:hanging="641"/>
        <w:rPr>
          <w:rFonts w:ascii="Arial" w:hAnsi="Arial" w:cs="Arial"/>
          <w:sz w:val="24"/>
          <w:szCs w:val="16"/>
          <w:lang w:val="en-US"/>
        </w:rPr>
      </w:pPr>
      <w:r>
        <w:rPr>
          <w:rFonts w:ascii="Arial" w:hAnsi="Arial" w:cs="Arial"/>
          <w:noProof/>
          <w:sz w:val="24"/>
          <w:szCs w:val="24"/>
        </w:rPr>
        <w:t>84</w:t>
      </w:r>
      <w:r w:rsidRPr="00FD1822">
        <w:rPr>
          <w:rFonts w:ascii="Arial" w:hAnsi="Arial" w:cs="Arial"/>
          <w:noProof/>
          <w:sz w:val="24"/>
          <w:szCs w:val="24"/>
        </w:rPr>
        <w:t xml:space="preserve">. </w:t>
      </w:r>
      <w:r w:rsidRPr="00FD1822">
        <w:rPr>
          <w:rFonts w:ascii="Arial" w:hAnsi="Arial" w:cs="Arial"/>
          <w:noProof/>
          <w:sz w:val="24"/>
          <w:szCs w:val="24"/>
        </w:rPr>
        <w:tab/>
        <w:t xml:space="preserve">Nascimento LC, Rocha SM, Hayes VH, Lima RA. </w:t>
      </w:r>
      <w:r w:rsidRPr="00FF1F37">
        <w:rPr>
          <w:rFonts w:ascii="Arial" w:hAnsi="Arial" w:cs="Arial"/>
          <w:noProof/>
          <w:sz w:val="24"/>
          <w:szCs w:val="24"/>
          <w:lang w:val="en-US"/>
        </w:rPr>
        <w:t xml:space="preserve">Children with cancer their families. Rev Esc Enferm USP. 2005;39(4):469–74. DOI: </w:t>
      </w:r>
      <w:r w:rsidRPr="00FF1F37">
        <w:rPr>
          <w:rFonts w:ascii="Arial" w:hAnsi="Arial" w:cs="Arial"/>
          <w:bCs/>
          <w:sz w:val="24"/>
          <w:szCs w:val="16"/>
          <w:lang w:val="en-US"/>
        </w:rPr>
        <w:t>10.1590/S0080-62342005000400014.</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5B2D3B" w:rsidRDefault="002306F1" w:rsidP="002306F1">
      <w:pPr>
        <w:widowControl w:val="0"/>
        <w:autoSpaceDE w:val="0"/>
        <w:autoSpaceDN w:val="0"/>
        <w:adjustRightInd w:val="0"/>
        <w:spacing w:after="0" w:line="240" w:lineRule="auto"/>
        <w:ind w:left="641" w:hanging="641"/>
        <w:rPr>
          <w:rFonts w:ascii="Arial" w:hAnsi="Arial" w:cs="Arial"/>
          <w:noProof/>
          <w:sz w:val="24"/>
          <w:szCs w:val="24"/>
        </w:rPr>
      </w:pPr>
      <w:r>
        <w:rPr>
          <w:rFonts w:ascii="Arial" w:hAnsi="Arial" w:cs="Arial"/>
          <w:noProof/>
          <w:sz w:val="24"/>
          <w:szCs w:val="24"/>
          <w:lang w:val="en-US"/>
        </w:rPr>
        <w:t>85</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Malcolm C, Hain R, Gibson F, Adams S, Anderson G, Forbat L. Challenging symptoms in children with rare life-limiting conditions: findings from a prospective diary and interview study with families. </w:t>
      </w:r>
      <w:r w:rsidRPr="00FD1822">
        <w:rPr>
          <w:rFonts w:ascii="Arial" w:hAnsi="Arial" w:cs="Arial"/>
          <w:noProof/>
          <w:sz w:val="24"/>
          <w:szCs w:val="24"/>
        </w:rPr>
        <w:t xml:space="preserve">Acta Paediatr. 2012;101(9):985–92. </w:t>
      </w:r>
      <w:r>
        <w:rPr>
          <w:rFonts w:ascii="Arial" w:hAnsi="Arial" w:cs="Arial"/>
          <w:noProof/>
          <w:sz w:val="24"/>
          <w:szCs w:val="24"/>
        </w:rPr>
        <w:t>DOI:</w:t>
      </w:r>
      <w:r w:rsidRPr="005B2D3B">
        <w:rPr>
          <w:rFonts w:ascii="Arial" w:hAnsi="Arial" w:cs="Arial"/>
          <w:noProof/>
          <w:sz w:val="24"/>
          <w:szCs w:val="24"/>
        </w:rPr>
        <w:t xml:space="preserve"> </w:t>
      </w:r>
      <w:r w:rsidRPr="005B2D3B">
        <w:rPr>
          <w:rFonts w:ascii="Arial" w:hAnsi="Arial" w:cs="Arial"/>
          <w:color w:val="000000"/>
          <w:sz w:val="24"/>
          <w:szCs w:val="24"/>
          <w:shd w:val="clear" w:color="auto" w:fill="FFFFFF"/>
        </w:rPr>
        <w:t>10.1111/j.1651-2227.2012.02680.x.</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1" w:hanging="641"/>
        <w:rPr>
          <w:rFonts w:ascii="Arial" w:hAnsi="Arial" w:cs="Arial"/>
          <w:noProof/>
          <w:sz w:val="24"/>
          <w:szCs w:val="24"/>
        </w:rPr>
      </w:pPr>
      <w:r>
        <w:rPr>
          <w:rFonts w:ascii="Arial" w:hAnsi="Arial" w:cs="Arial"/>
          <w:noProof/>
          <w:sz w:val="24"/>
          <w:szCs w:val="24"/>
        </w:rPr>
        <w:t>86</w:t>
      </w:r>
      <w:r w:rsidRPr="00FD1822">
        <w:rPr>
          <w:rFonts w:ascii="Arial" w:hAnsi="Arial" w:cs="Arial"/>
          <w:noProof/>
          <w:sz w:val="24"/>
          <w:szCs w:val="24"/>
        </w:rPr>
        <w:t xml:space="preserve">. </w:t>
      </w:r>
      <w:r w:rsidRPr="00FD1822">
        <w:rPr>
          <w:rFonts w:ascii="Arial" w:hAnsi="Arial" w:cs="Arial"/>
          <w:noProof/>
          <w:sz w:val="24"/>
          <w:szCs w:val="24"/>
        </w:rPr>
        <w:tab/>
        <w:t>Fleck M</w:t>
      </w:r>
      <w:r>
        <w:rPr>
          <w:rFonts w:ascii="Arial" w:hAnsi="Arial" w:cs="Arial"/>
          <w:noProof/>
          <w:sz w:val="24"/>
          <w:szCs w:val="24"/>
        </w:rPr>
        <w:t>P</w:t>
      </w:r>
      <w:r w:rsidRPr="00FD1822">
        <w:rPr>
          <w:rFonts w:ascii="Arial" w:hAnsi="Arial" w:cs="Arial"/>
          <w:noProof/>
          <w:sz w:val="24"/>
          <w:szCs w:val="24"/>
        </w:rPr>
        <w:t>. O instrumento de avaliação de qualidade de vida da Organização Mundial da Saúde (WHOQOL-100): características e</w:t>
      </w:r>
      <w:r>
        <w:rPr>
          <w:rFonts w:ascii="Arial" w:hAnsi="Arial" w:cs="Arial"/>
          <w:noProof/>
          <w:sz w:val="24"/>
          <w:szCs w:val="24"/>
        </w:rPr>
        <w:t xml:space="preserve"> perspectivas. Ciênc</w:t>
      </w:r>
      <w:r w:rsidRPr="00FD1822">
        <w:rPr>
          <w:rFonts w:ascii="Arial" w:hAnsi="Arial" w:cs="Arial"/>
          <w:noProof/>
          <w:sz w:val="24"/>
          <w:szCs w:val="24"/>
        </w:rPr>
        <w:t xml:space="preserve"> Saúde Coletiva. 2000;5(1):33–8. </w:t>
      </w:r>
      <w:r>
        <w:rPr>
          <w:rFonts w:ascii="Arial" w:hAnsi="Arial" w:cs="Arial"/>
          <w:noProof/>
          <w:sz w:val="24"/>
          <w:szCs w:val="24"/>
        </w:rPr>
        <w:t>DOI:</w:t>
      </w:r>
      <w:r w:rsidRPr="009E204A">
        <w:rPr>
          <w:rFonts w:ascii="Arial" w:hAnsi="Arial" w:cs="Arial"/>
          <w:noProof/>
          <w:sz w:val="36"/>
          <w:szCs w:val="24"/>
        </w:rPr>
        <w:t xml:space="preserve"> </w:t>
      </w:r>
      <w:r w:rsidRPr="009E204A">
        <w:rPr>
          <w:rFonts w:ascii="Arial" w:hAnsi="Arial" w:cs="Arial"/>
          <w:color w:val="000000"/>
          <w:sz w:val="24"/>
          <w:szCs w:val="18"/>
        </w:rPr>
        <w:t>10.1590/S1413-81232000000100004.</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Pr>
          <w:rFonts w:ascii="Arial" w:hAnsi="Arial" w:cs="Arial"/>
          <w:noProof/>
          <w:sz w:val="24"/>
          <w:szCs w:val="24"/>
        </w:rPr>
        <w:t>87</w:t>
      </w:r>
      <w:r w:rsidRPr="00FD1822">
        <w:rPr>
          <w:rFonts w:ascii="Arial" w:hAnsi="Arial" w:cs="Arial"/>
          <w:noProof/>
          <w:sz w:val="24"/>
          <w:szCs w:val="24"/>
        </w:rPr>
        <w:t xml:space="preserve">. </w:t>
      </w:r>
      <w:r w:rsidRPr="00FD1822">
        <w:rPr>
          <w:rFonts w:ascii="Arial" w:hAnsi="Arial" w:cs="Arial"/>
          <w:noProof/>
          <w:sz w:val="24"/>
          <w:szCs w:val="24"/>
        </w:rPr>
        <w:tab/>
        <w:t xml:space="preserve">Novato T, Grossi S, Kimura M. Qualidade de vida e auto-estima de adolescentes com diabetes mellitus. </w:t>
      </w:r>
      <w:r w:rsidRPr="00FF1F37">
        <w:rPr>
          <w:rFonts w:ascii="Arial" w:hAnsi="Arial" w:cs="Arial"/>
          <w:noProof/>
          <w:sz w:val="24"/>
          <w:szCs w:val="24"/>
          <w:lang w:val="en-US"/>
        </w:rPr>
        <w:t xml:space="preserve">Acta Paul Enferm. 2008;21(4):562–7. DOI: </w:t>
      </w:r>
      <w:r w:rsidRPr="00FF1F37">
        <w:rPr>
          <w:rFonts w:ascii="Arial" w:hAnsi="Arial" w:cs="Arial"/>
          <w:bCs/>
          <w:sz w:val="24"/>
          <w:szCs w:val="16"/>
          <w:lang w:val="en-US"/>
        </w:rPr>
        <w:t>10.1590/S0103-21002008000400005.</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9A7237" w:rsidRDefault="002306F1" w:rsidP="002306F1">
      <w:pPr>
        <w:widowControl w:val="0"/>
        <w:autoSpaceDE w:val="0"/>
        <w:autoSpaceDN w:val="0"/>
        <w:adjustRightInd w:val="0"/>
        <w:spacing w:after="0" w:line="240" w:lineRule="auto"/>
        <w:ind w:left="641" w:hanging="641"/>
        <w:rPr>
          <w:rFonts w:ascii="Arial" w:hAnsi="Arial" w:cs="Arial"/>
          <w:noProof/>
          <w:sz w:val="24"/>
          <w:szCs w:val="24"/>
        </w:rPr>
      </w:pPr>
      <w:r>
        <w:rPr>
          <w:rFonts w:ascii="Arial" w:hAnsi="Arial" w:cs="Arial"/>
          <w:noProof/>
          <w:sz w:val="24"/>
          <w:szCs w:val="24"/>
          <w:lang w:val="en-US"/>
        </w:rPr>
        <w:t>88</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Cohen JS, Biesecker BB. Quality of life in rare genetic conditions: a systematic review of the literature. </w:t>
      </w:r>
      <w:r w:rsidRPr="00FD1822">
        <w:rPr>
          <w:rFonts w:ascii="Arial" w:hAnsi="Arial" w:cs="Arial"/>
          <w:noProof/>
          <w:sz w:val="24"/>
          <w:szCs w:val="24"/>
        </w:rPr>
        <w:t xml:space="preserve">Am J Med Genet A. 2010;152A(5):1136–56. </w:t>
      </w:r>
      <w:r>
        <w:rPr>
          <w:rFonts w:ascii="Arial" w:hAnsi="Arial" w:cs="Arial"/>
          <w:noProof/>
          <w:sz w:val="24"/>
          <w:szCs w:val="24"/>
        </w:rPr>
        <w:t>DOI:</w:t>
      </w:r>
      <w:r>
        <w:rPr>
          <w:rFonts w:ascii="Arial" w:hAnsi="Arial" w:cs="Arial"/>
          <w:color w:val="000000"/>
          <w:sz w:val="17"/>
          <w:szCs w:val="17"/>
          <w:shd w:val="clear" w:color="auto" w:fill="FFFFFF"/>
        </w:rPr>
        <w:t> </w:t>
      </w:r>
      <w:r w:rsidRPr="009A7237">
        <w:rPr>
          <w:rFonts w:ascii="Arial" w:hAnsi="Arial" w:cs="Arial"/>
          <w:sz w:val="24"/>
          <w:szCs w:val="24"/>
          <w:shd w:val="clear" w:color="auto" w:fill="FFFFFF"/>
        </w:rPr>
        <w:t>10.1002/ajmg.a.33380.</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9A7237" w:rsidRDefault="002306F1" w:rsidP="002306F1">
      <w:pPr>
        <w:widowControl w:val="0"/>
        <w:autoSpaceDE w:val="0"/>
        <w:autoSpaceDN w:val="0"/>
        <w:adjustRightInd w:val="0"/>
        <w:spacing w:after="0" w:line="240" w:lineRule="auto"/>
        <w:ind w:left="640" w:hanging="640"/>
        <w:rPr>
          <w:rFonts w:ascii="Arial" w:hAnsi="Arial" w:cs="Arial"/>
          <w:b/>
          <w:sz w:val="28"/>
          <w:szCs w:val="16"/>
        </w:rPr>
      </w:pPr>
      <w:r>
        <w:rPr>
          <w:rFonts w:ascii="Arial" w:hAnsi="Arial" w:cs="Arial"/>
          <w:noProof/>
          <w:sz w:val="24"/>
          <w:szCs w:val="24"/>
        </w:rPr>
        <w:t>89</w:t>
      </w:r>
      <w:r w:rsidRPr="00FD1822">
        <w:rPr>
          <w:rFonts w:ascii="Arial" w:hAnsi="Arial" w:cs="Arial"/>
          <w:noProof/>
          <w:sz w:val="24"/>
          <w:szCs w:val="24"/>
        </w:rPr>
        <w:t xml:space="preserve">. </w:t>
      </w:r>
      <w:r w:rsidRPr="00FD1822">
        <w:rPr>
          <w:rFonts w:ascii="Arial" w:hAnsi="Arial" w:cs="Arial"/>
          <w:noProof/>
          <w:sz w:val="24"/>
          <w:szCs w:val="24"/>
        </w:rPr>
        <w:tab/>
        <w:t xml:space="preserve">Souza J, Pamponet M, Souza T, Pereira A, Souza A, Martins A. Instrumentos utilizados na avaliação da qualidade de vida de crianças brasileiras. Rev Paul Pediatr. 2014;32(2):272–9. </w:t>
      </w:r>
      <w:r>
        <w:rPr>
          <w:rFonts w:ascii="Arial" w:hAnsi="Arial" w:cs="Arial"/>
          <w:noProof/>
          <w:sz w:val="24"/>
          <w:szCs w:val="24"/>
        </w:rPr>
        <w:t xml:space="preserve">DOI: </w:t>
      </w:r>
      <w:r w:rsidRPr="009A7237">
        <w:rPr>
          <w:rFonts w:ascii="Arial" w:hAnsi="Arial" w:cs="Arial"/>
          <w:sz w:val="24"/>
        </w:rPr>
        <w:t>10.1590/0103-0582201432214313</w:t>
      </w:r>
      <w:r>
        <w:rPr>
          <w:rFonts w:ascii="Arial" w:hAnsi="Arial" w:cs="Arial"/>
          <w:sz w:val="24"/>
        </w:rPr>
        <w:t>.</w:t>
      </w: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sidRPr="00FD1822">
        <w:rPr>
          <w:rFonts w:ascii="Arial" w:hAnsi="Arial" w:cs="Arial"/>
          <w:noProof/>
          <w:sz w:val="24"/>
          <w:szCs w:val="24"/>
        </w:rPr>
        <w:t>9</w:t>
      </w:r>
      <w:r>
        <w:rPr>
          <w:rFonts w:ascii="Arial" w:hAnsi="Arial" w:cs="Arial"/>
          <w:noProof/>
          <w:sz w:val="24"/>
          <w:szCs w:val="24"/>
        </w:rPr>
        <w:t>0</w:t>
      </w:r>
      <w:r w:rsidRPr="00FD1822">
        <w:rPr>
          <w:rFonts w:ascii="Arial" w:hAnsi="Arial" w:cs="Arial"/>
          <w:noProof/>
          <w:sz w:val="24"/>
          <w:szCs w:val="24"/>
        </w:rPr>
        <w:t xml:space="preserve">. </w:t>
      </w:r>
      <w:r w:rsidRPr="00FD1822">
        <w:rPr>
          <w:rFonts w:ascii="Arial" w:hAnsi="Arial" w:cs="Arial"/>
          <w:noProof/>
          <w:sz w:val="24"/>
          <w:szCs w:val="24"/>
        </w:rPr>
        <w:tab/>
        <w:t>Machado C</w:t>
      </w:r>
      <w:r>
        <w:rPr>
          <w:rFonts w:ascii="Arial" w:hAnsi="Arial" w:cs="Arial"/>
          <w:noProof/>
          <w:sz w:val="24"/>
          <w:szCs w:val="24"/>
        </w:rPr>
        <w:t>S</w:t>
      </w:r>
      <w:r w:rsidRPr="00FD1822">
        <w:rPr>
          <w:rFonts w:ascii="Arial" w:hAnsi="Arial" w:cs="Arial"/>
          <w:noProof/>
          <w:sz w:val="24"/>
          <w:szCs w:val="24"/>
        </w:rPr>
        <w:t>, Ruperto N, Silva C</w:t>
      </w:r>
      <w:r>
        <w:rPr>
          <w:rFonts w:ascii="Arial" w:hAnsi="Arial" w:cs="Arial"/>
          <w:noProof/>
          <w:sz w:val="24"/>
          <w:szCs w:val="24"/>
        </w:rPr>
        <w:t>H</w:t>
      </w:r>
      <w:r w:rsidRPr="00FD1822">
        <w:rPr>
          <w:rFonts w:ascii="Arial" w:hAnsi="Arial" w:cs="Arial"/>
          <w:noProof/>
          <w:sz w:val="24"/>
          <w:szCs w:val="24"/>
        </w:rPr>
        <w:t>, Ferriani V</w:t>
      </w:r>
      <w:r>
        <w:rPr>
          <w:rFonts w:ascii="Arial" w:hAnsi="Arial" w:cs="Arial"/>
          <w:noProof/>
          <w:sz w:val="24"/>
          <w:szCs w:val="24"/>
        </w:rPr>
        <w:t>P</w:t>
      </w:r>
      <w:r w:rsidRPr="00FD1822">
        <w:rPr>
          <w:rFonts w:ascii="Arial" w:hAnsi="Arial" w:cs="Arial"/>
          <w:noProof/>
          <w:sz w:val="24"/>
          <w:szCs w:val="24"/>
        </w:rPr>
        <w:t>, Roscoe I, Campos L</w:t>
      </w:r>
      <w:r>
        <w:rPr>
          <w:rFonts w:ascii="Arial" w:hAnsi="Arial" w:cs="Arial"/>
          <w:noProof/>
          <w:sz w:val="24"/>
          <w:szCs w:val="24"/>
        </w:rPr>
        <w:t>M</w:t>
      </w:r>
      <w:r w:rsidRPr="00FD1822">
        <w:rPr>
          <w:rFonts w:ascii="Arial" w:hAnsi="Arial" w:cs="Arial"/>
          <w:noProof/>
          <w:sz w:val="24"/>
          <w:szCs w:val="24"/>
        </w:rPr>
        <w:t xml:space="preserve">, et al. </w:t>
      </w:r>
      <w:r w:rsidRPr="00FF1F37">
        <w:rPr>
          <w:rFonts w:ascii="Arial" w:hAnsi="Arial" w:cs="Arial"/>
          <w:noProof/>
          <w:sz w:val="24"/>
          <w:szCs w:val="24"/>
          <w:lang w:val="en-US"/>
        </w:rPr>
        <w:t xml:space="preserve">The Brazilian version of the Childhood Health Assessment Questionnaire (CHAQ) and the Child Health Questionnaire (CHQ). Clin Exp Rheumatol. 2001;19(Suppl 23):25–9. </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Pr>
          <w:rFonts w:ascii="Arial" w:hAnsi="Arial" w:cs="Arial"/>
          <w:noProof/>
          <w:sz w:val="24"/>
          <w:szCs w:val="24"/>
          <w:lang w:val="en-US"/>
        </w:rPr>
        <w:t>91</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Varni JW, Burwinkle TM, Seid M, Skarr D. The PedsQL 4.0 as a pediatric population health measure: feasibility, reliability, and validity. Qual Life Res. 2006;15(2):203–15. DOI: </w:t>
      </w:r>
      <w:r w:rsidRPr="00FF1F37">
        <w:rPr>
          <w:rFonts w:ascii="Arial" w:hAnsi="Arial" w:cs="Arial"/>
          <w:spacing w:val="4"/>
          <w:sz w:val="24"/>
          <w:szCs w:val="24"/>
          <w:shd w:val="clear" w:color="auto" w:fill="FCFCFC"/>
          <w:lang w:val="en-US"/>
        </w:rPr>
        <w:t>10.1007/s11136-005-1388-z.</w:t>
      </w:r>
      <w:r w:rsidRPr="00FF1F37">
        <w:rPr>
          <w:rFonts w:ascii="Arial" w:hAnsi="Arial" w:cs="Arial"/>
          <w:noProof/>
          <w:sz w:val="24"/>
          <w:szCs w:val="24"/>
          <w:lang w:val="en-US"/>
        </w:rPr>
        <w:t xml:space="preserve"> </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Pr>
          <w:rFonts w:ascii="Arial" w:hAnsi="Arial" w:cs="Arial"/>
          <w:noProof/>
          <w:sz w:val="24"/>
          <w:szCs w:val="24"/>
          <w:lang w:val="en-US"/>
        </w:rPr>
        <w:t>92</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Varni JW, Limbers CA. The pediatric quality of life inventory: measuring pediatric health-related quality of life from the perspective of children and their parents. </w:t>
      </w:r>
      <w:r w:rsidRPr="00FD1822">
        <w:rPr>
          <w:rFonts w:ascii="Arial" w:hAnsi="Arial" w:cs="Arial"/>
          <w:noProof/>
          <w:sz w:val="24"/>
          <w:szCs w:val="24"/>
        </w:rPr>
        <w:t xml:space="preserve">Pediatr Clin North Am. 2009;56(4):843–63. </w:t>
      </w:r>
      <w:r>
        <w:rPr>
          <w:rFonts w:ascii="Arial" w:hAnsi="Arial" w:cs="Arial"/>
          <w:noProof/>
          <w:sz w:val="24"/>
          <w:szCs w:val="24"/>
        </w:rPr>
        <w:t xml:space="preserve">DOI: </w:t>
      </w:r>
      <w:r w:rsidRPr="00BB58A8">
        <w:rPr>
          <w:rFonts w:ascii="Arial" w:hAnsi="Arial" w:cs="Arial"/>
          <w:color w:val="000000"/>
          <w:sz w:val="24"/>
          <w:szCs w:val="24"/>
          <w:shd w:val="clear" w:color="auto" w:fill="FFFFFF"/>
        </w:rPr>
        <w:t>10.1016/j.pcl.2009.05.016</w:t>
      </w:r>
      <w:r>
        <w:rPr>
          <w:rFonts w:ascii="Arial" w:hAnsi="Arial" w:cs="Arial"/>
          <w:color w:val="000000"/>
          <w:sz w:val="24"/>
          <w:szCs w:val="24"/>
          <w:shd w:val="clear" w:color="auto" w:fill="FFFFFF"/>
        </w:rPr>
        <w:t>.</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DE3362" w:rsidRDefault="002306F1" w:rsidP="002306F1">
      <w:pPr>
        <w:widowControl w:val="0"/>
        <w:autoSpaceDE w:val="0"/>
        <w:autoSpaceDN w:val="0"/>
        <w:adjustRightInd w:val="0"/>
        <w:spacing w:after="0" w:line="240" w:lineRule="auto"/>
        <w:ind w:left="641" w:hanging="641"/>
        <w:rPr>
          <w:rFonts w:ascii="Arial" w:hAnsi="Arial" w:cs="Arial"/>
          <w:noProof/>
          <w:sz w:val="24"/>
          <w:szCs w:val="24"/>
        </w:rPr>
      </w:pPr>
      <w:r>
        <w:rPr>
          <w:rFonts w:ascii="Arial" w:hAnsi="Arial" w:cs="Arial"/>
          <w:noProof/>
          <w:sz w:val="24"/>
          <w:szCs w:val="24"/>
        </w:rPr>
        <w:t>93</w:t>
      </w:r>
      <w:r w:rsidRPr="00FD1822">
        <w:rPr>
          <w:rFonts w:ascii="Arial" w:hAnsi="Arial" w:cs="Arial"/>
          <w:noProof/>
          <w:sz w:val="24"/>
          <w:szCs w:val="24"/>
        </w:rPr>
        <w:t xml:space="preserve">. </w:t>
      </w:r>
      <w:r w:rsidRPr="00FD1822">
        <w:rPr>
          <w:rFonts w:ascii="Arial" w:hAnsi="Arial" w:cs="Arial"/>
          <w:noProof/>
          <w:sz w:val="24"/>
          <w:szCs w:val="24"/>
        </w:rPr>
        <w:tab/>
        <w:t>Macedo R</w:t>
      </w:r>
      <w:r>
        <w:rPr>
          <w:rFonts w:ascii="Arial" w:hAnsi="Arial" w:cs="Arial"/>
          <w:noProof/>
          <w:sz w:val="24"/>
          <w:szCs w:val="24"/>
        </w:rPr>
        <w:t>B</w:t>
      </w:r>
      <w:r w:rsidRPr="00FD1822">
        <w:rPr>
          <w:rFonts w:ascii="Arial" w:hAnsi="Arial" w:cs="Arial"/>
          <w:noProof/>
          <w:sz w:val="24"/>
          <w:szCs w:val="24"/>
        </w:rPr>
        <w:t>, Coelho-e-Silva M</w:t>
      </w:r>
      <w:r>
        <w:rPr>
          <w:rFonts w:ascii="Arial" w:hAnsi="Arial" w:cs="Arial"/>
          <w:noProof/>
          <w:sz w:val="24"/>
          <w:szCs w:val="24"/>
        </w:rPr>
        <w:t>J</w:t>
      </w:r>
      <w:r w:rsidRPr="00FD1822">
        <w:rPr>
          <w:rFonts w:ascii="Arial" w:hAnsi="Arial" w:cs="Arial"/>
          <w:noProof/>
          <w:sz w:val="24"/>
          <w:szCs w:val="24"/>
        </w:rPr>
        <w:t>, Sousa N</w:t>
      </w:r>
      <w:r>
        <w:rPr>
          <w:rFonts w:ascii="Arial" w:hAnsi="Arial" w:cs="Arial"/>
          <w:noProof/>
          <w:sz w:val="24"/>
          <w:szCs w:val="24"/>
        </w:rPr>
        <w:t>F</w:t>
      </w:r>
      <w:r w:rsidRPr="00FD1822">
        <w:rPr>
          <w:rFonts w:ascii="Arial" w:hAnsi="Arial" w:cs="Arial"/>
          <w:noProof/>
          <w:sz w:val="24"/>
          <w:szCs w:val="24"/>
        </w:rPr>
        <w:t>, Valente-dos-Santos J, Machado-Rodrigues A</w:t>
      </w:r>
      <w:r>
        <w:rPr>
          <w:rFonts w:ascii="Arial" w:hAnsi="Arial" w:cs="Arial"/>
          <w:noProof/>
          <w:sz w:val="24"/>
          <w:szCs w:val="24"/>
        </w:rPr>
        <w:t>M</w:t>
      </w:r>
      <w:r w:rsidRPr="00FD1822">
        <w:rPr>
          <w:rFonts w:ascii="Arial" w:hAnsi="Arial" w:cs="Arial"/>
          <w:noProof/>
          <w:sz w:val="24"/>
          <w:szCs w:val="24"/>
        </w:rPr>
        <w:t>, Cumming S</w:t>
      </w:r>
      <w:r>
        <w:rPr>
          <w:rFonts w:ascii="Arial" w:hAnsi="Arial" w:cs="Arial"/>
          <w:noProof/>
          <w:sz w:val="24"/>
          <w:szCs w:val="24"/>
        </w:rPr>
        <w:t>P</w:t>
      </w:r>
      <w:r w:rsidRPr="00FD1822">
        <w:rPr>
          <w:rFonts w:ascii="Arial" w:hAnsi="Arial" w:cs="Arial"/>
          <w:noProof/>
          <w:sz w:val="24"/>
          <w:szCs w:val="24"/>
        </w:rPr>
        <w:t xml:space="preserve">, et al. </w:t>
      </w:r>
      <w:r w:rsidRPr="00FF1F37">
        <w:rPr>
          <w:rFonts w:ascii="Arial" w:hAnsi="Arial" w:cs="Arial"/>
          <w:noProof/>
          <w:sz w:val="24"/>
          <w:szCs w:val="24"/>
          <w:lang w:val="en-US"/>
        </w:rPr>
        <w:t xml:space="preserve">Quality of life, school backpack weight, and nonspecific low back pain in children and adolescents. </w:t>
      </w:r>
      <w:r w:rsidRPr="00FD1822">
        <w:rPr>
          <w:rFonts w:ascii="Arial" w:hAnsi="Arial" w:cs="Arial"/>
          <w:noProof/>
          <w:sz w:val="24"/>
          <w:szCs w:val="24"/>
        </w:rPr>
        <w:t>J Pediatr</w:t>
      </w:r>
      <w:r>
        <w:rPr>
          <w:rFonts w:ascii="Arial" w:hAnsi="Arial" w:cs="Arial"/>
          <w:noProof/>
          <w:sz w:val="24"/>
          <w:szCs w:val="24"/>
        </w:rPr>
        <w:t xml:space="preserve"> (Rio J)</w:t>
      </w:r>
      <w:r w:rsidRPr="00FD1822">
        <w:rPr>
          <w:rFonts w:ascii="Arial" w:hAnsi="Arial" w:cs="Arial"/>
          <w:noProof/>
          <w:sz w:val="24"/>
          <w:szCs w:val="24"/>
        </w:rPr>
        <w:t xml:space="preserve">. 2015;91(3):263–9. </w:t>
      </w:r>
      <w:r>
        <w:rPr>
          <w:rFonts w:ascii="Arial" w:hAnsi="Arial" w:cs="Arial"/>
          <w:noProof/>
          <w:sz w:val="24"/>
          <w:szCs w:val="24"/>
        </w:rPr>
        <w:t>DOI:</w:t>
      </w:r>
      <w:r w:rsidRPr="00DE3362">
        <w:rPr>
          <w:rFonts w:ascii="Arial" w:hAnsi="Arial" w:cs="Arial"/>
          <w:noProof/>
          <w:sz w:val="24"/>
          <w:szCs w:val="24"/>
        </w:rPr>
        <w:t xml:space="preserve"> </w:t>
      </w:r>
      <w:r w:rsidRPr="00DE3362">
        <w:rPr>
          <w:rFonts w:ascii="Arial" w:hAnsi="Arial" w:cs="Arial"/>
          <w:color w:val="000000"/>
          <w:sz w:val="24"/>
          <w:szCs w:val="24"/>
          <w:shd w:val="clear" w:color="auto" w:fill="FFFFFF"/>
        </w:rPr>
        <w:t>10.1016/j.jped.2014.08.011.</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Pr>
          <w:rFonts w:ascii="Arial" w:hAnsi="Arial" w:cs="Arial"/>
          <w:noProof/>
          <w:sz w:val="24"/>
          <w:szCs w:val="24"/>
        </w:rPr>
        <w:t>94</w:t>
      </w:r>
      <w:r w:rsidRPr="00FD1822">
        <w:rPr>
          <w:rFonts w:ascii="Arial" w:hAnsi="Arial" w:cs="Arial"/>
          <w:noProof/>
          <w:sz w:val="24"/>
          <w:szCs w:val="24"/>
        </w:rPr>
        <w:t xml:space="preserve">. </w:t>
      </w:r>
      <w:r w:rsidRPr="00FD1822">
        <w:rPr>
          <w:rFonts w:ascii="Arial" w:hAnsi="Arial" w:cs="Arial"/>
          <w:noProof/>
          <w:sz w:val="24"/>
          <w:szCs w:val="24"/>
        </w:rPr>
        <w:tab/>
        <w:t>Kl</w:t>
      </w:r>
      <w:r>
        <w:rPr>
          <w:rFonts w:ascii="Arial" w:hAnsi="Arial" w:cs="Arial"/>
          <w:noProof/>
          <w:sz w:val="24"/>
          <w:szCs w:val="24"/>
        </w:rPr>
        <w:t>atchoian DA, Len CA, Terreri MT</w:t>
      </w:r>
      <w:r w:rsidRPr="00FD1822">
        <w:rPr>
          <w:rFonts w:ascii="Arial" w:hAnsi="Arial" w:cs="Arial"/>
          <w:noProof/>
          <w:sz w:val="24"/>
          <w:szCs w:val="24"/>
        </w:rPr>
        <w:t xml:space="preserve">, Silva M, Itamoto C, Ciconelli RM, et al. </w:t>
      </w:r>
      <w:r w:rsidRPr="00FF1F37">
        <w:rPr>
          <w:rFonts w:ascii="Arial" w:hAnsi="Arial" w:cs="Arial"/>
          <w:noProof/>
          <w:sz w:val="24"/>
          <w:szCs w:val="24"/>
          <w:lang w:val="en-US"/>
        </w:rPr>
        <w:t xml:space="preserve">Quality of life of children and adolescents from São Paulo: reliability and validity of the Brazilian version of the Pediatric Quality of Life Inventory version 4.0 Generic Core Scales. </w:t>
      </w:r>
      <w:r w:rsidRPr="00FD1822">
        <w:rPr>
          <w:rFonts w:ascii="Arial" w:hAnsi="Arial" w:cs="Arial"/>
          <w:noProof/>
          <w:sz w:val="24"/>
          <w:szCs w:val="24"/>
        </w:rPr>
        <w:t xml:space="preserve">J Pediatr (Rio J). 2008;84(4):308–15. </w:t>
      </w:r>
      <w:r>
        <w:rPr>
          <w:rFonts w:ascii="Arial" w:hAnsi="Arial" w:cs="Arial"/>
          <w:noProof/>
          <w:sz w:val="24"/>
          <w:szCs w:val="24"/>
        </w:rPr>
        <w:t xml:space="preserve">DOI: </w:t>
      </w:r>
      <w:r w:rsidRPr="00DE3362">
        <w:rPr>
          <w:rFonts w:ascii="Arial" w:hAnsi="Arial" w:cs="Arial"/>
          <w:bCs/>
          <w:sz w:val="24"/>
          <w:szCs w:val="16"/>
        </w:rPr>
        <w:t>10.1590/S0021-75572008000400005.</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1" w:hanging="641"/>
        <w:rPr>
          <w:rFonts w:ascii="Arial" w:hAnsi="Arial" w:cs="Arial"/>
          <w:noProof/>
          <w:sz w:val="24"/>
          <w:szCs w:val="24"/>
        </w:rPr>
      </w:pPr>
      <w:r>
        <w:rPr>
          <w:rFonts w:ascii="Arial" w:hAnsi="Arial" w:cs="Arial"/>
          <w:noProof/>
          <w:sz w:val="24"/>
          <w:szCs w:val="24"/>
        </w:rPr>
        <w:t>95</w:t>
      </w:r>
      <w:r w:rsidRPr="00FD1822">
        <w:rPr>
          <w:rFonts w:ascii="Arial" w:hAnsi="Arial" w:cs="Arial"/>
          <w:noProof/>
          <w:sz w:val="24"/>
          <w:szCs w:val="24"/>
        </w:rPr>
        <w:t xml:space="preserve">. </w:t>
      </w:r>
      <w:r w:rsidRPr="00FD1822">
        <w:rPr>
          <w:rFonts w:ascii="Arial" w:hAnsi="Arial" w:cs="Arial"/>
          <w:noProof/>
          <w:sz w:val="24"/>
          <w:szCs w:val="24"/>
        </w:rPr>
        <w:tab/>
      </w:r>
      <w:r>
        <w:rPr>
          <w:rFonts w:ascii="Arial" w:hAnsi="Arial" w:cs="Arial"/>
          <w:noProof/>
          <w:sz w:val="24"/>
          <w:szCs w:val="24"/>
        </w:rPr>
        <w:t>Bertoletti J, Marx GC, Hattge Ju</w:t>
      </w:r>
      <w:r w:rsidRPr="00FD1822">
        <w:rPr>
          <w:rFonts w:ascii="Arial" w:hAnsi="Arial" w:cs="Arial"/>
          <w:noProof/>
          <w:sz w:val="24"/>
          <w:szCs w:val="24"/>
        </w:rPr>
        <w:t>nior SP, Pellanda LC. Qualidade de vida e cardiopatia congênita na infância e adolescência. Arq Bras Cardiol. 2014;10</w:t>
      </w:r>
      <w:r>
        <w:rPr>
          <w:rFonts w:ascii="Arial" w:hAnsi="Arial" w:cs="Arial"/>
          <w:noProof/>
          <w:sz w:val="24"/>
          <w:szCs w:val="24"/>
        </w:rPr>
        <w:t>2</w:t>
      </w:r>
      <w:r w:rsidRPr="00FD1822">
        <w:rPr>
          <w:rFonts w:ascii="Arial" w:hAnsi="Arial" w:cs="Arial"/>
          <w:noProof/>
          <w:sz w:val="24"/>
          <w:szCs w:val="24"/>
        </w:rPr>
        <w:t xml:space="preserve">(2):192–8. </w:t>
      </w:r>
      <w:r>
        <w:rPr>
          <w:rFonts w:ascii="Arial" w:hAnsi="Arial" w:cs="Arial"/>
          <w:noProof/>
          <w:sz w:val="24"/>
          <w:szCs w:val="24"/>
        </w:rPr>
        <w:t>DOI:</w:t>
      </w:r>
      <w:r w:rsidRPr="00DE3362">
        <w:rPr>
          <w:rFonts w:ascii="Arial" w:hAnsi="Arial" w:cs="Arial"/>
          <w:noProof/>
          <w:sz w:val="32"/>
          <w:szCs w:val="24"/>
        </w:rPr>
        <w:t xml:space="preserve"> </w:t>
      </w:r>
      <w:r w:rsidRPr="00DE3362">
        <w:rPr>
          <w:rFonts w:ascii="Arial" w:hAnsi="Arial" w:cs="Arial"/>
          <w:color w:val="000000"/>
          <w:sz w:val="24"/>
          <w:szCs w:val="20"/>
          <w:shd w:val="clear" w:color="auto" w:fill="FFFFFF"/>
        </w:rPr>
        <w:t>10.5935/abc.20130244.</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FF1F37" w:rsidRDefault="002306F1" w:rsidP="002306F1">
      <w:pPr>
        <w:widowControl w:val="0"/>
        <w:autoSpaceDE w:val="0"/>
        <w:autoSpaceDN w:val="0"/>
        <w:adjustRightInd w:val="0"/>
        <w:spacing w:after="0" w:line="240" w:lineRule="auto"/>
        <w:ind w:left="641" w:hanging="641"/>
        <w:rPr>
          <w:rFonts w:ascii="Arial" w:hAnsi="Arial" w:cs="Arial"/>
          <w:noProof/>
          <w:sz w:val="24"/>
          <w:szCs w:val="24"/>
          <w:lang w:val="en-US"/>
        </w:rPr>
      </w:pPr>
      <w:r>
        <w:rPr>
          <w:rFonts w:ascii="Arial" w:hAnsi="Arial" w:cs="Arial"/>
          <w:noProof/>
          <w:sz w:val="24"/>
          <w:szCs w:val="24"/>
        </w:rPr>
        <w:t>96</w:t>
      </w:r>
      <w:r w:rsidRPr="00FD1822">
        <w:rPr>
          <w:rFonts w:ascii="Arial" w:hAnsi="Arial" w:cs="Arial"/>
          <w:noProof/>
          <w:sz w:val="24"/>
          <w:szCs w:val="24"/>
        </w:rPr>
        <w:t xml:space="preserve">. </w:t>
      </w:r>
      <w:r w:rsidRPr="00FD1822">
        <w:rPr>
          <w:rFonts w:ascii="Arial" w:hAnsi="Arial" w:cs="Arial"/>
          <w:noProof/>
          <w:sz w:val="24"/>
          <w:szCs w:val="24"/>
        </w:rPr>
        <w:tab/>
        <w:t>Hendriksz C</w:t>
      </w:r>
      <w:r>
        <w:rPr>
          <w:rFonts w:ascii="Arial" w:hAnsi="Arial" w:cs="Arial"/>
          <w:noProof/>
          <w:sz w:val="24"/>
          <w:szCs w:val="24"/>
        </w:rPr>
        <w:t>J</w:t>
      </w:r>
      <w:r w:rsidRPr="00FD1822">
        <w:rPr>
          <w:rFonts w:ascii="Arial" w:hAnsi="Arial" w:cs="Arial"/>
          <w:noProof/>
          <w:sz w:val="24"/>
          <w:szCs w:val="24"/>
        </w:rPr>
        <w:t>, Al-jawad M, Berger K</w:t>
      </w:r>
      <w:r>
        <w:rPr>
          <w:rFonts w:ascii="Arial" w:hAnsi="Arial" w:cs="Arial"/>
          <w:noProof/>
          <w:sz w:val="24"/>
          <w:szCs w:val="24"/>
        </w:rPr>
        <w:t>I</w:t>
      </w:r>
      <w:r w:rsidRPr="00FD1822">
        <w:rPr>
          <w:rFonts w:ascii="Arial" w:hAnsi="Arial" w:cs="Arial"/>
          <w:noProof/>
          <w:sz w:val="24"/>
          <w:szCs w:val="24"/>
        </w:rPr>
        <w:t>, Hawley S</w:t>
      </w:r>
      <w:r>
        <w:rPr>
          <w:rFonts w:ascii="Arial" w:hAnsi="Arial" w:cs="Arial"/>
          <w:noProof/>
          <w:sz w:val="24"/>
          <w:szCs w:val="24"/>
        </w:rPr>
        <w:t>M</w:t>
      </w:r>
      <w:r w:rsidRPr="00FD1822">
        <w:rPr>
          <w:rFonts w:ascii="Arial" w:hAnsi="Arial" w:cs="Arial"/>
          <w:noProof/>
          <w:sz w:val="24"/>
          <w:szCs w:val="24"/>
        </w:rPr>
        <w:t xml:space="preserve">, Lawrence R, </w:t>
      </w:r>
      <w:r>
        <w:rPr>
          <w:rFonts w:ascii="Arial" w:hAnsi="Arial" w:cs="Arial"/>
          <w:noProof/>
          <w:sz w:val="24"/>
          <w:szCs w:val="24"/>
        </w:rPr>
        <w:t xml:space="preserve">Mc </w:t>
      </w:r>
      <w:r w:rsidRPr="00FD1822">
        <w:rPr>
          <w:rFonts w:ascii="Arial" w:hAnsi="Arial" w:cs="Arial"/>
          <w:noProof/>
          <w:sz w:val="24"/>
          <w:szCs w:val="24"/>
        </w:rPr>
        <w:t xml:space="preserve">Ardle C, et al. </w:t>
      </w:r>
      <w:r w:rsidRPr="00FF1F37">
        <w:rPr>
          <w:rFonts w:ascii="Arial" w:hAnsi="Arial" w:cs="Arial"/>
          <w:noProof/>
          <w:sz w:val="24"/>
          <w:szCs w:val="24"/>
          <w:lang w:val="en-US"/>
        </w:rPr>
        <w:t xml:space="preserve">Clinical overview and treatment options for non-skeletal manifestations of mucopolysaccharidosis type IVA. J Inherit Metab Dis. 2013;36(2):309–22. DOI: </w:t>
      </w:r>
      <w:r w:rsidRPr="00FF1F37">
        <w:rPr>
          <w:rFonts w:ascii="Arial" w:hAnsi="Arial" w:cs="Arial"/>
          <w:color w:val="000000"/>
          <w:sz w:val="24"/>
          <w:szCs w:val="24"/>
          <w:shd w:val="clear" w:color="auto" w:fill="FFFFFF"/>
          <w:lang w:val="en-US"/>
        </w:rPr>
        <w:t>10.1007/s10545-012-9459-0</w:t>
      </w:r>
      <w:r w:rsidRPr="00FF1F37">
        <w:rPr>
          <w:rFonts w:ascii="Arial" w:hAnsi="Arial" w:cs="Arial"/>
          <w:color w:val="000000"/>
          <w:sz w:val="17"/>
          <w:szCs w:val="17"/>
          <w:shd w:val="clear" w:color="auto" w:fill="FFFFFF"/>
          <w:lang w:val="en-US"/>
        </w:rPr>
        <w:t>.</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1" w:hanging="641"/>
        <w:rPr>
          <w:rFonts w:ascii="Arial" w:hAnsi="Arial" w:cs="Arial"/>
          <w:sz w:val="28"/>
          <w:szCs w:val="16"/>
          <w:lang w:val="en-US"/>
        </w:rPr>
      </w:pPr>
      <w:r>
        <w:rPr>
          <w:rFonts w:ascii="Arial" w:hAnsi="Arial" w:cs="Arial"/>
          <w:noProof/>
          <w:sz w:val="24"/>
          <w:szCs w:val="24"/>
          <w:lang w:val="en-US"/>
        </w:rPr>
        <w:t>97</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Guarany NR, Vanz AP, Wilke MV, Bender DD, Borges MD, Giugliani R, et al. Mucopolysaccharidosis: caregiver quality of life. J Inborn Errors Metab Screen. 2015;3:1–7. DOI: </w:t>
      </w:r>
      <w:r w:rsidRPr="00FF1F37">
        <w:rPr>
          <w:rFonts w:ascii="Arial" w:hAnsi="Arial" w:cs="Arial"/>
          <w:sz w:val="24"/>
          <w:lang w:val="en-US"/>
        </w:rPr>
        <w:t>10.1177/2326409815613804.</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Default="002306F1" w:rsidP="002306F1">
      <w:pPr>
        <w:widowControl w:val="0"/>
        <w:autoSpaceDE w:val="0"/>
        <w:autoSpaceDN w:val="0"/>
        <w:adjustRightInd w:val="0"/>
        <w:spacing w:after="0" w:line="240" w:lineRule="auto"/>
        <w:ind w:left="641" w:hanging="641"/>
        <w:rPr>
          <w:rFonts w:ascii="Arial" w:hAnsi="Arial" w:cs="Arial"/>
          <w:noProof/>
          <w:sz w:val="24"/>
          <w:szCs w:val="24"/>
        </w:rPr>
      </w:pPr>
      <w:r>
        <w:rPr>
          <w:rFonts w:ascii="Arial" w:hAnsi="Arial" w:cs="Arial"/>
          <w:noProof/>
          <w:sz w:val="24"/>
          <w:szCs w:val="24"/>
          <w:lang w:val="en-US"/>
        </w:rPr>
        <w:t>98</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Soni-Jaiswal A, Mercer J, Jones SA, Bruce IA, Callery P. Mucopolysaccharidosis I; Parental beliefs about the impact of disease on the quality of life of their children. </w:t>
      </w:r>
      <w:r w:rsidRPr="00FD1822">
        <w:rPr>
          <w:rFonts w:ascii="Arial" w:hAnsi="Arial" w:cs="Arial"/>
          <w:noProof/>
          <w:sz w:val="24"/>
          <w:szCs w:val="24"/>
        </w:rPr>
        <w:t xml:space="preserve">Orphanet J Rare Dis. 2016;11(96):1–9. </w:t>
      </w:r>
      <w:r>
        <w:rPr>
          <w:rFonts w:ascii="Arial" w:hAnsi="Arial" w:cs="Arial"/>
          <w:noProof/>
          <w:sz w:val="24"/>
          <w:szCs w:val="24"/>
        </w:rPr>
        <w:t xml:space="preserve">DOI: </w:t>
      </w:r>
      <w:r>
        <w:rPr>
          <w:rFonts w:ascii="Arial" w:hAnsi="Arial" w:cs="Arial"/>
          <w:color w:val="000000"/>
          <w:sz w:val="16"/>
          <w:szCs w:val="16"/>
          <w:shd w:val="clear" w:color="auto" w:fill="FFFFFF"/>
        </w:rPr>
        <w:t> </w:t>
      </w:r>
      <w:hyperlink r:id="rId58" w:tgtFrame="pmc_ext" w:history="1">
        <w:r w:rsidRPr="000940CE">
          <w:rPr>
            <w:rStyle w:val="Hyperlink"/>
            <w:rFonts w:ascii="Arial" w:hAnsi="Arial" w:cs="Arial"/>
            <w:color w:val="auto"/>
            <w:sz w:val="24"/>
            <w:szCs w:val="24"/>
            <w:u w:val="none"/>
            <w:shd w:val="clear" w:color="auto" w:fill="FFFFFF"/>
          </w:rPr>
          <w:t>10.1186/s13023-016-0478-z</w:t>
        </w:r>
      </w:hyperlink>
      <w:r w:rsidRPr="000940CE">
        <w:rPr>
          <w:rFonts w:ascii="Arial" w:hAnsi="Arial" w:cs="Arial"/>
          <w:sz w:val="24"/>
          <w:szCs w:val="24"/>
        </w:rPr>
        <w:t>.</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0940CE" w:rsidRDefault="002306F1" w:rsidP="002306F1">
      <w:pPr>
        <w:widowControl w:val="0"/>
        <w:autoSpaceDE w:val="0"/>
        <w:autoSpaceDN w:val="0"/>
        <w:adjustRightInd w:val="0"/>
        <w:spacing w:after="0" w:line="240" w:lineRule="auto"/>
        <w:ind w:left="641" w:hanging="641"/>
        <w:rPr>
          <w:rFonts w:ascii="Arial" w:hAnsi="Arial" w:cs="Arial"/>
          <w:noProof/>
          <w:sz w:val="24"/>
          <w:szCs w:val="24"/>
        </w:rPr>
      </w:pPr>
      <w:r>
        <w:rPr>
          <w:rFonts w:ascii="Arial" w:hAnsi="Arial" w:cs="Arial"/>
          <w:noProof/>
          <w:sz w:val="24"/>
          <w:szCs w:val="24"/>
        </w:rPr>
        <w:t>99</w:t>
      </w:r>
      <w:r w:rsidRPr="00FD1822">
        <w:rPr>
          <w:rFonts w:ascii="Arial" w:hAnsi="Arial" w:cs="Arial"/>
          <w:noProof/>
          <w:sz w:val="24"/>
          <w:szCs w:val="24"/>
        </w:rPr>
        <w:t xml:space="preserve">. </w:t>
      </w:r>
      <w:r w:rsidRPr="00FD1822">
        <w:rPr>
          <w:rFonts w:ascii="Arial" w:hAnsi="Arial" w:cs="Arial"/>
          <w:noProof/>
          <w:sz w:val="24"/>
          <w:szCs w:val="24"/>
        </w:rPr>
        <w:tab/>
        <w:t>Fernandes MB, Cabral DL, Souza RJ</w:t>
      </w:r>
      <w:r>
        <w:rPr>
          <w:rFonts w:ascii="Arial" w:hAnsi="Arial" w:cs="Arial"/>
          <w:noProof/>
          <w:sz w:val="24"/>
          <w:szCs w:val="24"/>
        </w:rPr>
        <w:t>, Sekitani HY, Teixeira-S</w:t>
      </w:r>
      <w:r w:rsidRPr="00FD1822">
        <w:rPr>
          <w:rFonts w:ascii="Arial" w:hAnsi="Arial" w:cs="Arial"/>
          <w:noProof/>
          <w:sz w:val="24"/>
          <w:szCs w:val="24"/>
        </w:rPr>
        <w:t>almela LF, Laurentino GE. Independência funcional de indivíduos hemiparéticos crônicos e</w:t>
      </w:r>
      <w:r>
        <w:rPr>
          <w:rFonts w:ascii="Arial" w:hAnsi="Arial" w:cs="Arial"/>
          <w:noProof/>
          <w:sz w:val="24"/>
          <w:szCs w:val="24"/>
        </w:rPr>
        <w:t xml:space="preserve"> sua relação com a fisioterapia. Fisioter</w:t>
      </w:r>
      <w:r w:rsidRPr="00FD1822">
        <w:rPr>
          <w:rFonts w:ascii="Arial" w:hAnsi="Arial" w:cs="Arial"/>
          <w:noProof/>
          <w:sz w:val="24"/>
          <w:szCs w:val="24"/>
        </w:rPr>
        <w:t xml:space="preserve"> Mov. 2012;25(2):333–41. </w:t>
      </w:r>
      <w:r>
        <w:rPr>
          <w:rFonts w:ascii="Arial" w:hAnsi="Arial" w:cs="Arial"/>
          <w:noProof/>
          <w:sz w:val="24"/>
          <w:szCs w:val="24"/>
        </w:rPr>
        <w:t xml:space="preserve">DOI: </w:t>
      </w:r>
      <w:r w:rsidRPr="000940CE">
        <w:rPr>
          <w:rFonts w:ascii="Arial" w:hAnsi="Arial" w:cs="Arial"/>
          <w:bCs/>
          <w:sz w:val="24"/>
          <w:szCs w:val="16"/>
        </w:rPr>
        <w:t>10.1590/S0103-51502012000200011.</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Pr>
          <w:rFonts w:ascii="Arial" w:hAnsi="Arial" w:cs="Arial"/>
          <w:noProof/>
          <w:sz w:val="24"/>
          <w:szCs w:val="24"/>
        </w:rPr>
        <w:t>100</w:t>
      </w:r>
      <w:r w:rsidRPr="00FD1822">
        <w:rPr>
          <w:rFonts w:ascii="Arial" w:hAnsi="Arial" w:cs="Arial"/>
          <w:noProof/>
          <w:sz w:val="24"/>
          <w:szCs w:val="24"/>
        </w:rPr>
        <w:t xml:space="preserve">. </w:t>
      </w:r>
      <w:r w:rsidRPr="00FD1822">
        <w:rPr>
          <w:rFonts w:ascii="Arial" w:hAnsi="Arial" w:cs="Arial"/>
          <w:noProof/>
          <w:sz w:val="24"/>
          <w:szCs w:val="24"/>
        </w:rPr>
        <w:tab/>
        <w:t>Ricci N</w:t>
      </w:r>
      <w:r>
        <w:rPr>
          <w:rFonts w:ascii="Arial" w:hAnsi="Arial" w:cs="Arial"/>
          <w:noProof/>
          <w:sz w:val="24"/>
          <w:szCs w:val="24"/>
        </w:rPr>
        <w:t>A</w:t>
      </w:r>
      <w:r w:rsidRPr="00FD1822">
        <w:rPr>
          <w:rFonts w:ascii="Arial" w:hAnsi="Arial" w:cs="Arial"/>
          <w:noProof/>
          <w:sz w:val="24"/>
          <w:szCs w:val="24"/>
        </w:rPr>
        <w:t>, Lemos N</w:t>
      </w:r>
      <w:r>
        <w:rPr>
          <w:rFonts w:ascii="Arial" w:hAnsi="Arial" w:cs="Arial"/>
          <w:noProof/>
          <w:sz w:val="24"/>
          <w:szCs w:val="24"/>
        </w:rPr>
        <w:t>D</w:t>
      </w:r>
      <w:r w:rsidRPr="00FD1822">
        <w:rPr>
          <w:rFonts w:ascii="Arial" w:hAnsi="Arial" w:cs="Arial"/>
          <w:noProof/>
          <w:sz w:val="24"/>
          <w:szCs w:val="24"/>
        </w:rPr>
        <w:t>, Orrico K</w:t>
      </w:r>
      <w:r>
        <w:rPr>
          <w:rFonts w:ascii="Arial" w:hAnsi="Arial" w:cs="Arial"/>
          <w:noProof/>
          <w:sz w:val="24"/>
          <w:szCs w:val="24"/>
        </w:rPr>
        <w:t>F</w:t>
      </w:r>
      <w:r w:rsidRPr="00FD1822">
        <w:rPr>
          <w:rFonts w:ascii="Arial" w:hAnsi="Arial" w:cs="Arial"/>
          <w:noProof/>
          <w:sz w:val="24"/>
          <w:szCs w:val="24"/>
        </w:rPr>
        <w:t>, Gazzola J</w:t>
      </w:r>
      <w:r>
        <w:rPr>
          <w:rFonts w:ascii="Arial" w:hAnsi="Arial" w:cs="Arial"/>
          <w:noProof/>
          <w:sz w:val="24"/>
          <w:szCs w:val="24"/>
        </w:rPr>
        <w:t>M</w:t>
      </w:r>
      <w:r w:rsidRPr="00FD1822">
        <w:rPr>
          <w:rFonts w:ascii="Arial" w:hAnsi="Arial" w:cs="Arial"/>
          <w:noProof/>
          <w:sz w:val="24"/>
          <w:szCs w:val="24"/>
        </w:rPr>
        <w:t>. Evolução da independência funcional de idosos atendidos em programa de assistência d</w:t>
      </w:r>
      <w:r>
        <w:rPr>
          <w:rFonts w:ascii="Arial" w:hAnsi="Arial" w:cs="Arial"/>
          <w:noProof/>
          <w:sz w:val="24"/>
          <w:szCs w:val="24"/>
        </w:rPr>
        <w:t>omiciliária pela óptica do cui</w:t>
      </w:r>
      <w:r w:rsidRPr="00FD1822">
        <w:rPr>
          <w:rFonts w:ascii="Arial" w:hAnsi="Arial" w:cs="Arial"/>
          <w:noProof/>
          <w:sz w:val="24"/>
          <w:szCs w:val="24"/>
        </w:rPr>
        <w:t xml:space="preserve">dador. Acta Fisiatr. 2006;13(1):26–31. </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D1822">
        <w:rPr>
          <w:rFonts w:ascii="Arial" w:hAnsi="Arial" w:cs="Arial"/>
          <w:noProof/>
          <w:sz w:val="24"/>
          <w:szCs w:val="24"/>
        </w:rPr>
        <w:t>10</w:t>
      </w:r>
      <w:r>
        <w:rPr>
          <w:rFonts w:ascii="Arial" w:hAnsi="Arial" w:cs="Arial"/>
          <w:noProof/>
          <w:sz w:val="24"/>
          <w:szCs w:val="24"/>
        </w:rPr>
        <w:t>1</w:t>
      </w:r>
      <w:r w:rsidRPr="00FD1822">
        <w:rPr>
          <w:rFonts w:ascii="Arial" w:hAnsi="Arial" w:cs="Arial"/>
          <w:noProof/>
          <w:sz w:val="24"/>
          <w:szCs w:val="24"/>
        </w:rPr>
        <w:t xml:space="preserve">. </w:t>
      </w:r>
      <w:r w:rsidRPr="00FD1822">
        <w:rPr>
          <w:rFonts w:ascii="Arial" w:hAnsi="Arial" w:cs="Arial"/>
          <w:noProof/>
          <w:sz w:val="24"/>
          <w:szCs w:val="24"/>
        </w:rPr>
        <w:tab/>
        <w:t xml:space="preserve">Riberto M. Orientação funcional para utilização da MIF - Medida de Independência Funcional. </w:t>
      </w:r>
      <w:r>
        <w:rPr>
          <w:rFonts w:ascii="Arial" w:hAnsi="Arial" w:cs="Arial"/>
          <w:noProof/>
          <w:sz w:val="24"/>
          <w:szCs w:val="24"/>
        </w:rPr>
        <w:t xml:space="preserve">2004. [acesso em 26 mar 2016]. Disponível em: </w:t>
      </w:r>
      <w:r w:rsidRPr="0022273C">
        <w:rPr>
          <w:rFonts w:ascii="Arial" w:hAnsi="Arial" w:cs="Arial"/>
          <w:noProof/>
          <w:sz w:val="24"/>
          <w:szCs w:val="24"/>
        </w:rPr>
        <w:t>https://toneurologiaufpr.files.wordpress.com/2013/03/manual-mif.pdf</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sidRPr="00FD1822">
        <w:rPr>
          <w:rFonts w:ascii="Arial" w:hAnsi="Arial" w:cs="Arial"/>
          <w:noProof/>
          <w:sz w:val="24"/>
          <w:szCs w:val="24"/>
        </w:rPr>
        <w:t>10</w:t>
      </w:r>
      <w:r>
        <w:rPr>
          <w:rFonts w:ascii="Arial" w:hAnsi="Arial" w:cs="Arial"/>
          <w:noProof/>
          <w:sz w:val="24"/>
          <w:szCs w:val="24"/>
        </w:rPr>
        <w:t>2</w:t>
      </w:r>
      <w:r w:rsidRPr="00FD1822">
        <w:rPr>
          <w:rFonts w:ascii="Arial" w:hAnsi="Arial" w:cs="Arial"/>
          <w:noProof/>
          <w:sz w:val="24"/>
          <w:szCs w:val="24"/>
        </w:rPr>
        <w:t xml:space="preserve">. </w:t>
      </w:r>
      <w:r w:rsidRPr="00FD1822">
        <w:rPr>
          <w:rFonts w:ascii="Arial" w:hAnsi="Arial" w:cs="Arial"/>
          <w:noProof/>
          <w:sz w:val="24"/>
          <w:szCs w:val="24"/>
        </w:rPr>
        <w:tab/>
        <w:t>Souza Filho A</w:t>
      </w:r>
      <w:r>
        <w:rPr>
          <w:rFonts w:ascii="Arial" w:hAnsi="Arial" w:cs="Arial"/>
          <w:noProof/>
          <w:sz w:val="24"/>
          <w:szCs w:val="24"/>
        </w:rPr>
        <w:t>M</w:t>
      </w:r>
      <w:r w:rsidRPr="00FD1822">
        <w:rPr>
          <w:rFonts w:ascii="Arial" w:hAnsi="Arial" w:cs="Arial"/>
          <w:noProof/>
          <w:sz w:val="24"/>
          <w:szCs w:val="24"/>
        </w:rPr>
        <w:t>, Natenzon S</w:t>
      </w:r>
      <w:r>
        <w:rPr>
          <w:rFonts w:ascii="Arial" w:hAnsi="Arial" w:cs="Arial"/>
          <w:noProof/>
          <w:sz w:val="24"/>
          <w:szCs w:val="24"/>
        </w:rPr>
        <w:t>M</w:t>
      </w:r>
      <w:r w:rsidRPr="00FD1822">
        <w:rPr>
          <w:rFonts w:ascii="Arial" w:hAnsi="Arial" w:cs="Arial"/>
          <w:noProof/>
          <w:sz w:val="24"/>
          <w:szCs w:val="24"/>
        </w:rPr>
        <w:t xml:space="preserve">. Localizando o desenvolvimento humano: municípios pobres multidimensionais no Brasil - 1991-2000-2010. In: Prêmio </w:t>
      </w:r>
      <w:r w:rsidRPr="00FD1822">
        <w:rPr>
          <w:rFonts w:ascii="Arial" w:hAnsi="Arial" w:cs="Arial"/>
          <w:noProof/>
          <w:sz w:val="24"/>
          <w:szCs w:val="24"/>
        </w:rPr>
        <w:lastRenderedPageBreak/>
        <w:t>atlas do desenvolvimento humano n</w:t>
      </w:r>
      <w:r>
        <w:rPr>
          <w:rFonts w:ascii="Arial" w:hAnsi="Arial" w:cs="Arial"/>
          <w:noProof/>
          <w:sz w:val="24"/>
          <w:szCs w:val="24"/>
        </w:rPr>
        <w:t>o Brasil: coletânea de artigos</w:t>
      </w:r>
      <w:r w:rsidRPr="00FD1822">
        <w:rPr>
          <w:rFonts w:ascii="Arial" w:hAnsi="Arial" w:cs="Arial"/>
          <w:noProof/>
          <w:sz w:val="24"/>
          <w:szCs w:val="24"/>
        </w:rPr>
        <w:t>. P</w:t>
      </w:r>
      <w:r>
        <w:rPr>
          <w:rFonts w:ascii="Arial" w:hAnsi="Arial" w:cs="Arial"/>
          <w:noProof/>
          <w:sz w:val="24"/>
          <w:szCs w:val="24"/>
        </w:rPr>
        <w:t>rograma das Nações Unidas (PNUD), Instituto de Pesquisa Econômica Aplicada (I</w:t>
      </w:r>
      <w:r w:rsidRPr="00FD1822">
        <w:rPr>
          <w:rFonts w:ascii="Arial" w:hAnsi="Arial" w:cs="Arial"/>
          <w:noProof/>
          <w:sz w:val="24"/>
          <w:szCs w:val="24"/>
        </w:rPr>
        <w:t>PEA</w:t>
      </w:r>
      <w:r>
        <w:rPr>
          <w:rFonts w:ascii="Arial" w:hAnsi="Arial" w:cs="Arial"/>
          <w:noProof/>
          <w:sz w:val="24"/>
          <w:szCs w:val="24"/>
        </w:rPr>
        <w:t>), Fundação João Pinheiro.</w:t>
      </w:r>
      <w:r w:rsidRPr="00FD1822">
        <w:rPr>
          <w:rFonts w:ascii="Arial" w:hAnsi="Arial" w:cs="Arial"/>
          <w:noProof/>
          <w:sz w:val="24"/>
          <w:szCs w:val="24"/>
        </w:rPr>
        <w:t xml:space="preserve"> Brasília:</w:t>
      </w:r>
      <w:r>
        <w:rPr>
          <w:rFonts w:ascii="Arial" w:hAnsi="Arial" w:cs="Arial"/>
          <w:noProof/>
          <w:sz w:val="24"/>
          <w:szCs w:val="24"/>
        </w:rPr>
        <w:t xml:space="preserve"> PNUD: IPEA</w:t>
      </w:r>
      <w:r w:rsidRPr="00FD1822">
        <w:rPr>
          <w:rFonts w:ascii="Arial" w:hAnsi="Arial" w:cs="Arial"/>
          <w:noProof/>
          <w:sz w:val="24"/>
          <w:szCs w:val="24"/>
        </w:rPr>
        <w:t xml:space="preserve">; 2015. p. 87–102. </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r>
        <w:rPr>
          <w:rFonts w:ascii="Arial" w:hAnsi="Arial" w:cs="Arial"/>
          <w:noProof/>
          <w:sz w:val="24"/>
          <w:szCs w:val="24"/>
        </w:rPr>
        <w:t>103</w:t>
      </w:r>
      <w:r w:rsidRPr="00FD1822">
        <w:rPr>
          <w:rFonts w:ascii="Arial" w:hAnsi="Arial" w:cs="Arial"/>
          <w:noProof/>
          <w:sz w:val="24"/>
          <w:szCs w:val="24"/>
        </w:rPr>
        <w:t xml:space="preserve">. </w:t>
      </w:r>
      <w:r w:rsidRPr="00FD1822">
        <w:rPr>
          <w:rFonts w:ascii="Arial" w:hAnsi="Arial" w:cs="Arial"/>
          <w:noProof/>
          <w:sz w:val="24"/>
          <w:szCs w:val="24"/>
        </w:rPr>
        <w:tab/>
      </w:r>
      <w:r>
        <w:rPr>
          <w:rFonts w:ascii="Arial" w:hAnsi="Arial" w:cs="Arial"/>
          <w:noProof/>
          <w:sz w:val="24"/>
          <w:szCs w:val="24"/>
        </w:rPr>
        <w:t xml:space="preserve">Brasil. Ministério da Educação. Conselho Nacional de Educação. </w:t>
      </w:r>
      <w:r w:rsidRPr="00FD1822">
        <w:rPr>
          <w:rFonts w:ascii="Arial" w:hAnsi="Arial" w:cs="Arial"/>
          <w:noProof/>
          <w:sz w:val="24"/>
          <w:szCs w:val="24"/>
        </w:rPr>
        <w:t>Nota técnica de esclarecimento sobre a matrícula de crianças de 4 anos na educação infantil e de 6 anos no ensino fundamental de 9 anos.</w:t>
      </w:r>
      <w:r>
        <w:rPr>
          <w:rFonts w:ascii="Arial" w:hAnsi="Arial" w:cs="Arial"/>
          <w:noProof/>
          <w:sz w:val="24"/>
          <w:szCs w:val="24"/>
        </w:rPr>
        <w:t xml:space="preserve"> 5 de Junho de 2012. </w:t>
      </w:r>
      <w:r w:rsidRPr="00FD1822">
        <w:rPr>
          <w:rFonts w:ascii="Arial" w:hAnsi="Arial" w:cs="Arial"/>
          <w:noProof/>
          <w:sz w:val="24"/>
          <w:szCs w:val="24"/>
        </w:rPr>
        <w:t xml:space="preserve"> </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FF1F37" w:rsidRDefault="002306F1" w:rsidP="002306F1">
      <w:pPr>
        <w:widowControl w:val="0"/>
        <w:autoSpaceDE w:val="0"/>
        <w:autoSpaceDN w:val="0"/>
        <w:adjustRightInd w:val="0"/>
        <w:spacing w:after="0" w:line="240" w:lineRule="auto"/>
        <w:ind w:left="641" w:hanging="641"/>
        <w:rPr>
          <w:rFonts w:ascii="Arial" w:hAnsi="Arial" w:cs="Arial"/>
          <w:noProof/>
          <w:sz w:val="24"/>
          <w:szCs w:val="24"/>
          <w:lang w:val="en-US"/>
        </w:rPr>
      </w:pPr>
      <w:r>
        <w:rPr>
          <w:rFonts w:ascii="Arial" w:hAnsi="Arial" w:cs="Arial"/>
          <w:noProof/>
          <w:sz w:val="24"/>
          <w:szCs w:val="24"/>
        </w:rPr>
        <w:t>104</w:t>
      </w:r>
      <w:r w:rsidRPr="00FD1822">
        <w:rPr>
          <w:rFonts w:ascii="Arial" w:hAnsi="Arial" w:cs="Arial"/>
          <w:noProof/>
          <w:sz w:val="24"/>
          <w:szCs w:val="24"/>
        </w:rPr>
        <w:t xml:space="preserve">. </w:t>
      </w:r>
      <w:r w:rsidRPr="00FD1822">
        <w:rPr>
          <w:rFonts w:ascii="Arial" w:hAnsi="Arial" w:cs="Arial"/>
          <w:noProof/>
          <w:sz w:val="24"/>
          <w:szCs w:val="24"/>
        </w:rPr>
        <w:tab/>
        <w:t xml:space="preserve">Tanjuakio J, Suzuki Y, Patel P, Yasuda E, Kubaski F, Tanaka A, et al. </w:t>
      </w:r>
      <w:r w:rsidRPr="00FF1F37">
        <w:rPr>
          <w:rFonts w:ascii="Arial" w:hAnsi="Arial" w:cs="Arial"/>
          <w:noProof/>
          <w:sz w:val="24"/>
          <w:szCs w:val="24"/>
          <w:lang w:val="en-US"/>
        </w:rPr>
        <w:t xml:space="preserve">Activities of daily living in patients with Hunter syndrome: impact of enzyme replacement therapy and hematopoietic stem cell transplantation. Mol Genet Metab. 2015;114(2):161–9. DOI: </w:t>
      </w:r>
      <w:r w:rsidRPr="00FF1F37">
        <w:rPr>
          <w:rFonts w:ascii="Arial" w:hAnsi="Arial" w:cs="Arial"/>
          <w:sz w:val="24"/>
          <w:szCs w:val="24"/>
          <w:shd w:val="clear" w:color="auto" w:fill="FFFFFF"/>
          <w:lang w:val="en-US"/>
        </w:rPr>
        <w:t>10.1016/j.ymgme.2014.11.002.</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Default="002306F1" w:rsidP="002306F1">
      <w:pPr>
        <w:widowControl w:val="0"/>
        <w:autoSpaceDE w:val="0"/>
        <w:autoSpaceDN w:val="0"/>
        <w:adjustRightInd w:val="0"/>
        <w:spacing w:after="0" w:line="240" w:lineRule="auto"/>
        <w:ind w:left="641" w:hanging="641"/>
        <w:rPr>
          <w:rFonts w:ascii="Arial" w:hAnsi="Arial" w:cs="Arial"/>
          <w:noProof/>
          <w:sz w:val="24"/>
          <w:szCs w:val="24"/>
        </w:rPr>
      </w:pPr>
      <w:r>
        <w:rPr>
          <w:rFonts w:ascii="Arial" w:hAnsi="Arial" w:cs="Arial"/>
          <w:noProof/>
          <w:sz w:val="24"/>
          <w:szCs w:val="24"/>
          <w:lang w:val="en-US"/>
        </w:rPr>
        <w:t>105</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Raluy-Callado M, Chen WH, Whiteman DA, Fang J, Wiklund I. The impact of Hunter syndrome (mucopolysaccharidosis type II) on health-related quality of life. </w:t>
      </w:r>
      <w:r w:rsidRPr="00FD1822">
        <w:rPr>
          <w:rFonts w:ascii="Arial" w:hAnsi="Arial" w:cs="Arial"/>
          <w:noProof/>
          <w:sz w:val="24"/>
          <w:szCs w:val="24"/>
        </w:rPr>
        <w:t>Orphanet J Rare Dis. 2013;8(101).</w:t>
      </w:r>
      <w:r>
        <w:rPr>
          <w:rFonts w:ascii="Arial" w:hAnsi="Arial" w:cs="Arial"/>
          <w:noProof/>
          <w:sz w:val="24"/>
          <w:szCs w:val="24"/>
        </w:rPr>
        <w:t xml:space="preserve"> DOI:</w:t>
      </w:r>
      <w:r w:rsidRPr="00194347">
        <w:rPr>
          <w:rFonts w:ascii="Arial" w:hAnsi="Arial" w:cs="Arial"/>
          <w:noProof/>
          <w:sz w:val="24"/>
          <w:szCs w:val="24"/>
        </w:rPr>
        <w:t xml:space="preserve"> </w:t>
      </w:r>
      <w:r w:rsidRPr="00194347">
        <w:rPr>
          <w:rFonts w:ascii="Arial" w:hAnsi="Arial" w:cs="Arial"/>
          <w:sz w:val="24"/>
          <w:szCs w:val="24"/>
          <w:shd w:val="clear" w:color="auto" w:fill="FFFFFF"/>
        </w:rPr>
        <w:t>10.1186/1750-1172-8-101.</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194347" w:rsidRDefault="002306F1" w:rsidP="002306F1">
      <w:pPr>
        <w:widowControl w:val="0"/>
        <w:autoSpaceDE w:val="0"/>
        <w:autoSpaceDN w:val="0"/>
        <w:adjustRightInd w:val="0"/>
        <w:spacing w:after="0" w:line="240" w:lineRule="auto"/>
        <w:ind w:left="641" w:hanging="641"/>
        <w:rPr>
          <w:rFonts w:ascii="Arial" w:hAnsi="Arial" w:cs="Arial"/>
          <w:sz w:val="28"/>
          <w:szCs w:val="16"/>
        </w:rPr>
      </w:pPr>
      <w:r w:rsidRPr="00FD1822">
        <w:rPr>
          <w:rFonts w:ascii="Arial" w:hAnsi="Arial" w:cs="Arial"/>
          <w:noProof/>
          <w:sz w:val="24"/>
          <w:szCs w:val="24"/>
        </w:rPr>
        <w:t>10</w:t>
      </w:r>
      <w:r>
        <w:rPr>
          <w:rFonts w:ascii="Arial" w:hAnsi="Arial" w:cs="Arial"/>
          <w:noProof/>
          <w:sz w:val="24"/>
          <w:szCs w:val="24"/>
        </w:rPr>
        <w:t>6</w:t>
      </w:r>
      <w:r w:rsidRPr="00FD1822">
        <w:rPr>
          <w:rFonts w:ascii="Arial" w:hAnsi="Arial" w:cs="Arial"/>
          <w:noProof/>
          <w:sz w:val="24"/>
          <w:szCs w:val="24"/>
        </w:rPr>
        <w:t xml:space="preserve">. </w:t>
      </w:r>
      <w:r w:rsidRPr="00FD1822">
        <w:rPr>
          <w:rFonts w:ascii="Arial" w:hAnsi="Arial" w:cs="Arial"/>
          <w:noProof/>
          <w:sz w:val="24"/>
          <w:szCs w:val="24"/>
        </w:rPr>
        <w:tab/>
        <w:t xml:space="preserve">Amaral IA, Omena Filho RL, Reis Neto JA, Reis MC. Avaliação da capacidade funcional de adolescentes portadores de Mucopolissacaridose do tipo II. Cad Bras Ter Ocup. 2017;25(2):297–303. </w:t>
      </w:r>
      <w:r>
        <w:rPr>
          <w:rFonts w:ascii="Arial" w:hAnsi="Arial" w:cs="Arial"/>
          <w:noProof/>
          <w:sz w:val="24"/>
          <w:szCs w:val="24"/>
        </w:rPr>
        <w:t xml:space="preserve">DOI: </w:t>
      </w:r>
      <w:r w:rsidRPr="00194347">
        <w:rPr>
          <w:rFonts w:ascii="Arial" w:hAnsi="Arial" w:cs="Arial"/>
          <w:sz w:val="24"/>
        </w:rPr>
        <w:t>10.4322/0104-4931.ctoAO0799.</w:t>
      </w:r>
    </w:p>
    <w:p w:rsidR="002306F1"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740577" w:rsidRDefault="002306F1" w:rsidP="002306F1">
      <w:pPr>
        <w:widowControl w:val="0"/>
        <w:autoSpaceDE w:val="0"/>
        <w:autoSpaceDN w:val="0"/>
        <w:adjustRightInd w:val="0"/>
        <w:spacing w:after="0" w:line="240" w:lineRule="auto"/>
        <w:ind w:left="641" w:hanging="641"/>
        <w:rPr>
          <w:rFonts w:ascii="Arial" w:hAnsi="Arial" w:cs="Arial"/>
          <w:noProof/>
          <w:sz w:val="24"/>
          <w:szCs w:val="24"/>
        </w:rPr>
      </w:pPr>
      <w:r>
        <w:rPr>
          <w:rFonts w:ascii="Arial" w:hAnsi="Arial" w:cs="Arial"/>
          <w:noProof/>
          <w:sz w:val="24"/>
          <w:szCs w:val="24"/>
        </w:rPr>
        <w:t>107</w:t>
      </w:r>
      <w:r w:rsidRPr="00FD1822">
        <w:rPr>
          <w:rFonts w:ascii="Arial" w:hAnsi="Arial" w:cs="Arial"/>
          <w:noProof/>
          <w:sz w:val="24"/>
          <w:szCs w:val="24"/>
        </w:rPr>
        <w:t xml:space="preserve">. </w:t>
      </w:r>
      <w:r w:rsidRPr="00FD1822">
        <w:rPr>
          <w:rFonts w:ascii="Arial" w:hAnsi="Arial" w:cs="Arial"/>
          <w:noProof/>
          <w:sz w:val="24"/>
          <w:szCs w:val="24"/>
        </w:rPr>
        <w:tab/>
        <w:t>Berger KI, Fagondes SC, Giugliani R, Hardy KA, Lee KS, Mc</w:t>
      </w:r>
      <w:r>
        <w:rPr>
          <w:rFonts w:ascii="Arial" w:hAnsi="Arial" w:cs="Arial"/>
          <w:noProof/>
          <w:sz w:val="24"/>
          <w:szCs w:val="24"/>
        </w:rPr>
        <w:t>A</w:t>
      </w:r>
      <w:r w:rsidRPr="00FD1822">
        <w:rPr>
          <w:rFonts w:ascii="Arial" w:hAnsi="Arial" w:cs="Arial"/>
          <w:noProof/>
          <w:sz w:val="24"/>
          <w:szCs w:val="24"/>
        </w:rPr>
        <w:t xml:space="preserve">rdle C, et al. </w:t>
      </w:r>
      <w:r w:rsidRPr="00FF1F37">
        <w:rPr>
          <w:rFonts w:ascii="Arial" w:hAnsi="Arial" w:cs="Arial"/>
          <w:noProof/>
          <w:sz w:val="24"/>
          <w:szCs w:val="24"/>
          <w:lang w:val="en-US"/>
        </w:rPr>
        <w:t xml:space="preserve">Respiratory and sleep disorders in mucopolysaccharidosis. </w:t>
      </w:r>
      <w:r w:rsidRPr="00AD04C0">
        <w:rPr>
          <w:rFonts w:ascii="Arial" w:hAnsi="Arial" w:cs="Arial"/>
          <w:noProof/>
          <w:sz w:val="24"/>
          <w:szCs w:val="24"/>
          <w:lang w:val="en-US"/>
        </w:rPr>
        <w:t xml:space="preserve">J Inherit Metab Dis. 2013;36(2):201–10. </w:t>
      </w:r>
      <w:r w:rsidRPr="00740577">
        <w:rPr>
          <w:rFonts w:ascii="Arial" w:hAnsi="Arial" w:cs="Arial"/>
          <w:noProof/>
          <w:sz w:val="24"/>
          <w:szCs w:val="24"/>
        </w:rPr>
        <w:t xml:space="preserve">DOI: </w:t>
      </w:r>
      <w:r w:rsidRPr="00740577">
        <w:rPr>
          <w:rFonts w:ascii="Arial" w:hAnsi="Arial" w:cs="Arial"/>
          <w:color w:val="000000"/>
          <w:sz w:val="24"/>
          <w:szCs w:val="24"/>
          <w:shd w:val="clear" w:color="auto" w:fill="FFFFFF"/>
        </w:rPr>
        <w:t>10.1007/s10545-012-9555-1.</w:t>
      </w:r>
    </w:p>
    <w:p w:rsidR="002306F1" w:rsidRPr="00740577"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Default="002306F1" w:rsidP="002306F1">
      <w:pPr>
        <w:widowControl w:val="0"/>
        <w:autoSpaceDE w:val="0"/>
        <w:autoSpaceDN w:val="0"/>
        <w:adjustRightInd w:val="0"/>
        <w:spacing w:after="0" w:line="240" w:lineRule="auto"/>
        <w:ind w:left="641" w:hanging="641"/>
        <w:rPr>
          <w:rFonts w:ascii="Arial" w:hAnsi="Arial" w:cs="Arial"/>
          <w:noProof/>
          <w:sz w:val="24"/>
          <w:szCs w:val="24"/>
          <w:lang w:val="en-US"/>
        </w:rPr>
      </w:pPr>
      <w:r w:rsidRPr="00740577">
        <w:rPr>
          <w:rFonts w:ascii="Arial" w:hAnsi="Arial" w:cs="Arial"/>
          <w:noProof/>
          <w:sz w:val="24"/>
          <w:szCs w:val="24"/>
        </w:rPr>
        <w:t xml:space="preserve">108. </w:t>
      </w:r>
      <w:r w:rsidRPr="00740577">
        <w:rPr>
          <w:rFonts w:ascii="Arial" w:hAnsi="Arial" w:cs="Arial"/>
          <w:noProof/>
          <w:sz w:val="24"/>
          <w:szCs w:val="24"/>
        </w:rPr>
        <w:tab/>
      </w:r>
      <w:r w:rsidRPr="0069257C">
        <w:rPr>
          <w:rFonts w:ascii="Arial" w:hAnsi="Arial" w:cs="Arial"/>
          <w:noProof/>
          <w:sz w:val="24"/>
          <w:szCs w:val="24"/>
        </w:rPr>
        <w:t xml:space="preserve">Leite R, Leite M, Freitas J, Mendes C, Deiró T, Acosta A. </w:t>
      </w:r>
      <w:r w:rsidR="00C858DD">
        <w:rPr>
          <w:rFonts w:ascii="Arial" w:hAnsi="Arial" w:cs="Arial"/>
          <w:noProof/>
          <w:sz w:val="24"/>
          <w:szCs w:val="24"/>
        </w:rPr>
        <w:t>Avaliação do consumo alimentar de pacientes com mucopolissacaridose</w:t>
      </w:r>
      <w:r w:rsidRPr="0069257C">
        <w:rPr>
          <w:rFonts w:ascii="Arial" w:hAnsi="Arial" w:cs="Arial"/>
          <w:noProof/>
          <w:sz w:val="24"/>
          <w:szCs w:val="24"/>
        </w:rPr>
        <w:t xml:space="preserve">. </w:t>
      </w:r>
      <w:r w:rsidRPr="00620065">
        <w:rPr>
          <w:rFonts w:ascii="Arial" w:hAnsi="Arial" w:cs="Arial"/>
          <w:noProof/>
          <w:sz w:val="24"/>
          <w:szCs w:val="24"/>
          <w:lang w:val="en-US"/>
        </w:rPr>
        <w:t>Sci Med. 2014;24(1):19–25</w:t>
      </w:r>
      <w:r>
        <w:rPr>
          <w:rFonts w:ascii="Arial" w:hAnsi="Arial" w:cs="Arial"/>
          <w:noProof/>
          <w:sz w:val="24"/>
          <w:szCs w:val="24"/>
          <w:lang w:val="en-US"/>
        </w:rPr>
        <w:t xml:space="preserve">. DOI: </w:t>
      </w:r>
      <w:hyperlink r:id="rId59" w:tgtFrame="_blank" w:history="1">
        <w:r w:rsidRPr="002306F1">
          <w:rPr>
            <w:rStyle w:val="Hyperlink"/>
            <w:rFonts w:ascii="Arial" w:hAnsi="Arial" w:cs="Arial"/>
            <w:color w:val="auto"/>
            <w:sz w:val="24"/>
            <w:u w:val="none"/>
            <w:lang w:val="en-US"/>
          </w:rPr>
          <w:t>10.15448/1980-6108</w:t>
        </w:r>
      </w:hyperlink>
      <w:r w:rsidRPr="002306F1">
        <w:rPr>
          <w:rFonts w:ascii="Arial" w:hAnsi="Arial" w:cs="Arial"/>
          <w:sz w:val="24"/>
          <w:lang w:val="en-US"/>
        </w:rPr>
        <w:t>.</w:t>
      </w:r>
    </w:p>
    <w:p w:rsidR="002306F1" w:rsidRDefault="002306F1" w:rsidP="002306F1">
      <w:pPr>
        <w:widowControl w:val="0"/>
        <w:autoSpaceDE w:val="0"/>
        <w:autoSpaceDN w:val="0"/>
        <w:adjustRightInd w:val="0"/>
        <w:spacing w:after="0" w:line="240" w:lineRule="auto"/>
        <w:ind w:left="641" w:hanging="641"/>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1" w:hanging="641"/>
        <w:rPr>
          <w:rFonts w:ascii="Arial" w:hAnsi="Arial" w:cs="Arial"/>
          <w:noProof/>
          <w:sz w:val="24"/>
          <w:szCs w:val="24"/>
          <w:lang w:val="en-US"/>
        </w:rPr>
      </w:pPr>
      <w:r>
        <w:rPr>
          <w:rFonts w:ascii="Arial" w:hAnsi="Arial" w:cs="Arial"/>
          <w:noProof/>
          <w:sz w:val="24"/>
          <w:szCs w:val="24"/>
          <w:lang w:val="en-US"/>
        </w:rPr>
        <w:t xml:space="preserve">109.  </w:t>
      </w:r>
      <w:r w:rsidRPr="00FF1F37">
        <w:rPr>
          <w:rFonts w:ascii="Arial" w:hAnsi="Arial" w:cs="Arial"/>
          <w:noProof/>
          <w:sz w:val="24"/>
          <w:szCs w:val="24"/>
          <w:lang w:val="en-US"/>
        </w:rPr>
        <w:t xml:space="preserve">O’Brien A, Bompadre V, Hale S, White KK. Musculoskeletal function in patients with mucopolysaccharidosis using the Pediatric Outcomes Data Collection Instrument. J Pediatr Orthop. 2014;34(6):650–4. DOI: </w:t>
      </w:r>
      <w:r w:rsidRPr="00FF1F37">
        <w:rPr>
          <w:rFonts w:ascii="Arial" w:hAnsi="Arial" w:cs="Arial"/>
          <w:sz w:val="24"/>
          <w:szCs w:val="24"/>
          <w:shd w:val="clear" w:color="auto" w:fill="FFFFFF"/>
          <w:lang w:val="en-US"/>
        </w:rPr>
        <w:t>10.1097/BPO.0000000000000168.</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r>
        <w:rPr>
          <w:rFonts w:ascii="Arial" w:hAnsi="Arial" w:cs="Arial"/>
          <w:noProof/>
          <w:sz w:val="24"/>
          <w:szCs w:val="24"/>
          <w:lang w:val="en-US"/>
        </w:rPr>
        <w:t>110</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Haddad FS, Jones DH, Vellodi A, Kane N, Pitt MC. Carpal tunnel syndrome in the mucopolysaccharidoses and mucolipidoses. J Bone Joint Surg Br. 1997;79(4):576–82. </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1" w:hanging="641"/>
        <w:rPr>
          <w:rFonts w:ascii="Arial" w:hAnsi="Arial" w:cs="Arial"/>
          <w:noProof/>
          <w:sz w:val="24"/>
          <w:szCs w:val="24"/>
          <w:lang w:val="en-US"/>
        </w:rPr>
      </w:pPr>
      <w:r w:rsidRPr="00FF1F37">
        <w:rPr>
          <w:rFonts w:ascii="Arial" w:hAnsi="Arial" w:cs="Arial"/>
          <w:noProof/>
          <w:sz w:val="24"/>
          <w:szCs w:val="24"/>
          <w:lang w:val="en-US"/>
        </w:rPr>
        <w:t>1</w:t>
      </w:r>
      <w:r>
        <w:rPr>
          <w:rFonts w:ascii="Arial" w:hAnsi="Arial" w:cs="Arial"/>
          <w:noProof/>
          <w:sz w:val="24"/>
          <w:szCs w:val="24"/>
          <w:lang w:val="en-US"/>
        </w:rPr>
        <w:t>11</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Tylki-Szymanska A, Marucha J, Jurecka A, Syczewska M, Czartoryska B. Efficacy of recombinant human alpha-L-iduronidase (laronidase) on restricted range of motion of upper extremities in mucopolysaccharidosis type I patients. J Inherit Metab Dis. 2010;33(2):151–7. DOI: </w:t>
      </w:r>
      <w:r w:rsidRPr="00FF1F37">
        <w:rPr>
          <w:rFonts w:ascii="Arial" w:hAnsi="Arial" w:cs="Arial"/>
          <w:sz w:val="24"/>
          <w:szCs w:val="24"/>
          <w:shd w:val="clear" w:color="auto" w:fill="FFFFFF"/>
          <w:lang w:val="en-US"/>
        </w:rPr>
        <w:t>10.1007/s10545-010-9059-9.</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076AA7" w:rsidRDefault="002306F1" w:rsidP="002306F1">
      <w:pPr>
        <w:widowControl w:val="0"/>
        <w:autoSpaceDE w:val="0"/>
        <w:autoSpaceDN w:val="0"/>
        <w:adjustRightInd w:val="0"/>
        <w:spacing w:after="0" w:line="240" w:lineRule="auto"/>
        <w:ind w:left="641" w:hanging="641"/>
        <w:rPr>
          <w:rFonts w:ascii="Arial" w:hAnsi="Arial" w:cs="Arial"/>
          <w:noProof/>
          <w:sz w:val="24"/>
          <w:szCs w:val="24"/>
        </w:rPr>
      </w:pPr>
      <w:r w:rsidRPr="00FF1F37">
        <w:rPr>
          <w:rFonts w:ascii="Arial" w:hAnsi="Arial" w:cs="Arial"/>
          <w:noProof/>
          <w:sz w:val="24"/>
          <w:szCs w:val="24"/>
          <w:lang w:val="en-US"/>
        </w:rPr>
        <w:t>11</w:t>
      </w:r>
      <w:r>
        <w:rPr>
          <w:rFonts w:ascii="Arial" w:hAnsi="Arial" w:cs="Arial"/>
          <w:noProof/>
          <w:sz w:val="24"/>
          <w:szCs w:val="24"/>
          <w:lang w:val="en-US"/>
        </w:rPr>
        <w:t>2</w:t>
      </w:r>
      <w:r w:rsidRPr="00FF1F37">
        <w:rPr>
          <w:rFonts w:ascii="Arial" w:hAnsi="Arial" w:cs="Arial"/>
          <w:noProof/>
          <w:sz w:val="24"/>
          <w:szCs w:val="24"/>
          <w:lang w:val="en-US"/>
        </w:rPr>
        <w:t xml:space="preserve">. </w:t>
      </w:r>
      <w:r w:rsidRPr="00FF1F37">
        <w:rPr>
          <w:rFonts w:ascii="Arial" w:hAnsi="Arial" w:cs="Arial"/>
          <w:noProof/>
          <w:sz w:val="24"/>
          <w:szCs w:val="24"/>
          <w:lang w:val="en-US"/>
        </w:rPr>
        <w:tab/>
      </w:r>
      <w:r w:rsidRPr="00AD04C0">
        <w:rPr>
          <w:rFonts w:ascii="Arial" w:hAnsi="Arial" w:cs="Arial"/>
          <w:noProof/>
          <w:sz w:val="24"/>
          <w:szCs w:val="24"/>
          <w:lang w:val="en-US"/>
        </w:rPr>
        <w:t xml:space="preserve">Solans M, Pane S, Estrada MD, Serra-Sutton V, Berra S, Herdman M, et al. </w:t>
      </w:r>
      <w:r w:rsidRPr="00FF1F37">
        <w:rPr>
          <w:rFonts w:ascii="Arial" w:hAnsi="Arial" w:cs="Arial"/>
          <w:noProof/>
          <w:sz w:val="24"/>
          <w:szCs w:val="24"/>
          <w:lang w:val="en-US"/>
        </w:rPr>
        <w:t xml:space="preserve">Health-related quality of life measurement in children and adolescents: a systematic review of generic and disease-specific instruments. </w:t>
      </w:r>
      <w:r>
        <w:rPr>
          <w:rFonts w:ascii="Arial" w:hAnsi="Arial" w:cs="Arial"/>
          <w:noProof/>
          <w:sz w:val="24"/>
          <w:szCs w:val="24"/>
        </w:rPr>
        <w:t>Value Heal</w:t>
      </w:r>
      <w:r w:rsidRPr="00FD1822">
        <w:rPr>
          <w:rFonts w:ascii="Arial" w:hAnsi="Arial" w:cs="Arial"/>
          <w:noProof/>
          <w:sz w:val="24"/>
          <w:szCs w:val="24"/>
        </w:rPr>
        <w:t>. 2008;11(4):742–64.</w:t>
      </w:r>
      <w:r>
        <w:rPr>
          <w:rFonts w:ascii="Arial" w:hAnsi="Arial" w:cs="Arial"/>
          <w:noProof/>
          <w:sz w:val="24"/>
          <w:szCs w:val="24"/>
        </w:rPr>
        <w:t>DOI:</w:t>
      </w:r>
      <w:r w:rsidRPr="00076AA7">
        <w:rPr>
          <w:rFonts w:ascii="Arial" w:hAnsi="Arial" w:cs="Arial"/>
          <w:noProof/>
          <w:sz w:val="24"/>
          <w:szCs w:val="24"/>
        </w:rPr>
        <w:t xml:space="preserve"> </w:t>
      </w:r>
      <w:r w:rsidRPr="00076AA7">
        <w:rPr>
          <w:rFonts w:ascii="Arial" w:hAnsi="Arial" w:cs="Arial"/>
          <w:sz w:val="24"/>
          <w:szCs w:val="24"/>
          <w:shd w:val="clear" w:color="auto" w:fill="FFFFFF"/>
        </w:rPr>
        <w:t>10.1111/j.1524-4733.2007.00293.x.</w:t>
      </w:r>
    </w:p>
    <w:p w:rsidR="002306F1" w:rsidRPr="00FD1822" w:rsidRDefault="002306F1" w:rsidP="002306F1">
      <w:pPr>
        <w:widowControl w:val="0"/>
        <w:autoSpaceDE w:val="0"/>
        <w:autoSpaceDN w:val="0"/>
        <w:adjustRightInd w:val="0"/>
        <w:spacing w:after="0" w:line="240" w:lineRule="auto"/>
        <w:ind w:left="640" w:hanging="640"/>
        <w:rPr>
          <w:rFonts w:ascii="Arial" w:hAnsi="Arial" w:cs="Arial"/>
          <w:noProof/>
          <w:sz w:val="24"/>
          <w:szCs w:val="24"/>
        </w:rPr>
      </w:pPr>
    </w:p>
    <w:p w:rsidR="002306F1" w:rsidRPr="00FF1F37" w:rsidRDefault="002306F1" w:rsidP="002306F1">
      <w:pPr>
        <w:widowControl w:val="0"/>
        <w:autoSpaceDE w:val="0"/>
        <w:autoSpaceDN w:val="0"/>
        <w:adjustRightInd w:val="0"/>
        <w:spacing w:after="0" w:line="240" w:lineRule="auto"/>
        <w:ind w:left="641" w:hanging="641"/>
        <w:rPr>
          <w:rFonts w:ascii="Arial" w:hAnsi="Arial" w:cs="Arial"/>
          <w:noProof/>
          <w:sz w:val="24"/>
          <w:szCs w:val="24"/>
          <w:lang w:val="en-US"/>
        </w:rPr>
      </w:pPr>
      <w:r>
        <w:rPr>
          <w:rFonts w:ascii="Arial" w:hAnsi="Arial" w:cs="Arial"/>
          <w:noProof/>
          <w:sz w:val="24"/>
          <w:szCs w:val="24"/>
        </w:rPr>
        <w:t>113</w:t>
      </w:r>
      <w:r w:rsidRPr="00FD1822">
        <w:rPr>
          <w:rFonts w:ascii="Arial" w:hAnsi="Arial" w:cs="Arial"/>
          <w:noProof/>
          <w:sz w:val="24"/>
          <w:szCs w:val="24"/>
        </w:rPr>
        <w:t xml:space="preserve">. </w:t>
      </w:r>
      <w:r w:rsidRPr="00FD1822">
        <w:rPr>
          <w:rFonts w:ascii="Arial" w:hAnsi="Arial" w:cs="Arial"/>
          <w:noProof/>
          <w:sz w:val="24"/>
          <w:szCs w:val="24"/>
        </w:rPr>
        <w:tab/>
        <w:t xml:space="preserve">Nascimento MM, Melo TR, Pinto RM, Morales NM, Mendonça TM, Paro HB, et al. </w:t>
      </w:r>
      <w:r w:rsidRPr="00FF1F37">
        <w:rPr>
          <w:rFonts w:ascii="Arial" w:hAnsi="Arial" w:cs="Arial"/>
          <w:noProof/>
          <w:sz w:val="24"/>
          <w:szCs w:val="24"/>
          <w:lang w:val="en-US"/>
        </w:rPr>
        <w:t xml:space="preserve">Parents’ perception of health-related quality of life in children and </w:t>
      </w:r>
      <w:r w:rsidRPr="00FF1F37">
        <w:rPr>
          <w:rFonts w:ascii="Arial" w:hAnsi="Arial" w:cs="Arial"/>
          <w:noProof/>
          <w:sz w:val="24"/>
          <w:szCs w:val="24"/>
          <w:lang w:val="en-US"/>
        </w:rPr>
        <w:lastRenderedPageBreak/>
        <w:t xml:space="preserve">adolescents with excess weight. J Pediatr (Rio J). 2016;92(1):65–72. DOI: </w:t>
      </w:r>
      <w:r w:rsidRPr="00FF1F37">
        <w:rPr>
          <w:rFonts w:ascii="Arial" w:hAnsi="Arial" w:cs="Arial"/>
          <w:bCs/>
          <w:sz w:val="24"/>
          <w:szCs w:val="16"/>
          <w:lang w:val="en-US"/>
        </w:rPr>
        <w:t>10.1016/j.jped.2015.04.006.</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1" w:hanging="641"/>
        <w:rPr>
          <w:rFonts w:ascii="Arial" w:hAnsi="Arial" w:cs="Arial"/>
          <w:noProof/>
          <w:sz w:val="24"/>
          <w:szCs w:val="24"/>
          <w:lang w:val="en-US"/>
        </w:rPr>
      </w:pPr>
      <w:r w:rsidRPr="00FF1F37">
        <w:rPr>
          <w:rFonts w:ascii="Arial" w:hAnsi="Arial" w:cs="Arial"/>
          <w:noProof/>
          <w:sz w:val="24"/>
          <w:szCs w:val="24"/>
          <w:lang w:val="en-US"/>
        </w:rPr>
        <w:t>11</w:t>
      </w:r>
      <w:r>
        <w:rPr>
          <w:rFonts w:ascii="Arial" w:hAnsi="Arial" w:cs="Arial"/>
          <w:noProof/>
          <w:sz w:val="24"/>
          <w:szCs w:val="24"/>
          <w:lang w:val="en-US"/>
        </w:rPr>
        <w:t>4</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Johansen H, Dammann B, Andresen I-L, Fagerland MW. Health-related quality of life for children with rare diagnoses, their parents’ satisfaction with life and the association between the two. Health Qual Life Outcomes. 2013;11(152):1–7. DOI: </w:t>
      </w:r>
      <w:hyperlink r:id="rId60" w:tgtFrame="pmc_ext" w:history="1">
        <w:r w:rsidRPr="00FF1F37">
          <w:rPr>
            <w:rStyle w:val="Hyperlink"/>
            <w:rFonts w:ascii="Arial" w:hAnsi="Arial" w:cs="Arial"/>
            <w:color w:val="auto"/>
            <w:sz w:val="24"/>
            <w:szCs w:val="24"/>
            <w:u w:val="none"/>
            <w:shd w:val="clear" w:color="auto" w:fill="FFFFFF"/>
            <w:lang w:val="en-US"/>
          </w:rPr>
          <w:t>10.1186/1477-7525-11-152</w:t>
        </w:r>
      </w:hyperlink>
      <w:r w:rsidRPr="00FF1F37">
        <w:rPr>
          <w:rFonts w:ascii="Arial" w:hAnsi="Arial" w:cs="Arial"/>
          <w:b/>
          <w:sz w:val="24"/>
          <w:szCs w:val="24"/>
          <w:lang w:val="en-US"/>
        </w:rPr>
        <w:t>.</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1" w:hanging="641"/>
        <w:rPr>
          <w:rFonts w:ascii="Arial" w:hAnsi="Arial" w:cs="Arial"/>
          <w:noProof/>
          <w:sz w:val="24"/>
          <w:szCs w:val="24"/>
          <w:lang w:val="en-US"/>
        </w:rPr>
      </w:pPr>
      <w:r w:rsidRPr="00FF1F37">
        <w:rPr>
          <w:rFonts w:ascii="Arial" w:hAnsi="Arial" w:cs="Arial"/>
          <w:noProof/>
          <w:sz w:val="24"/>
          <w:szCs w:val="24"/>
          <w:lang w:val="en-US"/>
        </w:rPr>
        <w:t>11</w:t>
      </w:r>
      <w:r>
        <w:rPr>
          <w:rFonts w:ascii="Arial" w:hAnsi="Arial" w:cs="Arial"/>
          <w:noProof/>
          <w:sz w:val="24"/>
          <w:szCs w:val="24"/>
          <w:lang w:val="en-US"/>
        </w:rPr>
        <w:t>5</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Swiedler SJ, Beck M, Bajbouj M, Giugliani R, Schwartz I, Harmatz P, et al. Threshold effect of urinary glycosaminoglycans and the walk test as indicators of disease progression in a survey of subjects with mucopolysaccharidosis VI (Maroteaux – Lamy Syndrome). Am J Med Genet A. 2005;134A(2):144–50. DOI: </w:t>
      </w:r>
      <w:hyperlink r:id="rId61" w:history="1">
        <w:r w:rsidRPr="00FF1F37">
          <w:rPr>
            <w:rStyle w:val="Hyperlink"/>
            <w:rFonts w:ascii="Arial" w:hAnsi="Arial" w:cs="Arial"/>
            <w:color w:val="auto"/>
            <w:sz w:val="24"/>
            <w:szCs w:val="24"/>
            <w:u w:val="none"/>
            <w:shd w:val="clear" w:color="auto" w:fill="FFFFFF"/>
            <w:lang w:val="en-US"/>
          </w:rPr>
          <w:t>10.1002/ajmg.a.30579</w:t>
        </w:r>
      </w:hyperlink>
      <w:r w:rsidRPr="00FF1F37">
        <w:rPr>
          <w:rFonts w:ascii="Arial" w:hAnsi="Arial" w:cs="Arial"/>
          <w:sz w:val="24"/>
          <w:szCs w:val="24"/>
          <w:lang w:val="en-US"/>
        </w:rPr>
        <w:t>.</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2306F1" w:rsidRPr="00FF1F37" w:rsidRDefault="002306F1" w:rsidP="002306F1">
      <w:pPr>
        <w:widowControl w:val="0"/>
        <w:autoSpaceDE w:val="0"/>
        <w:autoSpaceDN w:val="0"/>
        <w:adjustRightInd w:val="0"/>
        <w:spacing w:after="0" w:line="240" w:lineRule="auto"/>
        <w:ind w:left="641" w:hanging="641"/>
        <w:rPr>
          <w:rFonts w:ascii="Arial" w:hAnsi="Arial" w:cs="Arial"/>
          <w:noProof/>
          <w:sz w:val="24"/>
          <w:szCs w:val="24"/>
          <w:lang w:val="en-US"/>
        </w:rPr>
      </w:pPr>
      <w:r>
        <w:rPr>
          <w:rFonts w:ascii="Arial" w:hAnsi="Arial" w:cs="Arial"/>
          <w:noProof/>
          <w:sz w:val="24"/>
          <w:szCs w:val="24"/>
          <w:lang w:val="en-US"/>
        </w:rPr>
        <w:t>116</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Hendriksz CJ, Lavery C, Coker M, Ucar SK, Jain M, Bell L, et al. Burden of disease in patients with Morquio A syndrome: results from an international patient-reported outcomes survey. Orphanet J Rare Dis. 2014;9(32):1–8. DOI: </w:t>
      </w:r>
      <w:hyperlink r:id="rId62" w:tgtFrame="pmc_ext" w:history="1">
        <w:r w:rsidRPr="00FF1F37">
          <w:rPr>
            <w:rStyle w:val="Hyperlink"/>
            <w:rFonts w:ascii="Arial" w:hAnsi="Arial" w:cs="Arial"/>
            <w:color w:val="auto"/>
            <w:sz w:val="24"/>
            <w:szCs w:val="24"/>
            <w:u w:val="none"/>
            <w:shd w:val="clear" w:color="auto" w:fill="FFFFFF"/>
            <w:lang w:val="en-US"/>
          </w:rPr>
          <w:t>10.1186/1750-1172-9-32</w:t>
        </w:r>
      </w:hyperlink>
      <w:r w:rsidRPr="00FF1F37">
        <w:rPr>
          <w:rFonts w:ascii="Arial" w:hAnsi="Arial" w:cs="Arial"/>
          <w:sz w:val="24"/>
          <w:szCs w:val="24"/>
          <w:lang w:val="en-US"/>
        </w:rPr>
        <w:t>.</w:t>
      </w:r>
    </w:p>
    <w:p w:rsidR="002306F1" w:rsidRPr="00FF1F37" w:rsidRDefault="002306F1" w:rsidP="002306F1">
      <w:pPr>
        <w:widowControl w:val="0"/>
        <w:autoSpaceDE w:val="0"/>
        <w:autoSpaceDN w:val="0"/>
        <w:adjustRightInd w:val="0"/>
        <w:spacing w:after="0" w:line="240" w:lineRule="auto"/>
        <w:ind w:left="640" w:hanging="640"/>
        <w:rPr>
          <w:rFonts w:ascii="Arial" w:hAnsi="Arial" w:cs="Arial"/>
          <w:noProof/>
          <w:sz w:val="24"/>
          <w:szCs w:val="24"/>
          <w:lang w:val="en-US"/>
        </w:rPr>
      </w:pPr>
    </w:p>
    <w:p w:rsidR="00D173BB" w:rsidRDefault="002306F1" w:rsidP="002306F1">
      <w:pPr>
        <w:widowControl w:val="0"/>
        <w:autoSpaceDE w:val="0"/>
        <w:autoSpaceDN w:val="0"/>
        <w:adjustRightInd w:val="0"/>
        <w:spacing w:after="0" w:line="240" w:lineRule="auto"/>
        <w:ind w:left="640" w:hanging="640"/>
        <w:rPr>
          <w:rFonts w:ascii="Arial" w:hAnsi="Arial" w:cs="Arial"/>
          <w:sz w:val="24"/>
        </w:rPr>
      </w:pPr>
      <w:r>
        <w:rPr>
          <w:rFonts w:ascii="Arial" w:hAnsi="Arial" w:cs="Arial"/>
          <w:noProof/>
          <w:sz w:val="24"/>
          <w:szCs w:val="24"/>
          <w:lang w:val="en-US"/>
        </w:rPr>
        <w:t>117</w:t>
      </w:r>
      <w:r w:rsidRPr="00FF1F37">
        <w:rPr>
          <w:rFonts w:ascii="Arial" w:hAnsi="Arial" w:cs="Arial"/>
          <w:noProof/>
          <w:sz w:val="24"/>
          <w:szCs w:val="24"/>
          <w:lang w:val="en-US"/>
        </w:rPr>
        <w:t xml:space="preserve">. </w:t>
      </w:r>
      <w:r w:rsidRPr="00FF1F37">
        <w:rPr>
          <w:rFonts w:ascii="Arial" w:hAnsi="Arial" w:cs="Arial"/>
          <w:noProof/>
          <w:sz w:val="24"/>
          <w:szCs w:val="24"/>
          <w:lang w:val="en-US"/>
        </w:rPr>
        <w:tab/>
        <w:t xml:space="preserve">Morishita K, Petty RE. Musculoskeletal manifestations of mucopolysaccharidoses. Rheumatology (Oxford). 2011;50(Suppl 5):19–25. </w:t>
      </w:r>
      <w:r>
        <w:rPr>
          <w:rFonts w:ascii="Arial" w:hAnsi="Arial" w:cs="Arial"/>
          <w:noProof/>
          <w:sz w:val="24"/>
          <w:szCs w:val="24"/>
        </w:rPr>
        <w:t xml:space="preserve">DOI: </w:t>
      </w:r>
      <w:hyperlink r:id="rId63" w:history="1">
        <w:r w:rsidRPr="00AB66A4">
          <w:rPr>
            <w:rStyle w:val="Hyperlink"/>
            <w:rFonts w:ascii="Arial" w:hAnsi="Arial" w:cs="Arial"/>
            <w:color w:val="auto"/>
            <w:sz w:val="24"/>
            <w:szCs w:val="24"/>
            <w:u w:val="none"/>
            <w:bdr w:val="none" w:sz="0" w:space="0" w:color="auto" w:frame="1"/>
            <w:shd w:val="clear" w:color="auto" w:fill="FFFFFF"/>
          </w:rPr>
          <w:t>10.1093/</w:t>
        </w:r>
        <w:proofErr w:type="spellStart"/>
        <w:r w:rsidRPr="00AB66A4">
          <w:rPr>
            <w:rStyle w:val="Hyperlink"/>
            <w:rFonts w:ascii="Arial" w:hAnsi="Arial" w:cs="Arial"/>
            <w:color w:val="auto"/>
            <w:sz w:val="24"/>
            <w:szCs w:val="24"/>
            <w:u w:val="none"/>
            <w:bdr w:val="none" w:sz="0" w:space="0" w:color="auto" w:frame="1"/>
            <w:shd w:val="clear" w:color="auto" w:fill="FFFFFF"/>
          </w:rPr>
          <w:t>rheumatology</w:t>
        </w:r>
        <w:proofErr w:type="spellEnd"/>
        <w:r w:rsidRPr="00AB66A4">
          <w:rPr>
            <w:rStyle w:val="Hyperlink"/>
            <w:rFonts w:ascii="Arial" w:hAnsi="Arial" w:cs="Arial"/>
            <w:color w:val="auto"/>
            <w:sz w:val="24"/>
            <w:szCs w:val="24"/>
            <w:u w:val="none"/>
            <w:bdr w:val="none" w:sz="0" w:space="0" w:color="auto" w:frame="1"/>
            <w:shd w:val="clear" w:color="auto" w:fill="FFFFFF"/>
          </w:rPr>
          <w:t>/ker397</w:t>
        </w:r>
      </w:hyperlink>
      <w:r>
        <w:rPr>
          <w:rFonts w:ascii="Arial" w:hAnsi="Arial" w:cs="Arial"/>
          <w:sz w:val="24"/>
          <w:szCs w:val="24"/>
        </w:rPr>
        <w:t>.</w:t>
      </w:r>
    </w:p>
    <w:p w:rsidR="00D173BB" w:rsidRDefault="00D173BB" w:rsidP="00711738">
      <w:pPr>
        <w:widowControl w:val="0"/>
        <w:autoSpaceDE w:val="0"/>
        <w:autoSpaceDN w:val="0"/>
        <w:adjustRightInd w:val="0"/>
        <w:spacing w:after="0" w:line="240" w:lineRule="auto"/>
        <w:ind w:left="641" w:hanging="641"/>
        <w:rPr>
          <w:rFonts w:ascii="Arial" w:hAnsi="Arial" w:cs="Arial"/>
          <w:sz w:val="24"/>
        </w:rPr>
      </w:pPr>
    </w:p>
    <w:p w:rsidR="00D173BB" w:rsidRDefault="00D173BB" w:rsidP="00711738">
      <w:pPr>
        <w:widowControl w:val="0"/>
        <w:autoSpaceDE w:val="0"/>
        <w:autoSpaceDN w:val="0"/>
        <w:adjustRightInd w:val="0"/>
        <w:spacing w:after="0" w:line="240" w:lineRule="auto"/>
        <w:ind w:left="641" w:hanging="641"/>
        <w:rPr>
          <w:rFonts w:ascii="Arial" w:hAnsi="Arial" w:cs="Arial"/>
          <w:sz w:val="24"/>
        </w:rPr>
      </w:pPr>
    </w:p>
    <w:p w:rsidR="00D173BB" w:rsidRDefault="00D173BB" w:rsidP="00711738">
      <w:pPr>
        <w:widowControl w:val="0"/>
        <w:autoSpaceDE w:val="0"/>
        <w:autoSpaceDN w:val="0"/>
        <w:adjustRightInd w:val="0"/>
        <w:spacing w:after="0" w:line="240" w:lineRule="auto"/>
        <w:ind w:left="641" w:hanging="641"/>
        <w:rPr>
          <w:rFonts w:ascii="Arial" w:hAnsi="Arial" w:cs="Arial"/>
          <w:sz w:val="24"/>
        </w:rPr>
      </w:pPr>
    </w:p>
    <w:p w:rsidR="002648B4" w:rsidRDefault="002648B4" w:rsidP="00711738">
      <w:pPr>
        <w:widowControl w:val="0"/>
        <w:autoSpaceDE w:val="0"/>
        <w:autoSpaceDN w:val="0"/>
        <w:adjustRightInd w:val="0"/>
        <w:spacing w:after="0" w:line="240" w:lineRule="auto"/>
        <w:ind w:left="641" w:hanging="641"/>
        <w:rPr>
          <w:rFonts w:ascii="Arial" w:hAnsi="Arial" w:cs="Arial"/>
          <w:sz w:val="24"/>
        </w:rPr>
      </w:pPr>
    </w:p>
    <w:p w:rsidR="002648B4" w:rsidRDefault="002648B4" w:rsidP="00711738">
      <w:pPr>
        <w:widowControl w:val="0"/>
        <w:autoSpaceDE w:val="0"/>
        <w:autoSpaceDN w:val="0"/>
        <w:adjustRightInd w:val="0"/>
        <w:spacing w:after="0" w:line="240" w:lineRule="auto"/>
        <w:ind w:left="641" w:hanging="641"/>
        <w:rPr>
          <w:rFonts w:ascii="Arial" w:hAnsi="Arial" w:cs="Arial"/>
          <w:sz w:val="24"/>
        </w:rPr>
      </w:pPr>
    </w:p>
    <w:p w:rsidR="002648B4" w:rsidRDefault="002648B4" w:rsidP="00711738">
      <w:pPr>
        <w:widowControl w:val="0"/>
        <w:autoSpaceDE w:val="0"/>
        <w:autoSpaceDN w:val="0"/>
        <w:adjustRightInd w:val="0"/>
        <w:spacing w:after="0" w:line="240" w:lineRule="auto"/>
        <w:ind w:left="641" w:hanging="641"/>
        <w:rPr>
          <w:rFonts w:ascii="Arial" w:hAnsi="Arial" w:cs="Arial"/>
          <w:sz w:val="24"/>
        </w:rPr>
      </w:pPr>
    </w:p>
    <w:p w:rsidR="00D173BB" w:rsidRDefault="00D173BB" w:rsidP="00711738">
      <w:pPr>
        <w:widowControl w:val="0"/>
        <w:autoSpaceDE w:val="0"/>
        <w:autoSpaceDN w:val="0"/>
        <w:adjustRightInd w:val="0"/>
        <w:spacing w:after="0" w:line="240" w:lineRule="auto"/>
        <w:ind w:left="641" w:hanging="641"/>
        <w:rPr>
          <w:rFonts w:ascii="Arial" w:hAnsi="Arial" w:cs="Arial"/>
          <w:sz w:val="24"/>
        </w:rPr>
      </w:pPr>
    </w:p>
    <w:p w:rsidR="00D173BB" w:rsidRDefault="00D173BB" w:rsidP="00711738">
      <w:pPr>
        <w:widowControl w:val="0"/>
        <w:autoSpaceDE w:val="0"/>
        <w:autoSpaceDN w:val="0"/>
        <w:adjustRightInd w:val="0"/>
        <w:spacing w:after="0" w:line="360" w:lineRule="auto"/>
        <w:ind w:left="640" w:hanging="640"/>
        <w:rPr>
          <w:rFonts w:ascii="Arial" w:hAnsi="Arial" w:cs="Arial"/>
          <w:sz w:val="24"/>
        </w:rPr>
      </w:pPr>
    </w:p>
    <w:p w:rsidR="00D173BB" w:rsidRDefault="00D173BB" w:rsidP="0022139F">
      <w:pPr>
        <w:widowControl w:val="0"/>
        <w:autoSpaceDE w:val="0"/>
        <w:autoSpaceDN w:val="0"/>
        <w:adjustRightInd w:val="0"/>
        <w:spacing w:after="0" w:line="360" w:lineRule="auto"/>
        <w:ind w:left="640" w:hanging="640"/>
        <w:rPr>
          <w:rFonts w:ascii="Arial" w:hAnsi="Arial" w:cs="Arial"/>
          <w:sz w:val="24"/>
        </w:rPr>
      </w:pPr>
    </w:p>
    <w:p w:rsidR="00D173BB" w:rsidRDefault="00D173BB" w:rsidP="0022139F">
      <w:pPr>
        <w:widowControl w:val="0"/>
        <w:autoSpaceDE w:val="0"/>
        <w:autoSpaceDN w:val="0"/>
        <w:adjustRightInd w:val="0"/>
        <w:spacing w:after="0" w:line="360" w:lineRule="auto"/>
        <w:ind w:left="640" w:hanging="640"/>
        <w:rPr>
          <w:rFonts w:ascii="Arial" w:hAnsi="Arial" w:cs="Arial"/>
          <w:sz w:val="24"/>
        </w:rPr>
      </w:pPr>
    </w:p>
    <w:p w:rsidR="00D173BB" w:rsidRDefault="00D173BB" w:rsidP="0022139F">
      <w:pPr>
        <w:widowControl w:val="0"/>
        <w:autoSpaceDE w:val="0"/>
        <w:autoSpaceDN w:val="0"/>
        <w:adjustRightInd w:val="0"/>
        <w:spacing w:after="0" w:line="360" w:lineRule="auto"/>
        <w:ind w:left="640" w:hanging="640"/>
        <w:rPr>
          <w:rFonts w:ascii="Arial" w:hAnsi="Arial" w:cs="Arial"/>
          <w:sz w:val="24"/>
        </w:rPr>
      </w:pPr>
    </w:p>
    <w:p w:rsidR="00D173BB" w:rsidRDefault="00D173BB" w:rsidP="0022139F">
      <w:pPr>
        <w:widowControl w:val="0"/>
        <w:autoSpaceDE w:val="0"/>
        <w:autoSpaceDN w:val="0"/>
        <w:adjustRightInd w:val="0"/>
        <w:spacing w:after="0" w:line="360" w:lineRule="auto"/>
        <w:ind w:left="640" w:hanging="640"/>
        <w:rPr>
          <w:rFonts w:ascii="Arial" w:hAnsi="Arial" w:cs="Arial"/>
          <w:sz w:val="24"/>
        </w:rPr>
      </w:pPr>
    </w:p>
    <w:p w:rsidR="00D173BB" w:rsidRDefault="00D173BB" w:rsidP="0022139F">
      <w:pPr>
        <w:widowControl w:val="0"/>
        <w:autoSpaceDE w:val="0"/>
        <w:autoSpaceDN w:val="0"/>
        <w:adjustRightInd w:val="0"/>
        <w:spacing w:after="0" w:line="360" w:lineRule="auto"/>
        <w:ind w:left="640" w:hanging="640"/>
        <w:rPr>
          <w:rFonts w:ascii="Arial" w:hAnsi="Arial" w:cs="Arial"/>
          <w:sz w:val="24"/>
        </w:rPr>
      </w:pPr>
    </w:p>
    <w:p w:rsidR="00D173BB" w:rsidRDefault="00D173BB" w:rsidP="0022139F">
      <w:pPr>
        <w:widowControl w:val="0"/>
        <w:autoSpaceDE w:val="0"/>
        <w:autoSpaceDN w:val="0"/>
        <w:adjustRightInd w:val="0"/>
        <w:spacing w:after="0" w:line="360" w:lineRule="auto"/>
        <w:ind w:left="640" w:hanging="640"/>
        <w:rPr>
          <w:rFonts w:ascii="Arial" w:hAnsi="Arial" w:cs="Arial"/>
          <w:sz w:val="24"/>
        </w:rPr>
      </w:pPr>
    </w:p>
    <w:p w:rsidR="007750E0" w:rsidRDefault="007750E0" w:rsidP="0022139F">
      <w:pPr>
        <w:widowControl w:val="0"/>
        <w:autoSpaceDE w:val="0"/>
        <w:autoSpaceDN w:val="0"/>
        <w:adjustRightInd w:val="0"/>
        <w:spacing w:after="0" w:line="360" w:lineRule="auto"/>
        <w:ind w:left="640" w:hanging="640"/>
        <w:rPr>
          <w:rFonts w:ascii="Arial" w:hAnsi="Arial" w:cs="Arial"/>
          <w:sz w:val="24"/>
        </w:rPr>
      </w:pPr>
    </w:p>
    <w:p w:rsidR="007750E0" w:rsidRDefault="007750E0" w:rsidP="0022139F">
      <w:pPr>
        <w:widowControl w:val="0"/>
        <w:autoSpaceDE w:val="0"/>
        <w:autoSpaceDN w:val="0"/>
        <w:adjustRightInd w:val="0"/>
        <w:spacing w:after="0" w:line="360" w:lineRule="auto"/>
        <w:ind w:left="640" w:hanging="640"/>
        <w:rPr>
          <w:rFonts w:ascii="Arial" w:hAnsi="Arial" w:cs="Arial"/>
          <w:sz w:val="24"/>
        </w:rPr>
      </w:pPr>
    </w:p>
    <w:p w:rsidR="007750E0" w:rsidRDefault="007750E0" w:rsidP="0022139F">
      <w:pPr>
        <w:widowControl w:val="0"/>
        <w:autoSpaceDE w:val="0"/>
        <w:autoSpaceDN w:val="0"/>
        <w:adjustRightInd w:val="0"/>
        <w:spacing w:after="0" w:line="360" w:lineRule="auto"/>
        <w:ind w:left="640" w:hanging="640"/>
        <w:rPr>
          <w:rFonts w:ascii="Arial" w:hAnsi="Arial" w:cs="Arial"/>
          <w:sz w:val="24"/>
        </w:rPr>
      </w:pPr>
    </w:p>
    <w:p w:rsidR="007750E0" w:rsidRDefault="007750E0" w:rsidP="0022139F">
      <w:pPr>
        <w:widowControl w:val="0"/>
        <w:autoSpaceDE w:val="0"/>
        <w:autoSpaceDN w:val="0"/>
        <w:adjustRightInd w:val="0"/>
        <w:spacing w:after="0" w:line="360" w:lineRule="auto"/>
        <w:ind w:left="640" w:hanging="640"/>
        <w:rPr>
          <w:rFonts w:ascii="Arial" w:hAnsi="Arial" w:cs="Arial"/>
          <w:sz w:val="24"/>
        </w:rPr>
      </w:pPr>
    </w:p>
    <w:p w:rsidR="007750E0" w:rsidRDefault="007750E0" w:rsidP="0022139F">
      <w:pPr>
        <w:widowControl w:val="0"/>
        <w:autoSpaceDE w:val="0"/>
        <w:autoSpaceDN w:val="0"/>
        <w:adjustRightInd w:val="0"/>
        <w:spacing w:after="0" w:line="360" w:lineRule="auto"/>
        <w:ind w:left="640" w:hanging="640"/>
        <w:rPr>
          <w:rFonts w:ascii="Arial" w:hAnsi="Arial" w:cs="Arial"/>
          <w:sz w:val="24"/>
        </w:rPr>
      </w:pPr>
    </w:p>
    <w:p w:rsidR="007750E0" w:rsidRDefault="007750E0" w:rsidP="0022139F">
      <w:pPr>
        <w:widowControl w:val="0"/>
        <w:autoSpaceDE w:val="0"/>
        <w:autoSpaceDN w:val="0"/>
        <w:adjustRightInd w:val="0"/>
        <w:spacing w:after="0" w:line="360" w:lineRule="auto"/>
        <w:ind w:left="640" w:hanging="640"/>
        <w:rPr>
          <w:rFonts w:ascii="Arial" w:hAnsi="Arial" w:cs="Arial"/>
          <w:sz w:val="24"/>
        </w:rPr>
      </w:pPr>
    </w:p>
    <w:p w:rsidR="002306F1" w:rsidRDefault="002306F1" w:rsidP="0022139F">
      <w:pPr>
        <w:widowControl w:val="0"/>
        <w:autoSpaceDE w:val="0"/>
        <w:autoSpaceDN w:val="0"/>
        <w:adjustRightInd w:val="0"/>
        <w:spacing w:after="0" w:line="360" w:lineRule="auto"/>
        <w:ind w:left="640" w:hanging="640"/>
        <w:rPr>
          <w:rFonts w:ascii="Arial" w:hAnsi="Arial" w:cs="Arial"/>
          <w:sz w:val="24"/>
        </w:rPr>
      </w:pPr>
    </w:p>
    <w:p w:rsidR="008C641A" w:rsidRDefault="00D173BB" w:rsidP="00837042">
      <w:pPr>
        <w:widowControl w:val="0"/>
        <w:autoSpaceDE w:val="0"/>
        <w:autoSpaceDN w:val="0"/>
        <w:adjustRightInd w:val="0"/>
        <w:spacing w:after="0" w:line="360" w:lineRule="auto"/>
        <w:jc w:val="center"/>
        <w:rPr>
          <w:rFonts w:ascii="Arial" w:hAnsi="Arial" w:cs="Arial"/>
          <w:b/>
          <w:sz w:val="24"/>
        </w:rPr>
      </w:pPr>
      <w:bookmarkStart w:id="79" w:name="_Toc496749623"/>
      <w:r w:rsidRPr="00582961">
        <w:rPr>
          <w:rStyle w:val="Ttulo3Char"/>
        </w:rPr>
        <w:lastRenderedPageBreak/>
        <w:t>APÊNDICE</w:t>
      </w:r>
      <w:bookmarkEnd w:id="79"/>
    </w:p>
    <w:p w:rsidR="008C641A" w:rsidRPr="008C641A" w:rsidRDefault="008C641A" w:rsidP="008C641A">
      <w:pPr>
        <w:widowControl w:val="0"/>
        <w:autoSpaceDE w:val="0"/>
        <w:autoSpaceDN w:val="0"/>
        <w:adjustRightInd w:val="0"/>
        <w:spacing w:after="0" w:line="360" w:lineRule="auto"/>
        <w:ind w:left="641" w:hanging="641"/>
        <w:jc w:val="both"/>
        <w:rPr>
          <w:rFonts w:ascii="Arial" w:hAnsi="Arial" w:cs="Arial"/>
          <w:sz w:val="24"/>
        </w:rPr>
      </w:pPr>
    </w:p>
    <w:p w:rsidR="00D173BB" w:rsidRDefault="008C641A" w:rsidP="00837042">
      <w:pPr>
        <w:widowControl w:val="0"/>
        <w:autoSpaceDE w:val="0"/>
        <w:autoSpaceDN w:val="0"/>
        <w:adjustRightInd w:val="0"/>
        <w:spacing w:after="0" w:line="360" w:lineRule="auto"/>
        <w:jc w:val="both"/>
        <w:rPr>
          <w:rFonts w:ascii="Arial" w:hAnsi="Arial" w:cs="Arial"/>
          <w:b/>
          <w:sz w:val="24"/>
        </w:rPr>
      </w:pPr>
      <w:r>
        <w:rPr>
          <w:rFonts w:ascii="Arial" w:hAnsi="Arial" w:cs="Arial"/>
          <w:b/>
          <w:sz w:val="24"/>
        </w:rPr>
        <w:t xml:space="preserve">APÊNDICE </w:t>
      </w:r>
      <w:r w:rsidR="00D173BB" w:rsidRPr="00582961">
        <w:rPr>
          <w:rFonts w:ascii="Arial" w:hAnsi="Arial" w:cs="Arial"/>
          <w:b/>
          <w:sz w:val="24"/>
        </w:rPr>
        <w:t>A</w:t>
      </w:r>
      <w:r w:rsidR="00D173BB" w:rsidRPr="00D173BB">
        <w:rPr>
          <w:rFonts w:ascii="Arial" w:hAnsi="Arial" w:cs="Arial"/>
          <w:b/>
          <w:sz w:val="24"/>
        </w:rPr>
        <w:t xml:space="preserve"> </w:t>
      </w:r>
      <w:r w:rsidR="00D173BB">
        <w:rPr>
          <w:rFonts w:ascii="Arial" w:hAnsi="Arial" w:cs="Arial"/>
          <w:b/>
          <w:sz w:val="24"/>
        </w:rPr>
        <w:t xml:space="preserve">– </w:t>
      </w:r>
      <w:r w:rsidR="00811021">
        <w:rPr>
          <w:rFonts w:ascii="Arial" w:hAnsi="Arial" w:cs="Arial"/>
          <w:b/>
          <w:sz w:val="24"/>
        </w:rPr>
        <w:t>FORMULÁRIO PARA CARACTERIZAÇÃO DA AMOSTRA</w:t>
      </w: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CD01CC" w:rsidP="00837042">
      <w:pPr>
        <w:widowControl w:val="0"/>
        <w:autoSpaceDE w:val="0"/>
        <w:autoSpaceDN w:val="0"/>
        <w:adjustRightInd w:val="0"/>
        <w:spacing w:after="0" w:line="360" w:lineRule="auto"/>
        <w:jc w:val="both"/>
        <w:rPr>
          <w:rFonts w:ascii="Arial" w:hAnsi="Arial" w:cs="Arial"/>
          <w:sz w:val="24"/>
        </w:rPr>
      </w:pPr>
      <w:r w:rsidRPr="00AE5BED">
        <w:rPr>
          <w:rFonts w:ascii="Arial" w:hAnsi="Arial" w:cs="Arial"/>
          <w:noProof/>
          <w:sz w:val="24"/>
          <w:lang w:eastAsia="pt-BR"/>
        </w:rPr>
        <mc:AlternateContent>
          <mc:Choice Requires="wps">
            <w:drawing>
              <wp:anchor distT="0" distB="0" distL="114300" distR="114300" simplePos="0" relativeHeight="251768832" behindDoc="0" locked="0" layoutInCell="1" allowOverlap="1" wp14:anchorId="5738DCAC" wp14:editId="3B7692C5">
                <wp:simplePos x="0" y="0"/>
                <wp:positionH relativeFrom="column">
                  <wp:posOffset>153242</wp:posOffset>
                </wp:positionH>
                <wp:positionV relativeFrom="paragraph">
                  <wp:posOffset>101142</wp:posOffset>
                </wp:positionV>
                <wp:extent cx="5294438" cy="7336465"/>
                <wp:effectExtent l="0" t="0" r="20955" b="17145"/>
                <wp:wrapNone/>
                <wp:docPr id="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438" cy="7336465"/>
                        </a:xfrm>
                        <a:prstGeom prst="rect">
                          <a:avLst/>
                        </a:prstGeom>
                        <a:solidFill>
                          <a:srgbClr val="FFFFFF"/>
                        </a:solidFill>
                        <a:ln w="9525">
                          <a:solidFill>
                            <a:srgbClr val="000000"/>
                          </a:solidFill>
                          <a:miter lim="800000"/>
                          <a:headEnd/>
                          <a:tailEnd/>
                        </a:ln>
                      </wps:spPr>
                      <wps:txbx>
                        <w:txbxContent>
                          <w:p w:rsidR="00B421DD" w:rsidRDefault="00B421DD" w:rsidP="00CD01CC">
                            <w:pPr>
                              <w:spacing w:after="0" w:line="360" w:lineRule="auto"/>
                              <w:jc w:val="both"/>
                              <w:rPr>
                                <w:rFonts w:ascii="Arial" w:hAnsi="Arial" w:cs="Arial"/>
                                <w:b/>
                                <w:sz w:val="24"/>
                              </w:rPr>
                            </w:pPr>
                          </w:p>
                          <w:p w:rsidR="00B421DD" w:rsidRDefault="00B421DD" w:rsidP="00C45895">
                            <w:pPr>
                              <w:spacing w:after="0" w:line="360" w:lineRule="auto"/>
                              <w:jc w:val="center"/>
                              <w:rPr>
                                <w:rFonts w:ascii="Arial" w:hAnsi="Arial" w:cs="Arial"/>
                                <w:b/>
                                <w:sz w:val="24"/>
                              </w:rPr>
                            </w:pPr>
                            <w:r>
                              <w:rPr>
                                <w:rFonts w:ascii="Arial" w:hAnsi="Arial" w:cs="Arial"/>
                                <w:b/>
                                <w:sz w:val="24"/>
                              </w:rPr>
                              <w:t>FORMULÁRIO PARA CARACTERIZAÇÃO DA AMOSTRA</w:t>
                            </w:r>
                          </w:p>
                          <w:p w:rsidR="00B421DD" w:rsidRDefault="00B421DD" w:rsidP="00CD01CC">
                            <w:pPr>
                              <w:spacing w:after="0" w:line="360" w:lineRule="auto"/>
                              <w:jc w:val="both"/>
                              <w:rPr>
                                <w:rFonts w:ascii="Arial" w:hAnsi="Arial" w:cs="Arial"/>
                                <w:b/>
                                <w:sz w:val="24"/>
                              </w:rPr>
                            </w:pPr>
                          </w:p>
                          <w:p w:rsidR="00B421DD" w:rsidRPr="00AE5BED" w:rsidRDefault="00B421DD" w:rsidP="00CD01CC">
                            <w:pPr>
                              <w:spacing w:after="0" w:line="360" w:lineRule="auto"/>
                              <w:jc w:val="both"/>
                              <w:rPr>
                                <w:rFonts w:ascii="Arial" w:hAnsi="Arial" w:cs="Arial"/>
                                <w:sz w:val="24"/>
                              </w:rPr>
                            </w:pPr>
                            <w:r w:rsidRPr="00AE5BED">
                              <w:rPr>
                                <w:rFonts w:ascii="Arial" w:hAnsi="Arial" w:cs="Arial"/>
                                <w:b/>
                                <w:sz w:val="24"/>
                              </w:rPr>
                              <w:t>Nº. de identificação:</w:t>
                            </w:r>
                            <w:r w:rsidRPr="00AE5BED">
                              <w:rPr>
                                <w:rFonts w:ascii="Arial" w:hAnsi="Arial" w:cs="Arial"/>
                                <w:sz w:val="24"/>
                              </w:rPr>
                              <w:t xml:space="preserve"> ________________</w:t>
                            </w:r>
                          </w:p>
                          <w:p w:rsidR="00B421DD" w:rsidRPr="00AE5BED" w:rsidRDefault="00B421DD" w:rsidP="00CD01CC">
                            <w:pPr>
                              <w:spacing w:after="0" w:line="360" w:lineRule="auto"/>
                              <w:jc w:val="both"/>
                              <w:rPr>
                                <w:rFonts w:ascii="Arial" w:hAnsi="Arial" w:cs="Arial"/>
                                <w:sz w:val="24"/>
                              </w:rPr>
                            </w:pPr>
                          </w:p>
                          <w:p w:rsidR="00B421DD" w:rsidRDefault="00B421DD" w:rsidP="00CD01CC">
                            <w:pPr>
                              <w:spacing w:after="0" w:line="360" w:lineRule="auto"/>
                              <w:jc w:val="both"/>
                              <w:rPr>
                                <w:rFonts w:ascii="Arial" w:hAnsi="Arial" w:cs="Arial"/>
                                <w:b/>
                                <w:sz w:val="24"/>
                              </w:rPr>
                            </w:pPr>
                            <w:r w:rsidRPr="00AE5BED">
                              <w:rPr>
                                <w:rFonts w:ascii="Arial" w:hAnsi="Arial" w:cs="Arial"/>
                                <w:b/>
                                <w:sz w:val="24"/>
                              </w:rPr>
                              <w:t>Sexo:</w:t>
                            </w:r>
                          </w:p>
                          <w:p w:rsidR="00B421DD" w:rsidRPr="00AF747B" w:rsidRDefault="00B421DD" w:rsidP="00CD01CC">
                            <w:pPr>
                              <w:spacing w:after="0" w:line="360" w:lineRule="auto"/>
                              <w:jc w:val="both"/>
                              <w:rPr>
                                <w:rFonts w:ascii="Arial" w:hAnsi="Arial" w:cs="Arial"/>
                                <w:sz w:val="24"/>
                              </w:rPr>
                            </w:pPr>
                          </w:p>
                          <w:p w:rsidR="00B421DD" w:rsidRPr="00AE5BED" w:rsidRDefault="00B421DD" w:rsidP="00CD01CC">
                            <w:pPr>
                              <w:spacing w:after="0" w:line="360" w:lineRule="auto"/>
                              <w:jc w:val="both"/>
                              <w:rPr>
                                <w:rFonts w:ascii="Arial" w:hAnsi="Arial" w:cs="Arial"/>
                                <w:sz w:val="24"/>
                              </w:rPr>
                            </w:pPr>
                            <w:r w:rsidRPr="00AE5BED">
                              <w:rPr>
                                <w:rFonts w:ascii="Arial" w:hAnsi="Arial" w:cs="Arial"/>
                                <w:sz w:val="24"/>
                              </w:rPr>
                              <w:t>(      ) Feminino</w:t>
                            </w:r>
                          </w:p>
                          <w:p w:rsidR="00B421DD" w:rsidRPr="00AE5BED" w:rsidRDefault="00B421DD" w:rsidP="00CD01CC">
                            <w:pPr>
                              <w:spacing w:after="0" w:line="360" w:lineRule="auto"/>
                              <w:jc w:val="both"/>
                              <w:rPr>
                                <w:rFonts w:ascii="Arial" w:hAnsi="Arial" w:cs="Arial"/>
                                <w:sz w:val="24"/>
                              </w:rPr>
                            </w:pPr>
                            <w:r w:rsidRPr="00AE5BED">
                              <w:rPr>
                                <w:rFonts w:ascii="Arial" w:hAnsi="Arial" w:cs="Arial"/>
                                <w:sz w:val="24"/>
                              </w:rPr>
                              <w:t xml:space="preserve">(    </w:t>
                            </w:r>
                            <w:r>
                              <w:rPr>
                                <w:rFonts w:ascii="Arial" w:hAnsi="Arial" w:cs="Arial"/>
                                <w:sz w:val="24"/>
                              </w:rPr>
                              <w:t xml:space="preserve"> </w:t>
                            </w:r>
                            <w:r w:rsidRPr="00AE5BED">
                              <w:rPr>
                                <w:rFonts w:ascii="Arial" w:hAnsi="Arial" w:cs="Arial"/>
                                <w:sz w:val="24"/>
                              </w:rPr>
                              <w:t xml:space="preserve"> ) Masculino</w:t>
                            </w:r>
                          </w:p>
                          <w:p w:rsidR="00B421DD" w:rsidRDefault="00B421DD" w:rsidP="00CD01CC">
                            <w:pPr>
                              <w:spacing w:after="0" w:line="360" w:lineRule="auto"/>
                              <w:jc w:val="both"/>
                              <w:rPr>
                                <w:rFonts w:ascii="Arial" w:hAnsi="Arial" w:cs="Arial"/>
                                <w:b/>
                                <w:sz w:val="24"/>
                              </w:rPr>
                            </w:pPr>
                          </w:p>
                          <w:p w:rsidR="00B421DD" w:rsidRPr="00AE5BED" w:rsidRDefault="00B421DD" w:rsidP="00CD01CC">
                            <w:pPr>
                              <w:spacing w:after="0" w:line="360" w:lineRule="auto"/>
                              <w:jc w:val="both"/>
                              <w:rPr>
                                <w:rFonts w:ascii="Arial" w:hAnsi="Arial" w:cs="Arial"/>
                                <w:sz w:val="24"/>
                              </w:rPr>
                            </w:pPr>
                            <w:r w:rsidRPr="00AE5BED">
                              <w:rPr>
                                <w:rFonts w:ascii="Arial" w:hAnsi="Arial" w:cs="Arial"/>
                                <w:b/>
                                <w:sz w:val="24"/>
                              </w:rPr>
                              <w:t>Idade (em anos):</w:t>
                            </w:r>
                            <w:r w:rsidRPr="00AE5BED">
                              <w:rPr>
                                <w:rFonts w:ascii="Arial" w:hAnsi="Arial" w:cs="Arial"/>
                                <w:sz w:val="24"/>
                              </w:rPr>
                              <w:t xml:space="preserve"> __________</w:t>
                            </w:r>
                          </w:p>
                          <w:p w:rsidR="00B421DD" w:rsidRDefault="00B421DD" w:rsidP="00CD01CC">
                            <w:pPr>
                              <w:spacing w:after="0" w:line="360" w:lineRule="auto"/>
                              <w:jc w:val="both"/>
                              <w:rPr>
                                <w:rFonts w:ascii="Arial" w:hAnsi="Arial" w:cs="Arial"/>
                                <w:sz w:val="24"/>
                              </w:rPr>
                            </w:pPr>
                          </w:p>
                          <w:tbl>
                            <w:tblPr>
                              <w:tblStyle w:val="Tabelacomgrade"/>
                              <w:tblW w:w="2551"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876"/>
                            </w:tblGrid>
                            <w:tr w:rsidR="00B421DD" w:rsidTr="00C45895">
                              <w:tc>
                                <w:tcPr>
                                  <w:tcW w:w="675" w:type="dxa"/>
                                </w:tcPr>
                                <w:p w:rsidR="00B421DD" w:rsidRDefault="00B421DD" w:rsidP="00C45895">
                                  <w:pPr>
                                    <w:spacing w:line="360" w:lineRule="auto"/>
                                    <w:jc w:val="center"/>
                                    <w:rPr>
                                      <w:rFonts w:ascii="Arial" w:hAnsi="Arial" w:cs="Arial"/>
                                      <w:sz w:val="24"/>
                                    </w:rPr>
                                  </w:pPr>
                                  <w:r>
                                    <w:rPr>
                                      <w:rFonts w:ascii="Arial" w:hAnsi="Arial" w:cs="Arial"/>
                                      <w:sz w:val="24"/>
                                    </w:rPr>
                                    <w:t>(    )</w:t>
                                  </w:r>
                                </w:p>
                              </w:tc>
                              <w:tc>
                                <w:tcPr>
                                  <w:tcW w:w="1876" w:type="dxa"/>
                                </w:tcPr>
                                <w:p w:rsidR="00B421DD" w:rsidRDefault="00B421DD" w:rsidP="00B2760C">
                                  <w:pPr>
                                    <w:spacing w:line="360" w:lineRule="auto"/>
                                    <w:jc w:val="both"/>
                                    <w:rPr>
                                      <w:rFonts w:ascii="Arial" w:hAnsi="Arial" w:cs="Arial"/>
                                      <w:sz w:val="24"/>
                                    </w:rPr>
                                  </w:pPr>
                                  <w:r>
                                    <w:rPr>
                                      <w:rFonts w:ascii="Arial" w:hAnsi="Arial" w:cs="Arial"/>
                                      <w:sz w:val="24"/>
                                    </w:rPr>
                                    <w:t>2 a 4 anos</w:t>
                                  </w:r>
                                </w:p>
                              </w:tc>
                            </w:tr>
                            <w:tr w:rsidR="00B421DD" w:rsidTr="00C45895">
                              <w:tc>
                                <w:tcPr>
                                  <w:tcW w:w="675" w:type="dxa"/>
                                </w:tcPr>
                                <w:p w:rsidR="00B421DD" w:rsidRDefault="00B421DD" w:rsidP="00C45895">
                                  <w:pPr>
                                    <w:spacing w:line="360" w:lineRule="auto"/>
                                    <w:jc w:val="center"/>
                                    <w:rPr>
                                      <w:rFonts w:ascii="Arial" w:hAnsi="Arial" w:cs="Arial"/>
                                      <w:sz w:val="24"/>
                                    </w:rPr>
                                  </w:pPr>
                                  <w:r>
                                    <w:rPr>
                                      <w:rFonts w:ascii="Arial" w:hAnsi="Arial" w:cs="Arial"/>
                                      <w:sz w:val="24"/>
                                    </w:rPr>
                                    <w:t>(    )</w:t>
                                  </w:r>
                                </w:p>
                              </w:tc>
                              <w:tc>
                                <w:tcPr>
                                  <w:tcW w:w="1876" w:type="dxa"/>
                                </w:tcPr>
                                <w:p w:rsidR="00B421DD" w:rsidRDefault="00B421DD" w:rsidP="00B2760C">
                                  <w:pPr>
                                    <w:spacing w:line="360" w:lineRule="auto"/>
                                    <w:jc w:val="both"/>
                                    <w:rPr>
                                      <w:rFonts w:ascii="Arial" w:hAnsi="Arial" w:cs="Arial"/>
                                      <w:sz w:val="24"/>
                                    </w:rPr>
                                  </w:pPr>
                                  <w:r>
                                    <w:rPr>
                                      <w:rFonts w:ascii="Arial" w:hAnsi="Arial" w:cs="Arial"/>
                                      <w:sz w:val="24"/>
                                    </w:rPr>
                                    <w:t>5 a 7 anos</w:t>
                                  </w:r>
                                </w:p>
                              </w:tc>
                            </w:tr>
                            <w:tr w:rsidR="00B421DD" w:rsidTr="00C45895">
                              <w:tc>
                                <w:tcPr>
                                  <w:tcW w:w="675" w:type="dxa"/>
                                </w:tcPr>
                                <w:p w:rsidR="00B421DD" w:rsidRDefault="00B421DD" w:rsidP="00C45895">
                                  <w:pPr>
                                    <w:spacing w:line="360" w:lineRule="auto"/>
                                    <w:jc w:val="center"/>
                                    <w:rPr>
                                      <w:rFonts w:ascii="Arial" w:hAnsi="Arial" w:cs="Arial"/>
                                      <w:sz w:val="24"/>
                                    </w:rPr>
                                  </w:pPr>
                                  <w:r>
                                    <w:rPr>
                                      <w:rFonts w:ascii="Arial" w:hAnsi="Arial" w:cs="Arial"/>
                                      <w:sz w:val="24"/>
                                    </w:rPr>
                                    <w:t>(    )</w:t>
                                  </w:r>
                                </w:p>
                              </w:tc>
                              <w:tc>
                                <w:tcPr>
                                  <w:tcW w:w="1876" w:type="dxa"/>
                                </w:tcPr>
                                <w:p w:rsidR="00B421DD" w:rsidRDefault="00B421DD" w:rsidP="00B2760C">
                                  <w:pPr>
                                    <w:spacing w:line="360" w:lineRule="auto"/>
                                    <w:jc w:val="both"/>
                                    <w:rPr>
                                      <w:rFonts w:ascii="Arial" w:hAnsi="Arial" w:cs="Arial"/>
                                      <w:sz w:val="24"/>
                                    </w:rPr>
                                  </w:pPr>
                                  <w:r>
                                    <w:rPr>
                                      <w:rFonts w:ascii="Arial" w:hAnsi="Arial" w:cs="Arial"/>
                                      <w:sz w:val="24"/>
                                    </w:rPr>
                                    <w:t>8 a 12 anos</w:t>
                                  </w:r>
                                </w:p>
                              </w:tc>
                            </w:tr>
                            <w:tr w:rsidR="00B421DD" w:rsidTr="00C45895">
                              <w:tc>
                                <w:tcPr>
                                  <w:tcW w:w="675" w:type="dxa"/>
                                </w:tcPr>
                                <w:p w:rsidR="00B421DD" w:rsidRDefault="00B421DD" w:rsidP="00C45895">
                                  <w:pPr>
                                    <w:spacing w:line="360" w:lineRule="auto"/>
                                    <w:jc w:val="center"/>
                                    <w:rPr>
                                      <w:rFonts w:ascii="Arial" w:hAnsi="Arial" w:cs="Arial"/>
                                      <w:sz w:val="24"/>
                                    </w:rPr>
                                  </w:pPr>
                                  <w:r>
                                    <w:rPr>
                                      <w:rFonts w:ascii="Arial" w:hAnsi="Arial" w:cs="Arial"/>
                                      <w:sz w:val="24"/>
                                    </w:rPr>
                                    <w:t>(    )</w:t>
                                  </w:r>
                                </w:p>
                              </w:tc>
                              <w:tc>
                                <w:tcPr>
                                  <w:tcW w:w="1876" w:type="dxa"/>
                                </w:tcPr>
                                <w:p w:rsidR="00B421DD" w:rsidRDefault="00B421DD" w:rsidP="00B2760C">
                                  <w:pPr>
                                    <w:spacing w:line="360" w:lineRule="auto"/>
                                    <w:jc w:val="both"/>
                                    <w:rPr>
                                      <w:rFonts w:ascii="Arial" w:hAnsi="Arial" w:cs="Arial"/>
                                      <w:sz w:val="24"/>
                                    </w:rPr>
                                  </w:pPr>
                                  <w:r>
                                    <w:rPr>
                                      <w:rFonts w:ascii="Arial" w:hAnsi="Arial" w:cs="Arial"/>
                                      <w:sz w:val="24"/>
                                    </w:rPr>
                                    <w:t>13 a 18 anos</w:t>
                                  </w:r>
                                </w:p>
                              </w:tc>
                            </w:tr>
                          </w:tbl>
                          <w:p w:rsidR="00B421DD" w:rsidRDefault="00B421DD" w:rsidP="00CD01CC">
                            <w:pPr>
                              <w:spacing w:after="0" w:line="360" w:lineRule="auto"/>
                              <w:jc w:val="both"/>
                              <w:rPr>
                                <w:rFonts w:ascii="Arial" w:hAnsi="Arial" w:cs="Arial"/>
                                <w:sz w:val="24"/>
                              </w:rPr>
                            </w:pPr>
                          </w:p>
                          <w:p w:rsidR="00B421DD" w:rsidRPr="00AE5BED" w:rsidRDefault="00B421DD" w:rsidP="00CD01CC">
                            <w:pPr>
                              <w:spacing w:after="0" w:line="360" w:lineRule="auto"/>
                              <w:jc w:val="both"/>
                              <w:rPr>
                                <w:rFonts w:ascii="Arial" w:hAnsi="Arial" w:cs="Arial"/>
                                <w:b/>
                                <w:sz w:val="24"/>
                              </w:rPr>
                            </w:pPr>
                            <w:r w:rsidRPr="00AE5BED">
                              <w:rPr>
                                <w:rFonts w:ascii="Arial" w:hAnsi="Arial" w:cs="Arial"/>
                                <w:b/>
                                <w:sz w:val="24"/>
                              </w:rPr>
                              <w:t>Tipo de MPS:</w:t>
                            </w:r>
                          </w:p>
                          <w:p w:rsidR="00B421DD" w:rsidRDefault="00B421DD" w:rsidP="00CD01CC">
                            <w:pPr>
                              <w:spacing w:after="0" w:line="360" w:lineRule="auto"/>
                              <w:jc w:val="both"/>
                              <w:rPr>
                                <w:rFonts w:ascii="Arial" w:hAnsi="Arial" w:cs="Arial"/>
                                <w:sz w:val="24"/>
                              </w:rPr>
                            </w:pPr>
                          </w:p>
                          <w:tbl>
                            <w:tblPr>
                              <w:tblStyle w:val="Tabelacomgrade"/>
                              <w:tblW w:w="2381"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1613"/>
                            </w:tblGrid>
                            <w:tr w:rsidR="00B421DD" w:rsidTr="00C45895">
                              <w:trPr>
                                <w:trHeight w:val="410"/>
                              </w:trPr>
                              <w:tc>
                                <w:tcPr>
                                  <w:tcW w:w="768" w:type="dxa"/>
                                </w:tcPr>
                                <w:p w:rsidR="00B421DD" w:rsidRDefault="00B421DD" w:rsidP="00C45895">
                                  <w:pPr>
                                    <w:jc w:val="center"/>
                                  </w:pPr>
                                  <w:r w:rsidRPr="00F71BBB">
                                    <w:rPr>
                                      <w:rFonts w:ascii="Arial" w:hAnsi="Arial" w:cs="Arial"/>
                                      <w:sz w:val="24"/>
                                    </w:rPr>
                                    <w:t>(    )</w:t>
                                  </w:r>
                                </w:p>
                              </w:tc>
                              <w:tc>
                                <w:tcPr>
                                  <w:tcW w:w="1613" w:type="dxa"/>
                                </w:tcPr>
                                <w:p w:rsidR="00B421DD" w:rsidRDefault="00B421DD" w:rsidP="00CD01CC">
                                  <w:pPr>
                                    <w:spacing w:line="360" w:lineRule="auto"/>
                                    <w:jc w:val="both"/>
                                    <w:rPr>
                                      <w:rFonts w:ascii="Arial" w:hAnsi="Arial" w:cs="Arial"/>
                                      <w:sz w:val="24"/>
                                    </w:rPr>
                                  </w:pPr>
                                  <w:r>
                                    <w:rPr>
                                      <w:rFonts w:ascii="Arial" w:hAnsi="Arial" w:cs="Arial"/>
                                      <w:sz w:val="24"/>
                                    </w:rPr>
                                    <w:t>Tipo I</w:t>
                                  </w:r>
                                </w:p>
                              </w:tc>
                            </w:tr>
                            <w:tr w:rsidR="00B421DD" w:rsidTr="00C45895">
                              <w:trPr>
                                <w:trHeight w:val="393"/>
                              </w:trPr>
                              <w:tc>
                                <w:tcPr>
                                  <w:tcW w:w="768" w:type="dxa"/>
                                </w:tcPr>
                                <w:p w:rsidR="00B421DD" w:rsidRDefault="00B421DD" w:rsidP="00C45895">
                                  <w:pPr>
                                    <w:jc w:val="center"/>
                                  </w:pPr>
                                  <w:r w:rsidRPr="00F71BBB">
                                    <w:rPr>
                                      <w:rFonts w:ascii="Arial" w:hAnsi="Arial" w:cs="Arial"/>
                                      <w:sz w:val="24"/>
                                    </w:rPr>
                                    <w:t>(    )</w:t>
                                  </w:r>
                                </w:p>
                              </w:tc>
                              <w:tc>
                                <w:tcPr>
                                  <w:tcW w:w="1613" w:type="dxa"/>
                                </w:tcPr>
                                <w:p w:rsidR="00B421DD" w:rsidRDefault="00B421DD" w:rsidP="00CD01CC">
                                  <w:pPr>
                                    <w:spacing w:line="360" w:lineRule="auto"/>
                                    <w:jc w:val="both"/>
                                    <w:rPr>
                                      <w:rFonts w:ascii="Arial" w:hAnsi="Arial" w:cs="Arial"/>
                                      <w:sz w:val="24"/>
                                    </w:rPr>
                                  </w:pPr>
                                  <w:r>
                                    <w:rPr>
                                      <w:rFonts w:ascii="Arial" w:hAnsi="Arial" w:cs="Arial"/>
                                      <w:sz w:val="24"/>
                                    </w:rPr>
                                    <w:t>Tipo II</w:t>
                                  </w:r>
                                </w:p>
                              </w:tc>
                            </w:tr>
                            <w:tr w:rsidR="00B421DD" w:rsidTr="00C45895">
                              <w:trPr>
                                <w:trHeight w:val="393"/>
                              </w:trPr>
                              <w:tc>
                                <w:tcPr>
                                  <w:tcW w:w="768" w:type="dxa"/>
                                </w:tcPr>
                                <w:p w:rsidR="00B421DD" w:rsidRDefault="00B421DD" w:rsidP="00C45895">
                                  <w:pPr>
                                    <w:jc w:val="center"/>
                                  </w:pPr>
                                  <w:r w:rsidRPr="00F71BBB">
                                    <w:rPr>
                                      <w:rFonts w:ascii="Arial" w:hAnsi="Arial" w:cs="Arial"/>
                                      <w:sz w:val="24"/>
                                    </w:rPr>
                                    <w:t>(    )</w:t>
                                  </w:r>
                                </w:p>
                              </w:tc>
                              <w:tc>
                                <w:tcPr>
                                  <w:tcW w:w="1613" w:type="dxa"/>
                                </w:tcPr>
                                <w:p w:rsidR="00B421DD" w:rsidRDefault="00B421DD" w:rsidP="00CD01CC">
                                  <w:pPr>
                                    <w:spacing w:line="360" w:lineRule="auto"/>
                                    <w:jc w:val="both"/>
                                    <w:rPr>
                                      <w:rFonts w:ascii="Arial" w:hAnsi="Arial" w:cs="Arial"/>
                                      <w:sz w:val="24"/>
                                    </w:rPr>
                                  </w:pPr>
                                  <w:r>
                                    <w:rPr>
                                      <w:rFonts w:ascii="Arial" w:hAnsi="Arial" w:cs="Arial"/>
                                      <w:sz w:val="24"/>
                                    </w:rPr>
                                    <w:t>Tipo III</w:t>
                                  </w:r>
                                </w:p>
                              </w:tc>
                            </w:tr>
                            <w:tr w:rsidR="00B421DD" w:rsidTr="00C45895">
                              <w:trPr>
                                <w:trHeight w:val="410"/>
                              </w:trPr>
                              <w:tc>
                                <w:tcPr>
                                  <w:tcW w:w="768" w:type="dxa"/>
                                </w:tcPr>
                                <w:p w:rsidR="00B421DD" w:rsidRDefault="00B421DD" w:rsidP="00C45895">
                                  <w:pPr>
                                    <w:jc w:val="center"/>
                                  </w:pPr>
                                  <w:r w:rsidRPr="00F71BBB">
                                    <w:rPr>
                                      <w:rFonts w:ascii="Arial" w:hAnsi="Arial" w:cs="Arial"/>
                                      <w:sz w:val="24"/>
                                    </w:rPr>
                                    <w:t>(    )</w:t>
                                  </w:r>
                                </w:p>
                              </w:tc>
                              <w:tc>
                                <w:tcPr>
                                  <w:tcW w:w="1613" w:type="dxa"/>
                                </w:tcPr>
                                <w:p w:rsidR="00B421DD" w:rsidRDefault="00B421DD" w:rsidP="00B2760C">
                                  <w:pPr>
                                    <w:spacing w:line="360" w:lineRule="auto"/>
                                    <w:jc w:val="both"/>
                                    <w:rPr>
                                      <w:rFonts w:ascii="Arial" w:hAnsi="Arial" w:cs="Arial"/>
                                      <w:sz w:val="24"/>
                                    </w:rPr>
                                  </w:pPr>
                                  <w:r>
                                    <w:rPr>
                                      <w:rFonts w:ascii="Arial" w:hAnsi="Arial" w:cs="Arial"/>
                                      <w:sz w:val="24"/>
                                    </w:rPr>
                                    <w:t>Tipo IV</w:t>
                                  </w:r>
                                </w:p>
                              </w:tc>
                            </w:tr>
                            <w:tr w:rsidR="00B421DD" w:rsidTr="00C45895">
                              <w:trPr>
                                <w:trHeight w:val="393"/>
                              </w:trPr>
                              <w:tc>
                                <w:tcPr>
                                  <w:tcW w:w="768" w:type="dxa"/>
                                </w:tcPr>
                                <w:p w:rsidR="00B421DD" w:rsidRDefault="00B421DD" w:rsidP="00C45895">
                                  <w:pPr>
                                    <w:jc w:val="center"/>
                                  </w:pPr>
                                  <w:r w:rsidRPr="00F71BBB">
                                    <w:rPr>
                                      <w:rFonts w:ascii="Arial" w:hAnsi="Arial" w:cs="Arial"/>
                                      <w:sz w:val="24"/>
                                    </w:rPr>
                                    <w:t>(    )</w:t>
                                  </w:r>
                                </w:p>
                              </w:tc>
                              <w:tc>
                                <w:tcPr>
                                  <w:tcW w:w="1613" w:type="dxa"/>
                                </w:tcPr>
                                <w:p w:rsidR="00B421DD" w:rsidRDefault="00B421DD" w:rsidP="00B2760C">
                                  <w:pPr>
                                    <w:spacing w:line="360" w:lineRule="auto"/>
                                    <w:jc w:val="both"/>
                                    <w:rPr>
                                      <w:rFonts w:ascii="Arial" w:hAnsi="Arial" w:cs="Arial"/>
                                      <w:sz w:val="24"/>
                                    </w:rPr>
                                  </w:pPr>
                                  <w:r>
                                    <w:rPr>
                                      <w:rFonts w:ascii="Arial" w:hAnsi="Arial" w:cs="Arial"/>
                                      <w:sz w:val="24"/>
                                    </w:rPr>
                                    <w:t>Tipo VI</w:t>
                                  </w:r>
                                </w:p>
                              </w:tc>
                            </w:tr>
                            <w:tr w:rsidR="00B421DD" w:rsidTr="00C45895">
                              <w:trPr>
                                <w:trHeight w:val="393"/>
                              </w:trPr>
                              <w:tc>
                                <w:tcPr>
                                  <w:tcW w:w="768" w:type="dxa"/>
                                </w:tcPr>
                                <w:p w:rsidR="00B421DD" w:rsidRDefault="00B421DD" w:rsidP="00C45895">
                                  <w:pPr>
                                    <w:jc w:val="center"/>
                                  </w:pPr>
                                  <w:r w:rsidRPr="00F71BBB">
                                    <w:rPr>
                                      <w:rFonts w:ascii="Arial" w:hAnsi="Arial" w:cs="Arial"/>
                                      <w:sz w:val="24"/>
                                    </w:rPr>
                                    <w:t>(    )</w:t>
                                  </w:r>
                                </w:p>
                              </w:tc>
                              <w:tc>
                                <w:tcPr>
                                  <w:tcW w:w="1613" w:type="dxa"/>
                                </w:tcPr>
                                <w:p w:rsidR="00B421DD" w:rsidRDefault="00B421DD" w:rsidP="00B2760C">
                                  <w:pPr>
                                    <w:spacing w:line="360" w:lineRule="auto"/>
                                    <w:jc w:val="both"/>
                                    <w:rPr>
                                      <w:rFonts w:ascii="Arial" w:hAnsi="Arial" w:cs="Arial"/>
                                      <w:sz w:val="24"/>
                                    </w:rPr>
                                  </w:pPr>
                                  <w:r>
                                    <w:rPr>
                                      <w:rFonts w:ascii="Arial" w:hAnsi="Arial" w:cs="Arial"/>
                                      <w:sz w:val="24"/>
                                    </w:rPr>
                                    <w:t>Tipo VII</w:t>
                                  </w:r>
                                </w:p>
                              </w:tc>
                            </w:tr>
                            <w:tr w:rsidR="00B421DD" w:rsidTr="00C45895">
                              <w:trPr>
                                <w:trHeight w:val="410"/>
                              </w:trPr>
                              <w:tc>
                                <w:tcPr>
                                  <w:tcW w:w="768" w:type="dxa"/>
                                </w:tcPr>
                                <w:p w:rsidR="00B421DD" w:rsidRDefault="00B421DD" w:rsidP="00C45895">
                                  <w:pPr>
                                    <w:jc w:val="center"/>
                                  </w:pPr>
                                  <w:r w:rsidRPr="00F71BBB">
                                    <w:rPr>
                                      <w:rFonts w:ascii="Arial" w:hAnsi="Arial" w:cs="Arial"/>
                                      <w:sz w:val="24"/>
                                    </w:rPr>
                                    <w:t>(    )</w:t>
                                  </w:r>
                                </w:p>
                              </w:tc>
                              <w:tc>
                                <w:tcPr>
                                  <w:tcW w:w="1613" w:type="dxa"/>
                                </w:tcPr>
                                <w:p w:rsidR="00B421DD" w:rsidRDefault="00B421DD" w:rsidP="00B2760C">
                                  <w:pPr>
                                    <w:spacing w:line="360" w:lineRule="auto"/>
                                    <w:jc w:val="both"/>
                                    <w:rPr>
                                      <w:rFonts w:ascii="Arial" w:hAnsi="Arial" w:cs="Arial"/>
                                      <w:sz w:val="24"/>
                                    </w:rPr>
                                  </w:pPr>
                                  <w:r>
                                    <w:rPr>
                                      <w:rFonts w:ascii="Arial" w:hAnsi="Arial" w:cs="Arial"/>
                                      <w:sz w:val="24"/>
                                    </w:rPr>
                                    <w:t>Tipo IX</w:t>
                                  </w:r>
                                </w:p>
                              </w:tc>
                            </w:tr>
                          </w:tbl>
                          <w:p w:rsidR="00B421DD" w:rsidRDefault="00B421DD" w:rsidP="00C45895">
                            <w:pPr>
                              <w:spacing w:after="0" w:line="360" w:lineRule="auto"/>
                              <w:jc w:val="both"/>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2.05pt;margin-top:7.95pt;width:416.9pt;height:577.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">
                <v:textbox>
                  <w:txbxContent>
                    <w:p w:rsidR="00B421DD" w:rsidRDefault="00B421DD" w:rsidP="00CD01CC">
                      <w:pPr>
                        <w:spacing w:after="0" w:line="360" w:lineRule="auto"/>
                        <w:jc w:val="both"/>
                        <w:rPr>
                          <w:rFonts w:ascii="Arial" w:hAnsi="Arial" w:cs="Arial"/>
                          <w:b/>
                          <w:sz w:val="24"/>
                        </w:rPr>
                      </w:pPr>
                    </w:p>
                    <w:p w:rsidR="00B421DD" w:rsidRDefault="00B421DD" w:rsidP="00C45895">
                      <w:pPr>
                        <w:spacing w:after="0" w:line="360" w:lineRule="auto"/>
                        <w:jc w:val="center"/>
                        <w:rPr>
                          <w:rFonts w:ascii="Arial" w:hAnsi="Arial" w:cs="Arial"/>
                          <w:b/>
                          <w:sz w:val="24"/>
                        </w:rPr>
                      </w:pPr>
                      <w:r>
                        <w:rPr>
                          <w:rFonts w:ascii="Arial" w:hAnsi="Arial" w:cs="Arial"/>
                          <w:b/>
                          <w:sz w:val="24"/>
                        </w:rPr>
                        <w:t>FORMULÁRIO PARA CARACTERIZAÇÃO DA AMOSTRA</w:t>
                      </w:r>
                    </w:p>
                    <w:p w:rsidR="00B421DD" w:rsidRDefault="00B421DD" w:rsidP="00CD01CC">
                      <w:pPr>
                        <w:spacing w:after="0" w:line="360" w:lineRule="auto"/>
                        <w:jc w:val="both"/>
                        <w:rPr>
                          <w:rFonts w:ascii="Arial" w:hAnsi="Arial" w:cs="Arial"/>
                          <w:b/>
                          <w:sz w:val="24"/>
                        </w:rPr>
                      </w:pPr>
                    </w:p>
                    <w:p w:rsidR="00B421DD" w:rsidRPr="00AE5BED" w:rsidRDefault="00B421DD" w:rsidP="00CD01CC">
                      <w:pPr>
                        <w:spacing w:after="0" w:line="360" w:lineRule="auto"/>
                        <w:jc w:val="both"/>
                        <w:rPr>
                          <w:rFonts w:ascii="Arial" w:hAnsi="Arial" w:cs="Arial"/>
                          <w:sz w:val="24"/>
                        </w:rPr>
                      </w:pPr>
                      <w:r w:rsidRPr="00AE5BED">
                        <w:rPr>
                          <w:rFonts w:ascii="Arial" w:hAnsi="Arial" w:cs="Arial"/>
                          <w:b/>
                          <w:sz w:val="24"/>
                        </w:rPr>
                        <w:t>Nº. de identificação:</w:t>
                      </w:r>
                      <w:r w:rsidRPr="00AE5BED">
                        <w:rPr>
                          <w:rFonts w:ascii="Arial" w:hAnsi="Arial" w:cs="Arial"/>
                          <w:sz w:val="24"/>
                        </w:rPr>
                        <w:t xml:space="preserve"> ________________</w:t>
                      </w:r>
                    </w:p>
                    <w:p w:rsidR="00B421DD" w:rsidRPr="00AE5BED" w:rsidRDefault="00B421DD" w:rsidP="00CD01CC">
                      <w:pPr>
                        <w:spacing w:after="0" w:line="360" w:lineRule="auto"/>
                        <w:jc w:val="both"/>
                        <w:rPr>
                          <w:rFonts w:ascii="Arial" w:hAnsi="Arial" w:cs="Arial"/>
                          <w:sz w:val="24"/>
                        </w:rPr>
                      </w:pPr>
                    </w:p>
                    <w:p w:rsidR="00B421DD" w:rsidRDefault="00B421DD" w:rsidP="00CD01CC">
                      <w:pPr>
                        <w:spacing w:after="0" w:line="360" w:lineRule="auto"/>
                        <w:jc w:val="both"/>
                        <w:rPr>
                          <w:rFonts w:ascii="Arial" w:hAnsi="Arial" w:cs="Arial"/>
                          <w:b/>
                          <w:sz w:val="24"/>
                        </w:rPr>
                      </w:pPr>
                      <w:r w:rsidRPr="00AE5BED">
                        <w:rPr>
                          <w:rFonts w:ascii="Arial" w:hAnsi="Arial" w:cs="Arial"/>
                          <w:b/>
                          <w:sz w:val="24"/>
                        </w:rPr>
                        <w:t>Sexo:</w:t>
                      </w:r>
                    </w:p>
                    <w:p w:rsidR="00B421DD" w:rsidRPr="00AF747B" w:rsidRDefault="00B421DD" w:rsidP="00CD01CC">
                      <w:pPr>
                        <w:spacing w:after="0" w:line="360" w:lineRule="auto"/>
                        <w:jc w:val="both"/>
                        <w:rPr>
                          <w:rFonts w:ascii="Arial" w:hAnsi="Arial" w:cs="Arial"/>
                          <w:sz w:val="24"/>
                        </w:rPr>
                      </w:pPr>
                    </w:p>
                    <w:p w:rsidR="00B421DD" w:rsidRPr="00AE5BED" w:rsidRDefault="00B421DD" w:rsidP="00CD01CC">
                      <w:pPr>
                        <w:spacing w:after="0" w:line="360" w:lineRule="auto"/>
                        <w:jc w:val="both"/>
                        <w:rPr>
                          <w:rFonts w:ascii="Arial" w:hAnsi="Arial" w:cs="Arial"/>
                          <w:sz w:val="24"/>
                        </w:rPr>
                      </w:pPr>
                      <w:r w:rsidRPr="00AE5BED">
                        <w:rPr>
                          <w:rFonts w:ascii="Arial" w:hAnsi="Arial" w:cs="Arial"/>
                          <w:sz w:val="24"/>
                        </w:rPr>
                        <w:t>(      ) Feminino</w:t>
                      </w:r>
                    </w:p>
                    <w:p w:rsidR="00B421DD" w:rsidRPr="00AE5BED" w:rsidRDefault="00B421DD" w:rsidP="00CD01CC">
                      <w:pPr>
                        <w:spacing w:after="0" w:line="360" w:lineRule="auto"/>
                        <w:jc w:val="both"/>
                        <w:rPr>
                          <w:rFonts w:ascii="Arial" w:hAnsi="Arial" w:cs="Arial"/>
                          <w:sz w:val="24"/>
                        </w:rPr>
                      </w:pPr>
                      <w:r w:rsidRPr="00AE5BED">
                        <w:rPr>
                          <w:rFonts w:ascii="Arial" w:hAnsi="Arial" w:cs="Arial"/>
                          <w:sz w:val="24"/>
                        </w:rPr>
                        <w:t xml:space="preserve">(    </w:t>
                      </w:r>
                      <w:r>
                        <w:rPr>
                          <w:rFonts w:ascii="Arial" w:hAnsi="Arial" w:cs="Arial"/>
                          <w:sz w:val="24"/>
                        </w:rPr>
                        <w:t xml:space="preserve"> </w:t>
                      </w:r>
                      <w:r w:rsidRPr="00AE5BED">
                        <w:rPr>
                          <w:rFonts w:ascii="Arial" w:hAnsi="Arial" w:cs="Arial"/>
                          <w:sz w:val="24"/>
                        </w:rPr>
                        <w:t xml:space="preserve"> ) Masculino</w:t>
                      </w:r>
                    </w:p>
                    <w:p w:rsidR="00B421DD" w:rsidRDefault="00B421DD" w:rsidP="00CD01CC">
                      <w:pPr>
                        <w:spacing w:after="0" w:line="360" w:lineRule="auto"/>
                        <w:jc w:val="both"/>
                        <w:rPr>
                          <w:rFonts w:ascii="Arial" w:hAnsi="Arial" w:cs="Arial"/>
                          <w:b/>
                          <w:sz w:val="24"/>
                        </w:rPr>
                      </w:pPr>
                    </w:p>
                    <w:p w:rsidR="00B421DD" w:rsidRPr="00AE5BED" w:rsidRDefault="00B421DD" w:rsidP="00CD01CC">
                      <w:pPr>
                        <w:spacing w:after="0" w:line="360" w:lineRule="auto"/>
                        <w:jc w:val="both"/>
                        <w:rPr>
                          <w:rFonts w:ascii="Arial" w:hAnsi="Arial" w:cs="Arial"/>
                          <w:sz w:val="24"/>
                        </w:rPr>
                      </w:pPr>
                      <w:r w:rsidRPr="00AE5BED">
                        <w:rPr>
                          <w:rFonts w:ascii="Arial" w:hAnsi="Arial" w:cs="Arial"/>
                          <w:b/>
                          <w:sz w:val="24"/>
                        </w:rPr>
                        <w:t>Idade (em anos):</w:t>
                      </w:r>
                      <w:r w:rsidRPr="00AE5BED">
                        <w:rPr>
                          <w:rFonts w:ascii="Arial" w:hAnsi="Arial" w:cs="Arial"/>
                          <w:sz w:val="24"/>
                        </w:rPr>
                        <w:t xml:space="preserve"> __________</w:t>
                      </w:r>
                    </w:p>
                    <w:p w:rsidR="00B421DD" w:rsidRDefault="00B421DD" w:rsidP="00CD01CC">
                      <w:pPr>
                        <w:spacing w:after="0" w:line="360" w:lineRule="auto"/>
                        <w:jc w:val="both"/>
                        <w:rPr>
                          <w:rFonts w:ascii="Arial" w:hAnsi="Arial" w:cs="Arial"/>
                          <w:sz w:val="24"/>
                        </w:rPr>
                      </w:pPr>
                    </w:p>
                    <w:tbl>
                      <w:tblPr>
                        <w:tblStyle w:val="Tabelacomgrade"/>
                        <w:tblW w:w="2551"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876"/>
                      </w:tblGrid>
                      <w:tr w:rsidR="00B421DD" w:rsidTr="00C45895">
                        <w:tc>
                          <w:tcPr>
                            <w:tcW w:w="675" w:type="dxa"/>
                          </w:tcPr>
                          <w:p w:rsidR="00B421DD" w:rsidRDefault="00B421DD" w:rsidP="00C45895">
                            <w:pPr>
                              <w:spacing w:line="360" w:lineRule="auto"/>
                              <w:jc w:val="center"/>
                              <w:rPr>
                                <w:rFonts w:ascii="Arial" w:hAnsi="Arial" w:cs="Arial"/>
                                <w:sz w:val="24"/>
                              </w:rPr>
                            </w:pPr>
                            <w:r>
                              <w:rPr>
                                <w:rFonts w:ascii="Arial" w:hAnsi="Arial" w:cs="Arial"/>
                                <w:sz w:val="24"/>
                              </w:rPr>
                              <w:t>(    )</w:t>
                            </w:r>
                          </w:p>
                        </w:tc>
                        <w:tc>
                          <w:tcPr>
                            <w:tcW w:w="1876" w:type="dxa"/>
                          </w:tcPr>
                          <w:p w:rsidR="00B421DD" w:rsidRDefault="00B421DD" w:rsidP="00B2760C">
                            <w:pPr>
                              <w:spacing w:line="360" w:lineRule="auto"/>
                              <w:jc w:val="both"/>
                              <w:rPr>
                                <w:rFonts w:ascii="Arial" w:hAnsi="Arial" w:cs="Arial"/>
                                <w:sz w:val="24"/>
                              </w:rPr>
                            </w:pPr>
                            <w:r>
                              <w:rPr>
                                <w:rFonts w:ascii="Arial" w:hAnsi="Arial" w:cs="Arial"/>
                                <w:sz w:val="24"/>
                              </w:rPr>
                              <w:t>2 a 4 anos</w:t>
                            </w:r>
                          </w:p>
                        </w:tc>
                      </w:tr>
                      <w:tr w:rsidR="00B421DD" w:rsidTr="00C45895">
                        <w:tc>
                          <w:tcPr>
                            <w:tcW w:w="675" w:type="dxa"/>
                          </w:tcPr>
                          <w:p w:rsidR="00B421DD" w:rsidRDefault="00B421DD" w:rsidP="00C45895">
                            <w:pPr>
                              <w:spacing w:line="360" w:lineRule="auto"/>
                              <w:jc w:val="center"/>
                              <w:rPr>
                                <w:rFonts w:ascii="Arial" w:hAnsi="Arial" w:cs="Arial"/>
                                <w:sz w:val="24"/>
                              </w:rPr>
                            </w:pPr>
                            <w:r>
                              <w:rPr>
                                <w:rFonts w:ascii="Arial" w:hAnsi="Arial" w:cs="Arial"/>
                                <w:sz w:val="24"/>
                              </w:rPr>
                              <w:t>(    )</w:t>
                            </w:r>
                          </w:p>
                        </w:tc>
                        <w:tc>
                          <w:tcPr>
                            <w:tcW w:w="1876" w:type="dxa"/>
                          </w:tcPr>
                          <w:p w:rsidR="00B421DD" w:rsidRDefault="00B421DD" w:rsidP="00B2760C">
                            <w:pPr>
                              <w:spacing w:line="360" w:lineRule="auto"/>
                              <w:jc w:val="both"/>
                              <w:rPr>
                                <w:rFonts w:ascii="Arial" w:hAnsi="Arial" w:cs="Arial"/>
                                <w:sz w:val="24"/>
                              </w:rPr>
                            </w:pPr>
                            <w:r>
                              <w:rPr>
                                <w:rFonts w:ascii="Arial" w:hAnsi="Arial" w:cs="Arial"/>
                                <w:sz w:val="24"/>
                              </w:rPr>
                              <w:t>5 a 7 anos</w:t>
                            </w:r>
                          </w:p>
                        </w:tc>
                      </w:tr>
                      <w:tr w:rsidR="00B421DD" w:rsidTr="00C45895">
                        <w:tc>
                          <w:tcPr>
                            <w:tcW w:w="675" w:type="dxa"/>
                          </w:tcPr>
                          <w:p w:rsidR="00B421DD" w:rsidRDefault="00B421DD" w:rsidP="00C45895">
                            <w:pPr>
                              <w:spacing w:line="360" w:lineRule="auto"/>
                              <w:jc w:val="center"/>
                              <w:rPr>
                                <w:rFonts w:ascii="Arial" w:hAnsi="Arial" w:cs="Arial"/>
                                <w:sz w:val="24"/>
                              </w:rPr>
                            </w:pPr>
                            <w:r>
                              <w:rPr>
                                <w:rFonts w:ascii="Arial" w:hAnsi="Arial" w:cs="Arial"/>
                                <w:sz w:val="24"/>
                              </w:rPr>
                              <w:t>(    )</w:t>
                            </w:r>
                          </w:p>
                        </w:tc>
                        <w:tc>
                          <w:tcPr>
                            <w:tcW w:w="1876" w:type="dxa"/>
                          </w:tcPr>
                          <w:p w:rsidR="00B421DD" w:rsidRDefault="00B421DD" w:rsidP="00B2760C">
                            <w:pPr>
                              <w:spacing w:line="360" w:lineRule="auto"/>
                              <w:jc w:val="both"/>
                              <w:rPr>
                                <w:rFonts w:ascii="Arial" w:hAnsi="Arial" w:cs="Arial"/>
                                <w:sz w:val="24"/>
                              </w:rPr>
                            </w:pPr>
                            <w:r>
                              <w:rPr>
                                <w:rFonts w:ascii="Arial" w:hAnsi="Arial" w:cs="Arial"/>
                                <w:sz w:val="24"/>
                              </w:rPr>
                              <w:t>8 a 12 anos</w:t>
                            </w:r>
                          </w:p>
                        </w:tc>
                      </w:tr>
                      <w:tr w:rsidR="00B421DD" w:rsidTr="00C45895">
                        <w:tc>
                          <w:tcPr>
                            <w:tcW w:w="675" w:type="dxa"/>
                          </w:tcPr>
                          <w:p w:rsidR="00B421DD" w:rsidRDefault="00B421DD" w:rsidP="00C45895">
                            <w:pPr>
                              <w:spacing w:line="360" w:lineRule="auto"/>
                              <w:jc w:val="center"/>
                              <w:rPr>
                                <w:rFonts w:ascii="Arial" w:hAnsi="Arial" w:cs="Arial"/>
                                <w:sz w:val="24"/>
                              </w:rPr>
                            </w:pPr>
                            <w:r>
                              <w:rPr>
                                <w:rFonts w:ascii="Arial" w:hAnsi="Arial" w:cs="Arial"/>
                                <w:sz w:val="24"/>
                              </w:rPr>
                              <w:t>(    )</w:t>
                            </w:r>
                          </w:p>
                        </w:tc>
                        <w:tc>
                          <w:tcPr>
                            <w:tcW w:w="1876" w:type="dxa"/>
                          </w:tcPr>
                          <w:p w:rsidR="00B421DD" w:rsidRDefault="00B421DD" w:rsidP="00B2760C">
                            <w:pPr>
                              <w:spacing w:line="360" w:lineRule="auto"/>
                              <w:jc w:val="both"/>
                              <w:rPr>
                                <w:rFonts w:ascii="Arial" w:hAnsi="Arial" w:cs="Arial"/>
                                <w:sz w:val="24"/>
                              </w:rPr>
                            </w:pPr>
                            <w:r>
                              <w:rPr>
                                <w:rFonts w:ascii="Arial" w:hAnsi="Arial" w:cs="Arial"/>
                                <w:sz w:val="24"/>
                              </w:rPr>
                              <w:t>13 a 18 anos</w:t>
                            </w:r>
                          </w:p>
                        </w:tc>
                      </w:tr>
                    </w:tbl>
                    <w:p w:rsidR="00B421DD" w:rsidRDefault="00B421DD" w:rsidP="00CD01CC">
                      <w:pPr>
                        <w:spacing w:after="0" w:line="360" w:lineRule="auto"/>
                        <w:jc w:val="both"/>
                        <w:rPr>
                          <w:rFonts w:ascii="Arial" w:hAnsi="Arial" w:cs="Arial"/>
                          <w:sz w:val="24"/>
                        </w:rPr>
                      </w:pPr>
                    </w:p>
                    <w:p w:rsidR="00B421DD" w:rsidRPr="00AE5BED" w:rsidRDefault="00B421DD" w:rsidP="00CD01CC">
                      <w:pPr>
                        <w:spacing w:after="0" w:line="360" w:lineRule="auto"/>
                        <w:jc w:val="both"/>
                        <w:rPr>
                          <w:rFonts w:ascii="Arial" w:hAnsi="Arial" w:cs="Arial"/>
                          <w:b/>
                          <w:sz w:val="24"/>
                        </w:rPr>
                      </w:pPr>
                      <w:r w:rsidRPr="00AE5BED">
                        <w:rPr>
                          <w:rFonts w:ascii="Arial" w:hAnsi="Arial" w:cs="Arial"/>
                          <w:b/>
                          <w:sz w:val="24"/>
                        </w:rPr>
                        <w:t>Tipo de MPS:</w:t>
                      </w:r>
                    </w:p>
                    <w:p w:rsidR="00B421DD" w:rsidRDefault="00B421DD" w:rsidP="00CD01CC">
                      <w:pPr>
                        <w:spacing w:after="0" w:line="360" w:lineRule="auto"/>
                        <w:jc w:val="both"/>
                        <w:rPr>
                          <w:rFonts w:ascii="Arial" w:hAnsi="Arial" w:cs="Arial"/>
                          <w:sz w:val="24"/>
                        </w:rPr>
                      </w:pPr>
                    </w:p>
                    <w:tbl>
                      <w:tblPr>
                        <w:tblStyle w:val="Tabelacomgrade"/>
                        <w:tblW w:w="2381"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1613"/>
                      </w:tblGrid>
                      <w:tr w:rsidR="00B421DD" w:rsidTr="00C45895">
                        <w:trPr>
                          <w:trHeight w:val="410"/>
                        </w:trPr>
                        <w:tc>
                          <w:tcPr>
                            <w:tcW w:w="768" w:type="dxa"/>
                          </w:tcPr>
                          <w:p w:rsidR="00B421DD" w:rsidRDefault="00B421DD" w:rsidP="00C45895">
                            <w:pPr>
                              <w:jc w:val="center"/>
                            </w:pPr>
                            <w:r w:rsidRPr="00F71BBB">
                              <w:rPr>
                                <w:rFonts w:ascii="Arial" w:hAnsi="Arial" w:cs="Arial"/>
                                <w:sz w:val="24"/>
                              </w:rPr>
                              <w:t>(    )</w:t>
                            </w:r>
                          </w:p>
                        </w:tc>
                        <w:tc>
                          <w:tcPr>
                            <w:tcW w:w="1613" w:type="dxa"/>
                          </w:tcPr>
                          <w:p w:rsidR="00B421DD" w:rsidRDefault="00B421DD" w:rsidP="00CD01CC">
                            <w:pPr>
                              <w:spacing w:line="360" w:lineRule="auto"/>
                              <w:jc w:val="both"/>
                              <w:rPr>
                                <w:rFonts w:ascii="Arial" w:hAnsi="Arial" w:cs="Arial"/>
                                <w:sz w:val="24"/>
                              </w:rPr>
                            </w:pPr>
                            <w:r>
                              <w:rPr>
                                <w:rFonts w:ascii="Arial" w:hAnsi="Arial" w:cs="Arial"/>
                                <w:sz w:val="24"/>
                              </w:rPr>
                              <w:t>Tipo I</w:t>
                            </w:r>
                          </w:p>
                        </w:tc>
                      </w:tr>
                      <w:tr w:rsidR="00B421DD" w:rsidTr="00C45895">
                        <w:trPr>
                          <w:trHeight w:val="393"/>
                        </w:trPr>
                        <w:tc>
                          <w:tcPr>
                            <w:tcW w:w="768" w:type="dxa"/>
                          </w:tcPr>
                          <w:p w:rsidR="00B421DD" w:rsidRDefault="00B421DD" w:rsidP="00C45895">
                            <w:pPr>
                              <w:jc w:val="center"/>
                            </w:pPr>
                            <w:r w:rsidRPr="00F71BBB">
                              <w:rPr>
                                <w:rFonts w:ascii="Arial" w:hAnsi="Arial" w:cs="Arial"/>
                                <w:sz w:val="24"/>
                              </w:rPr>
                              <w:t>(    )</w:t>
                            </w:r>
                          </w:p>
                        </w:tc>
                        <w:tc>
                          <w:tcPr>
                            <w:tcW w:w="1613" w:type="dxa"/>
                          </w:tcPr>
                          <w:p w:rsidR="00B421DD" w:rsidRDefault="00B421DD" w:rsidP="00CD01CC">
                            <w:pPr>
                              <w:spacing w:line="360" w:lineRule="auto"/>
                              <w:jc w:val="both"/>
                              <w:rPr>
                                <w:rFonts w:ascii="Arial" w:hAnsi="Arial" w:cs="Arial"/>
                                <w:sz w:val="24"/>
                              </w:rPr>
                            </w:pPr>
                            <w:r>
                              <w:rPr>
                                <w:rFonts w:ascii="Arial" w:hAnsi="Arial" w:cs="Arial"/>
                                <w:sz w:val="24"/>
                              </w:rPr>
                              <w:t>Tipo II</w:t>
                            </w:r>
                          </w:p>
                        </w:tc>
                      </w:tr>
                      <w:tr w:rsidR="00B421DD" w:rsidTr="00C45895">
                        <w:trPr>
                          <w:trHeight w:val="393"/>
                        </w:trPr>
                        <w:tc>
                          <w:tcPr>
                            <w:tcW w:w="768" w:type="dxa"/>
                          </w:tcPr>
                          <w:p w:rsidR="00B421DD" w:rsidRDefault="00B421DD" w:rsidP="00C45895">
                            <w:pPr>
                              <w:jc w:val="center"/>
                            </w:pPr>
                            <w:r w:rsidRPr="00F71BBB">
                              <w:rPr>
                                <w:rFonts w:ascii="Arial" w:hAnsi="Arial" w:cs="Arial"/>
                                <w:sz w:val="24"/>
                              </w:rPr>
                              <w:t>(    )</w:t>
                            </w:r>
                          </w:p>
                        </w:tc>
                        <w:tc>
                          <w:tcPr>
                            <w:tcW w:w="1613" w:type="dxa"/>
                          </w:tcPr>
                          <w:p w:rsidR="00B421DD" w:rsidRDefault="00B421DD" w:rsidP="00CD01CC">
                            <w:pPr>
                              <w:spacing w:line="360" w:lineRule="auto"/>
                              <w:jc w:val="both"/>
                              <w:rPr>
                                <w:rFonts w:ascii="Arial" w:hAnsi="Arial" w:cs="Arial"/>
                                <w:sz w:val="24"/>
                              </w:rPr>
                            </w:pPr>
                            <w:r>
                              <w:rPr>
                                <w:rFonts w:ascii="Arial" w:hAnsi="Arial" w:cs="Arial"/>
                                <w:sz w:val="24"/>
                              </w:rPr>
                              <w:t>Tipo III</w:t>
                            </w:r>
                          </w:p>
                        </w:tc>
                      </w:tr>
                      <w:tr w:rsidR="00B421DD" w:rsidTr="00C45895">
                        <w:trPr>
                          <w:trHeight w:val="410"/>
                        </w:trPr>
                        <w:tc>
                          <w:tcPr>
                            <w:tcW w:w="768" w:type="dxa"/>
                          </w:tcPr>
                          <w:p w:rsidR="00B421DD" w:rsidRDefault="00B421DD" w:rsidP="00C45895">
                            <w:pPr>
                              <w:jc w:val="center"/>
                            </w:pPr>
                            <w:r w:rsidRPr="00F71BBB">
                              <w:rPr>
                                <w:rFonts w:ascii="Arial" w:hAnsi="Arial" w:cs="Arial"/>
                                <w:sz w:val="24"/>
                              </w:rPr>
                              <w:t>(    )</w:t>
                            </w:r>
                          </w:p>
                        </w:tc>
                        <w:tc>
                          <w:tcPr>
                            <w:tcW w:w="1613" w:type="dxa"/>
                          </w:tcPr>
                          <w:p w:rsidR="00B421DD" w:rsidRDefault="00B421DD" w:rsidP="00B2760C">
                            <w:pPr>
                              <w:spacing w:line="360" w:lineRule="auto"/>
                              <w:jc w:val="both"/>
                              <w:rPr>
                                <w:rFonts w:ascii="Arial" w:hAnsi="Arial" w:cs="Arial"/>
                                <w:sz w:val="24"/>
                              </w:rPr>
                            </w:pPr>
                            <w:r>
                              <w:rPr>
                                <w:rFonts w:ascii="Arial" w:hAnsi="Arial" w:cs="Arial"/>
                                <w:sz w:val="24"/>
                              </w:rPr>
                              <w:t>Tipo IV</w:t>
                            </w:r>
                          </w:p>
                        </w:tc>
                      </w:tr>
                      <w:tr w:rsidR="00B421DD" w:rsidTr="00C45895">
                        <w:trPr>
                          <w:trHeight w:val="393"/>
                        </w:trPr>
                        <w:tc>
                          <w:tcPr>
                            <w:tcW w:w="768" w:type="dxa"/>
                          </w:tcPr>
                          <w:p w:rsidR="00B421DD" w:rsidRDefault="00B421DD" w:rsidP="00C45895">
                            <w:pPr>
                              <w:jc w:val="center"/>
                            </w:pPr>
                            <w:r w:rsidRPr="00F71BBB">
                              <w:rPr>
                                <w:rFonts w:ascii="Arial" w:hAnsi="Arial" w:cs="Arial"/>
                                <w:sz w:val="24"/>
                              </w:rPr>
                              <w:t>(    )</w:t>
                            </w:r>
                          </w:p>
                        </w:tc>
                        <w:tc>
                          <w:tcPr>
                            <w:tcW w:w="1613" w:type="dxa"/>
                          </w:tcPr>
                          <w:p w:rsidR="00B421DD" w:rsidRDefault="00B421DD" w:rsidP="00B2760C">
                            <w:pPr>
                              <w:spacing w:line="360" w:lineRule="auto"/>
                              <w:jc w:val="both"/>
                              <w:rPr>
                                <w:rFonts w:ascii="Arial" w:hAnsi="Arial" w:cs="Arial"/>
                                <w:sz w:val="24"/>
                              </w:rPr>
                            </w:pPr>
                            <w:r>
                              <w:rPr>
                                <w:rFonts w:ascii="Arial" w:hAnsi="Arial" w:cs="Arial"/>
                                <w:sz w:val="24"/>
                              </w:rPr>
                              <w:t>Tipo VI</w:t>
                            </w:r>
                          </w:p>
                        </w:tc>
                      </w:tr>
                      <w:tr w:rsidR="00B421DD" w:rsidTr="00C45895">
                        <w:trPr>
                          <w:trHeight w:val="393"/>
                        </w:trPr>
                        <w:tc>
                          <w:tcPr>
                            <w:tcW w:w="768" w:type="dxa"/>
                          </w:tcPr>
                          <w:p w:rsidR="00B421DD" w:rsidRDefault="00B421DD" w:rsidP="00C45895">
                            <w:pPr>
                              <w:jc w:val="center"/>
                            </w:pPr>
                            <w:r w:rsidRPr="00F71BBB">
                              <w:rPr>
                                <w:rFonts w:ascii="Arial" w:hAnsi="Arial" w:cs="Arial"/>
                                <w:sz w:val="24"/>
                              </w:rPr>
                              <w:t>(    )</w:t>
                            </w:r>
                          </w:p>
                        </w:tc>
                        <w:tc>
                          <w:tcPr>
                            <w:tcW w:w="1613" w:type="dxa"/>
                          </w:tcPr>
                          <w:p w:rsidR="00B421DD" w:rsidRDefault="00B421DD" w:rsidP="00B2760C">
                            <w:pPr>
                              <w:spacing w:line="360" w:lineRule="auto"/>
                              <w:jc w:val="both"/>
                              <w:rPr>
                                <w:rFonts w:ascii="Arial" w:hAnsi="Arial" w:cs="Arial"/>
                                <w:sz w:val="24"/>
                              </w:rPr>
                            </w:pPr>
                            <w:r>
                              <w:rPr>
                                <w:rFonts w:ascii="Arial" w:hAnsi="Arial" w:cs="Arial"/>
                                <w:sz w:val="24"/>
                              </w:rPr>
                              <w:t>Tipo VII</w:t>
                            </w:r>
                          </w:p>
                        </w:tc>
                      </w:tr>
                      <w:tr w:rsidR="00B421DD" w:rsidTr="00C45895">
                        <w:trPr>
                          <w:trHeight w:val="410"/>
                        </w:trPr>
                        <w:tc>
                          <w:tcPr>
                            <w:tcW w:w="768" w:type="dxa"/>
                          </w:tcPr>
                          <w:p w:rsidR="00B421DD" w:rsidRDefault="00B421DD" w:rsidP="00C45895">
                            <w:pPr>
                              <w:jc w:val="center"/>
                            </w:pPr>
                            <w:r w:rsidRPr="00F71BBB">
                              <w:rPr>
                                <w:rFonts w:ascii="Arial" w:hAnsi="Arial" w:cs="Arial"/>
                                <w:sz w:val="24"/>
                              </w:rPr>
                              <w:t>(    )</w:t>
                            </w:r>
                          </w:p>
                        </w:tc>
                        <w:tc>
                          <w:tcPr>
                            <w:tcW w:w="1613" w:type="dxa"/>
                          </w:tcPr>
                          <w:p w:rsidR="00B421DD" w:rsidRDefault="00B421DD" w:rsidP="00B2760C">
                            <w:pPr>
                              <w:spacing w:line="360" w:lineRule="auto"/>
                              <w:jc w:val="both"/>
                              <w:rPr>
                                <w:rFonts w:ascii="Arial" w:hAnsi="Arial" w:cs="Arial"/>
                                <w:sz w:val="24"/>
                              </w:rPr>
                            </w:pPr>
                            <w:r>
                              <w:rPr>
                                <w:rFonts w:ascii="Arial" w:hAnsi="Arial" w:cs="Arial"/>
                                <w:sz w:val="24"/>
                              </w:rPr>
                              <w:t>Tipo IX</w:t>
                            </w:r>
                          </w:p>
                        </w:tc>
                      </w:tr>
                    </w:tbl>
                    <w:p w:rsidR="00B421DD" w:rsidRDefault="00B421DD" w:rsidP="00C45895">
                      <w:pPr>
                        <w:spacing w:after="0" w:line="360" w:lineRule="auto"/>
                        <w:jc w:val="both"/>
                        <w:rPr>
                          <w:rFonts w:ascii="Arial" w:hAnsi="Arial" w:cs="Arial"/>
                          <w:sz w:val="24"/>
                        </w:rPr>
                      </w:pPr>
                    </w:p>
                  </w:txbxContent>
                </v:textbox>
              </v:shape>
            </w:pict>
          </mc:Fallback>
        </mc:AlternateContent>
      </w: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D173BB" w:rsidRDefault="00D173BB" w:rsidP="00837042">
      <w:pPr>
        <w:widowControl w:val="0"/>
        <w:autoSpaceDE w:val="0"/>
        <w:autoSpaceDN w:val="0"/>
        <w:adjustRightInd w:val="0"/>
        <w:spacing w:after="0" w:line="360" w:lineRule="auto"/>
        <w:jc w:val="both"/>
        <w:rPr>
          <w:rFonts w:ascii="Arial" w:hAnsi="Arial" w:cs="Arial"/>
          <w:sz w:val="24"/>
        </w:rPr>
      </w:pPr>
    </w:p>
    <w:p w:rsidR="008C641A" w:rsidRDefault="008C641A" w:rsidP="00837042">
      <w:pPr>
        <w:widowControl w:val="0"/>
        <w:autoSpaceDE w:val="0"/>
        <w:autoSpaceDN w:val="0"/>
        <w:adjustRightInd w:val="0"/>
        <w:spacing w:after="0" w:line="360" w:lineRule="auto"/>
        <w:jc w:val="center"/>
        <w:rPr>
          <w:rStyle w:val="Ttulo3Char"/>
        </w:rPr>
      </w:pPr>
      <w:bookmarkStart w:id="80" w:name="_Toc496749624"/>
      <w:r>
        <w:rPr>
          <w:rStyle w:val="Ttulo3Char"/>
        </w:rPr>
        <w:lastRenderedPageBreak/>
        <w:t>ANEXOS</w:t>
      </w:r>
      <w:bookmarkEnd w:id="80"/>
    </w:p>
    <w:p w:rsidR="008C641A" w:rsidRPr="008C641A" w:rsidRDefault="008C641A" w:rsidP="00837042">
      <w:pPr>
        <w:widowControl w:val="0"/>
        <w:autoSpaceDE w:val="0"/>
        <w:autoSpaceDN w:val="0"/>
        <w:adjustRightInd w:val="0"/>
        <w:spacing w:after="0" w:line="360" w:lineRule="auto"/>
        <w:jc w:val="both"/>
        <w:rPr>
          <w:rStyle w:val="Ttulo3Char"/>
          <w:b w:val="0"/>
        </w:rPr>
      </w:pPr>
    </w:p>
    <w:p w:rsidR="006F3060" w:rsidRDefault="00E548CA" w:rsidP="008C641A">
      <w:pPr>
        <w:widowControl w:val="0"/>
        <w:autoSpaceDE w:val="0"/>
        <w:autoSpaceDN w:val="0"/>
        <w:adjustRightInd w:val="0"/>
        <w:spacing w:after="0" w:line="360" w:lineRule="auto"/>
        <w:jc w:val="both"/>
        <w:rPr>
          <w:rFonts w:ascii="Arial" w:hAnsi="Arial" w:cs="Arial"/>
          <w:b/>
          <w:sz w:val="24"/>
        </w:rPr>
      </w:pPr>
      <w:r>
        <w:rPr>
          <w:noProof/>
          <w:lang w:eastAsia="pt-BR"/>
        </w:rPr>
        <w:drawing>
          <wp:anchor distT="0" distB="0" distL="114300" distR="114300" simplePos="0" relativeHeight="251766784" behindDoc="1" locked="0" layoutInCell="1" allowOverlap="1" wp14:anchorId="4EE952B4" wp14:editId="681693A3">
            <wp:simplePos x="0" y="0"/>
            <wp:positionH relativeFrom="column">
              <wp:posOffset>4445</wp:posOffset>
            </wp:positionH>
            <wp:positionV relativeFrom="paragraph">
              <wp:posOffset>350520</wp:posOffset>
            </wp:positionV>
            <wp:extent cx="5612130" cy="7941310"/>
            <wp:effectExtent l="0" t="0" r="7620" b="2540"/>
            <wp:wrapThrough wrapText="bothSides">
              <wp:wrapPolygon edited="0">
                <wp:start x="0" y="0"/>
                <wp:lineTo x="0" y="21555"/>
                <wp:lineTo x="21556" y="21555"/>
                <wp:lineTo x="21556" y="0"/>
                <wp:lineTo x="0" y="0"/>
              </wp:wrapPolygon>
            </wp:wrapThrough>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612130" cy="7941310"/>
                    </a:xfrm>
                    <a:prstGeom prst="rect">
                      <a:avLst/>
                    </a:prstGeom>
                  </pic:spPr>
                </pic:pic>
              </a:graphicData>
            </a:graphic>
            <wp14:sizeRelH relativeFrom="margin">
              <wp14:pctWidth>0</wp14:pctWidth>
            </wp14:sizeRelH>
            <wp14:sizeRelV relativeFrom="margin">
              <wp14:pctHeight>0</wp14:pctHeight>
            </wp14:sizeRelV>
          </wp:anchor>
        </w:drawing>
      </w:r>
      <w:bookmarkStart w:id="81" w:name="_Toc496668005"/>
      <w:bookmarkStart w:id="82" w:name="_Toc496749625"/>
      <w:r w:rsidR="00D173BB" w:rsidRPr="00582961">
        <w:rPr>
          <w:rStyle w:val="Ttulo3Char"/>
        </w:rPr>
        <w:t>ANEXO</w:t>
      </w:r>
      <w:bookmarkEnd w:id="81"/>
      <w:bookmarkEnd w:id="82"/>
      <w:r w:rsidR="00D173BB" w:rsidRPr="00D173BB">
        <w:rPr>
          <w:rFonts w:ascii="Arial" w:hAnsi="Arial" w:cs="Arial"/>
          <w:b/>
          <w:sz w:val="24"/>
        </w:rPr>
        <w:t xml:space="preserve"> A – </w:t>
      </w:r>
      <w:r w:rsidR="00811021">
        <w:rPr>
          <w:rFonts w:ascii="Arial" w:hAnsi="Arial" w:cs="Arial"/>
          <w:b/>
          <w:sz w:val="24"/>
        </w:rPr>
        <w:t>ESCALA DE MEDIDA DE INDEPENDÊNCIA FUNCIONAL (MIF)</w:t>
      </w:r>
    </w:p>
    <w:p w:rsidR="006F3060" w:rsidRDefault="006F3060" w:rsidP="008C641A">
      <w:pPr>
        <w:widowControl w:val="0"/>
        <w:autoSpaceDE w:val="0"/>
        <w:autoSpaceDN w:val="0"/>
        <w:adjustRightInd w:val="0"/>
        <w:spacing w:after="0" w:line="360" w:lineRule="auto"/>
        <w:jc w:val="both"/>
        <w:rPr>
          <w:rFonts w:ascii="Arial" w:hAnsi="Arial" w:cs="Arial"/>
          <w:sz w:val="24"/>
        </w:rPr>
      </w:pPr>
      <w:r w:rsidRPr="006F3060">
        <w:rPr>
          <w:rFonts w:ascii="Arial" w:hAnsi="Arial" w:cs="Arial"/>
          <w:b/>
          <w:sz w:val="24"/>
        </w:rPr>
        <w:lastRenderedPageBreak/>
        <w:t xml:space="preserve">ANEXO B </w:t>
      </w:r>
      <w:r>
        <w:rPr>
          <w:rFonts w:ascii="Arial" w:hAnsi="Arial" w:cs="Arial"/>
          <w:b/>
          <w:sz w:val="24"/>
        </w:rPr>
        <w:t>–</w:t>
      </w:r>
      <w:r>
        <w:rPr>
          <w:rFonts w:ascii="Arial" w:hAnsi="Arial" w:cs="Arial"/>
          <w:sz w:val="24"/>
        </w:rPr>
        <w:t xml:space="preserve"> </w:t>
      </w:r>
      <w:r w:rsidR="00811021" w:rsidRPr="005C4515">
        <w:rPr>
          <w:rFonts w:ascii="Arial" w:hAnsi="Arial" w:cs="Arial"/>
          <w:b/>
          <w:sz w:val="24"/>
        </w:rPr>
        <w:t xml:space="preserve">QUESTIONÁRIO </w:t>
      </w:r>
      <w:r w:rsidR="00811021" w:rsidRPr="00FE00E5">
        <w:rPr>
          <w:rFonts w:ascii="Arial" w:hAnsi="Arial" w:cs="Arial"/>
          <w:b/>
          <w:i/>
          <w:sz w:val="24"/>
        </w:rPr>
        <w:t>PEDIATRIC QUALITY OF LIFE INVENTORY</w:t>
      </w:r>
      <w:r w:rsidR="00811021" w:rsidRPr="005C4515">
        <w:rPr>
          <w:rFonts w:ascii="Arial" w:hAnsi="Arial" w:cs="Arial"/>
          <w:b/>
          <w:sz w:val="24"/>
        </w:rPr>
        <w:t xml:space="preserve"> (PEDSQL</w:t>
      </w:r>
      <w:r w:rsidR="00811021" w:rsidRPr="005C4515">
        <w:rPr>
          <w:rFonts w:ascii="Arial" w:hAnsi="Arial" w:cs="Arial"/>
          <w:b/>
          <w:sz w:val="24"/>
          <w:vertAlign w:val="superscript"/>
        </w:rPr>
        <w:t>TM</w:t>
      </w:r>
      <w:r w:rsidR="00811021" w:rsidRPr="005C4515">
        <w:rPr>
          <w:rFonts w:ascii="Arial" w:hAnsi="Arial" w:cs="Arial"/>
          <w:b/>
          <w:sz w:val="24"/>
        </w:rPr>
        <w:t xml:space="preserve"> 4.0)</w:t>
      </w:r>
      <w:r w:rsidR="00811021">
        <w:rPr>
          <w:rFonts w:ascii="Arial" w:hAnsi="Arial" w:cs="Arial"/>
          <w:b/>
          <w:sz w:val="24"/>
        </w:rPr>
        <w:t xml:space="preserve"> – VERSÃO PARA OS PAIS</w:t>
      </w:r>
    </w:p>
    <w:p w:rsidR="006F3060" w:rsidRDefault="006F3060" w:rsidP="008C641A">
      <w:pPr>
        <w:widowControl w:val="0"/>
        <w:autoSpaceDE w:val="0"/>
        <w:autoSpaceDN w:val="0"/>
        <w:adjustRightInd w:val="0"/>
        <w:spacing w:after="0" w:line="360" w:lineRule="auto"/>
        <w:jc w:val="both"/>
        <w:rPr>
          <w:rFonts w:ascii="Arial" w:hAnsi="Arial" w:cs="Arial"/>
          <w:sz w:val="24"/>
        </w:rPr>
      </w:pPr>
    </w:p>
    <w:p w:rsidR="000D470D" w:rsidRDefault="00021603" w:rsidP="008C641A">
      <w:pPr>
        <w:widowControl w:val="0"/>
        <w:autoSpaceDE w:val="0"/>
        <w:autoSpaceDN w:val="0"/>
        <w:adjustRightInd w:val="0"/>
        <w:spacing w:after="0" w:line="360" w:lineRule="auto"/>
        <w:jc w:val="both"/>
        <w:rPr>
          <w:rFonts w:ascii="Arial" w:hAnsi="Arial" w:cs="Arial"/>
          <w:sz w:val="24"/>
        </w:rPr>
      </w:pPr>
      <w:r>
        <w:rPr>
          <w:noProof/>
          <w:lang w:eastAsia="pt-BR"/>
        </w:rPr>
        <mc:AlternateContent>
          <mc:Choice Requires="wps">
            <w:drawing>
              <wp:anchor distT="0" distB="0" distL="114300" distR="114300" simplePos="0" relativeHeight="251749376" behindDoc="0" locked="0" layoutInCell="1" allowOverlap="1" wp14:anchorId="452AC2A9" wp14:editId="147A9D32">
                <wp:simplePos x="0" y="0"/>
                <wp:positionH relativeFrom="column">
                  <wp:posOffset>3348565</wp:posOffset>
                </wp:positionH>
                <wp:positionV relativeFrom="paragraph">
                  <wp:posOffset>-910780</wp:posOffset>
                </wp:positionV>
                <wp:extent cx="1837642" cy="359809"/>
                <wp:effectExtent l="0" t="0" r="0" b="254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42" cy="359809"/>
                        </a:xfrm>
                        <a:prstGeom prst="rect">
                          <a:avLst/>
                        </a:prstGeom>
                        <a:solidFill>
                          <a:schemeClr val="bg1"/>
                        </a:solidFill>
                        <a:ln w="9525">
                          <a:noFill/>
                          <a:miter lim="800000"/>
                          <a:headEnd/>
                          <a:tailEnd/>
                        </a:ln>
                      </wps:spPr>
                      <wps:txbx>
                        <w:txbxContent>
                          <w:p w:rsidR="00B421DD" w:rsidRDefault="00B421DD" w:rsidP="00021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AC2A9" id="_x0000_s1036" type="#_x0000_t202" style="position:absolute;left:0;text-align:left;margin-left:263.65pt;margin-top:-71.7pt;width:144.7pt;height:28.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" fillcolor="white [3212]" stroked="f">
                <v:textbox>
                  <w:txbxContent>
                    <w:p w:rsidR="00986394" w:rsidRDefault="00986394" w:rsidP="00021603"/>
                  </w:txbxContent>
                </v:textbox>
              </v:shape>
            </w:pict>
          </mc:Fallback>
        </mc:AlternateContent>
      </w:r>
      <w:r w:rsidR="000D470D">
        <w:rPr>
          <w:noProof/>
          <w:lang w:eastAsia="pt-BR"/>
        </w:rPr>
        <w:drawing>
          <wp:anchor distT="0" distB="0" distL="114300" distR="114300" simplePos="0" relativeHeight="251740160" behindDoc="1" locked="0" layoutInCell="1" allowOverlap="1" wp14:anchorId="3EED4BCC" wp14:editId="3081B9A3">
            <wp:simplePos x="0" y="0"/>
            <wp:positionH relativeFrom="column">
              <wp:posOffset>3810</wp:posOffset>
            </wp:positionH>
            <wp:positionV relativeFrom="paragraph">
              <wp:posOffset>3810</wp:posOffset>
            </wp:positionV>
            <wp:extent cx="5612400" cy="7261200"/>
            <wp:effectExtent l="0" t="0" r="7620" b="0"/>
            <wp:wrapThrough wrapText="bothSides">
              <wp:wrapPolygon edited="0">
                <wp:start x="0" y="0"/>
                <wp:lineTo x="0" y="21536"/>
                <wp:lineTo x="21556" y="21536"/>
                <wp:lineTo x="21556" y="0"/>
                <wp:lineTo x="0" y="0"/>
              </wp:wrapPolygon>
            </wp:wrapThrough>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612400" cy="7261200"/>
                    </a:xfrm>
                    <a:prstGeom prst="rect">
                      <a:avLst/>
                    </a:prstGeom>
                  </pic:spPr>
                </pic:pic>
              </a:graphicData>
            </a:graphic>
            <wp14:sizeRelH relativeFrom="margin">
              <wp14:pctWidth>0</wp14:pctWidth>
            </wp14:sizeRelH>
            <wp14:sizeRelV relativeFrom="margin">
              <wp14:pctHeight>0</wp14:pctHeight>
            </wp14:sizeRelV>
          </wp:anchor>
        </w:drawing>
      </w: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r>
        <w:rPr>
          <w:noProof/>
          <w:lang w:eastAsia="pt-BR"/>
        </w:rPr>
        <w:lastRenderedPageBreak/>
        <w:drawing>
          <wp:anchor distT="0" distB="0" distL="114300" distR="114300" simplePos="0" relativeHeight="251741184" behindDoc="1" locked="0" layoutInCell="1" allowOverlap="1" wp14:anchorId="7BBB6499" wp14:editId="5F0F3F3C">
            <wp:simplePos x="0" y="0"/>
            <wp:positionH relativeFrom="column">
              <wp:posOffset>-81280</wp:posOffset>
            </wp:positionH>
            <wp:positionV relativeFrom="paragraph">
              <wp:posOffset>-113665</wp:posOffset>
            </wp:positionV>
            <wp:extent cx="5612130" cy="7260590"/>
            <wp:effectExtent l="0" t="0" r="7620" b="0"/>
            <wp:wrapThrough wrapText="bothSides">
              <wp:wrapPolygon edited="0">
                <wp:start x="0" y="0"/>
                <wp:lineTo x="0" y="21536"/>
                <wp:lineTo x="21556" y="21536"/>
                <wp:lineTo x="21556" y="0"/>
                <wp:lineTo x="0" y="0"/>
              </wp:wrapPolygon>
            </wp:wrapThrough>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612130" cy="7260590"/>
                    </a:xfrm>
                    <a:prstGeom prst="rect">
                      <a:avLst/>
                    </a:prstGeom>
                  </pic:spPr>
                </pic:pic>
              </a:graphicData>
            </a:graphic>
            <wp14:sizeRelH relativeFrom="margin">
              <wp14:pctWidth>0</wp14:pctWidth>
            </wp14:sizeRelH>
            <wp14:sizeRelV relativeFrom="margin">
              <wp14:pctHeight>0</wp14:pctHeight>
            </wp14:sizeRelV>
          </wp:anchor>
        </w:drawing>
      </w: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0D470D" w:rsidRDefault="000D470D" w:rsidP="008C641A">
      <w:pPr>
        <w:widowControl w:val="0"/>
        <w:autoSpaceDE w:val="0"/>
        <w:autoSpaceDN w:val="0"/>
        <w:adjustRightInd w:val="0"/>
        <w:spacing w:after="0" w:line="360" w:lineRule="auto"/>
        <w:jc w:val="both"/>
        <w:rPr>
          <w:rFonts w:ascii="Arial" w:hAnsi="Arial" w:cs="Arial"/>
          <w:sz w:val="24"/>
        </w:rPr>
      </w:pPr>
    </w:p>
    <w:p w:rsidR="000D470D" w:rsidRDefault="000D470D"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021603" w:rsidP="008C641A">
      <w:pPr>
        <w:widowControl w:val="0"/>
        <w:autoSpaceDE w:val="0"/>
        <w:autoSpaceDN w:val="0"/>
        <w:adjustRightInd w:val="0"/>
        <w:spacing w:after="0" w:line="360" w:lineRule="auto"/>
        <w:jc w:val="both"/>
        <w:rPr>
          <w:rFonts w:ascii="Arial" w:hAnsi="Arial" w:cs="Arial"/>
          <w:sz w:val="24"/>
        </w:rPr>
      </w:pPr>
      <w:r>
        <w:rPr>
          <w:noProof/>
          <w:lang w:eastAsia="pt-BR"/>
        </w:rPr>
        <mc:AlternateContent>
          <mc:Choice Requires="wps">
            <w:drawing>
              <wp:anchor distT="0" distB="0" distL="114300" distR="114300" simplePos="0" relativeHeight="251751424" behindDoc="0" locked="0" layoutInCell="1" allowOverlap="1" wp14:anchorId="66F9D229" wp14:editId="19006848">
                <wp:simplePos x="0" y="0"/>
                <wp:positionH relativeFrom="column">
                  <wp:posOffset>-2195811</wp:posOffset>
                </wp:positionH>
                <wp:positionV relativeFrom="paragraph">
                  <wp:posOffset>90113</wp:posOffset>
                </wp:positionV>
                <wp:extent cx="1899057" cy="304800"/>
                <wp:effectExtent l="0" t="0" r="6350" b="0"/>
                <wp:wrapNone/>
                <wp:docPr id="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057" cy="304800"/>
                        </a:xfrm>
                        <a:prstGeom prst="rect">
                          <a:avLst/>
                        </a:prstGeom>
                        <a:solidFill>
                          <a:schemeClr val="bg1"/>
                        </a:solidFill>
                        <a:ln w="9525">
                          <a:noFill/>
                          <a:miter lim="800000"/>
                          <a:headEnd/>
                          <a:tailEnd/>
                        </a:ln>
                      </wps:spPr>
                      <wps:txbx>
                        <w:txbxContent>
                          <w:p w:rsidR="00B421DD" w:rsidRDefault="00B421DD" w:rsidP="00021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F9D229" id="_x0000_s1037" type="#_x0000_t202" style="position:absolute;left:0;text-align:left;margin-left:-172.9pt;margin-top:7.1pt;width:149.55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" fillcolor="white [3212]" stroked="f">
                <v:textbox>
                  <w:txbxContent>
                    <w:p w:rsidR="00986394" w:rsidRDefault="00986394" w:rsidP="00021603"/>
                  </w:txbxContent>
                </v:textbox>
              </v:shape>
            </w:pict>
          </mc:Fallback>
        </mc:AlternateContent>
      </w: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4D22D4" w:rsidRDefault="004D22D4" w:rsidP="008C641A">
      <w:pPr>
        <w:widowControl w:val="0"/>
        <w:autoSpaceDE w:val="0"/>
        <w:autoSpaceDN w:val="0"/>
        <w:adjustRightInd w:val="0"/>
        <w:spacing w:after="0" w:line="360" w:lineRule="auto"/>
        <w:jc w:val="both"/>
        <w:rPr>
          <w:rFonts w:ascii="Arial" w:hAnsi="Arial" w:cs="Arial"/>
          <w:sz w:val="24"/>
        </w:rPr>
      </w:pPr>
    </w:p>
    <w:p w:rsidR="004D22D4" w:rsidRDefault="004D22D4" w:rsidP="008C641A">
      <w:pPr>
        <w:widowControl w:val="0"/>
        <w:autoSpaceDE w:val="0"/>
        <w:autoSpaceDN w:val="0"/>
        <w:adjustRightInd w:val="0"/>
        <w:spacing w:after="0" w:line="360" w:lineRule="auto"/>
        <w:jc w:val="both"/>
        <w:rPr>
          <w:rFonts w:ascii="Arial" w:hAnsi="Arial" w:cs="Arial"/>
          <w:sz w:val="24"/>
        </w:rPr>
      </w:pPr>
    </w:p>
    <w:p w:rsidR="004D22D4" w:rsidRDefault="004D22D4" w:rsidP="008C641A">
      <w:pPr>
        <w:widowControl w:val="0"/>
        <w:autoSpaceDE w:val="0"/>
        <w:autoSpaceDN w:val="0"/>
        <w:adjustRightInd w:val="0"/>
        <w:spacing w:after="0" w:line="360" w:lineRule="auto"/>
        <w:jc w:val="both"/>
        <w:rPr>
          <w:rFonts w:ascii="Arial" w:hAnsi="Arial" w:cs="Arial"/>
          <w:sz w:val="24"/>
        </w:rPr>
      </w:pPr>
    </w:p>
    <w:p w:rsidR="004D22D4" w:rsidRDefault="004D22D4" w:rsidP="008C641A">
      <w:pPr>
        <w:widowControl w:val="0"/>
        <w:autoSpaceDE w:val="0"/>
        <w:autoSpaceDN w:val="0"/>
        <w:adjustRightInd w:val="0"/>
        <w:spacing w:after="0" w:line="360" w:lineRule="auto"/>
        <w:jc w:val="both"/>
        <w:rPr>
          <w:rFonts w:ascii="Arial" w:hAnsi="Arial" w:cs="Arial"/>
          <w:sz w:val="24"/>
        </w:rPr>
      </w:pPr>
    </w:p>
    <w:p w:rsidR="004D22D4" w:rsidRDefault="004D22D4" w:rsidP="008C641A">
      <w:pPr>
        <w:widowControl w:val="0"/>
        <w:autoSpaceDE w:val="0"/>
        <w:autoSpaceDN w:val="0"/>
        <w:adjustRightInd w:val="0"/>
        <w:spacing w:after="0" w:line="360" w:lineRule="auto"/>
        <w:jc w:val="both"/>
        <w:rPr>
          <w:rFonts w:ascii="Arial" w:hAnsi="Arial" w:cs="Arial"/>
          <w:sz w:val="24"/>
        </w:rPr>
      </w:pPr>
    </w:p>
    <w:p w:rsidR="004D22D4" w:rsidRDefault="00021603" w:rsidP="008C641A">
      <w:pPr>
        <w:widowControl w:val="0"/>
        <w:autoSpaceDE w:val="0"/>
        <w:autoSpaceDN w:val="0"/>
        <w:adjustRightInd w:val="0"/>
        <w:spacing w:after="0" w:line="360" w:lineRule="auto"/>
        <w:jc w:val="both"/>
        <w:rPr>
          <w:rFonts w:ascii="Arial" w:hAnsi="Arial" w:cs="Arial"/>
          <w:sz w:val="24"/>
        </w:rPr>
      </w:pPr>
      <w:r>
        <w:rPr>
          <w:noProof/>
          <w:lang w:eastAsia="pt-BR"/>
        </w:rPr>
        <w:lastRenderedPageBreak/>
        <mc:AlternateContent>
          <mc:Choice Requires="wps">
            <w:drawing>
              <wp:anchor distT="0" distB="0" distL="114300" distR="114300" simplePos="0" relativeHeight="251753472" behindDoc="0" locked="0" layoutInCell="1" allowOverlap="1" wp14:anchorId="3FAD4F86" wp14:editId="76D09873">
                <wp:simplePos x="0" y="0"/>
                <wp:positionH relativeFrom="column">
                  <wp:posOffset>3471394</wp:posOffset>
                </wp:positionH>
                <wp:positionV relativeFrom="paragraph">
                  <wp:posOffset>-690653</wp:posOffset>
                </wp:positionV>
                <wp:extent cx="2021888" cy="271098"/>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88" cy="271098"/>
                        </a:xfrm>
                        <a:prstGeom prst="rect">
                          <a:avLst/>
                        </a:prstGeom>
                        <a:solidFill>
                          <a:schemeClr val="bg1"/>
                        </a:solidFill>
                        <a:ln w="9525">
                          <a:noFill/>
                          <a:miter lim="800000"/>
                          <a:headEnd/>
                          <a:tailEnd/>
                        </a:ln>
                      </wps:spPr>
                      <wps:txbx>
                        <w:txbxContent>
                          <w:p w:rsidR="00B421DD" w:rsidRDefault="00B421DD" w:rsidP="00021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AD4F86" id="_x0000_s1038" type="#_x0000_t202" style="position:absolute;left:0;text-align:left;margin-left:273.35pt;margin-top:-54.4pt;width:159.2pt;height:21.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" fillcolor="white [3212]" stroked="f">
                <v:textbox>
                  <w:txbxContent>
                    <w:p w:rsidR="00986394" w:rsidRDefault="00986394" w:rsidP="00021603"/>
                  </w:txbxContent>
                </v:textbox>
              </v:shape>
            </w:pict>
          </mc:Fallback>
        </mc:AlternateContent>
      </w:r>
      <w:r w:rsidR="0085483C">
        <w:rPr>
          <w:noProof/>
          <w:lang w:eastAsia="pt-BR"/>
        </w:rPr>
        <w:drawing>
          <wp:anchor distT="0" distB="0" distL="114300" distR="114300" simplePos="0" relativeHeight="251742208" behindDoc="1" locked="0" layoutInCell="1" allowOverlap="1" wp14:anchorId="3B756CA3" wp14:editId="22D5829B">
            <wp:simplePos x="0" y="0"/>
            <wp:positionH relativeFrom="column">
              <wp:posOffset>2540</wp:posOffset>
            </wp:positionH>
            <wp:positionV relativeFrom="paragraph">
              <wp:posOffset>-125730</wp:posOffset>
            </wp:positionV>
            <wp:extent cx="5612130" cy="7260590"/>
            <wp:effectExtent l="0" t="0" r="7620" b="0"/>
            <wp:wrapThrough wrapText="bothSides">
              <wp:wrapPolygon edited="0">
                <wp:start x="0" y="0"/>
                <wp:lineTo x="0" y="21536"/>
                <wp:lineTo x="21556" y="21536"/>
                <wp:lineTo x="21556" y="0"/>
                <wp:lineTo x="0" y="0"/>
              </wp:wrapPolygon>
            </wp:wrapThrough>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612130" cy="7260590"/>
                    </a:xfrm>
                    <a:prstGeom prst="rect">
                      <a:avLst/>
                    </a:prstGeom>
                  </pic:spPr>
                </pic:pic>
              </a:graphicData>
            </a:graphic>
            <wp14:sizeRelH relativeFrom="margin">
              <wp14:pctWidth>0</wp14:pctWidth>
            </wp14:sizeRelH>
            <wp14:sizeRelV relativeFrom="margin">
              <wp14:pctHeight>0</wp14:pctHeight>
            </wp14:sizeRelV>
          </wp:anchor>
        </w:drawing>
      </w:r>
    </w:p>
    <w:p w:rsidR="004D22D4" w:rsidRDefault="004D22D4" w:rsidP="008C641A">
      <w:pPr>
        <w:widowControl w:val="0"/>
        <w:autoSpaceDE w:val="0"/>
        <w:autoSpaceDN w:val="0"/>
        <w:adjustRightInd w:val="0"/>
        <w:spacing w:after="0" w:line="360" w:lineRule="auto"/>
        <w:jc w:val="both"/>
        <w:rPr>
          <w:rFonts w:ascii="Arial" w:hAnsi="Arial" w:cs="Arial"/>
          <w:sz w:val="24"/>
        </w:rPr>
      </w:pPr>
    </w:p>
    <w:p w:rsidR="004D22D4" w:rsidRDefault="004D22D4" w:rsidP="008C641A">
      <w:pPr>
        <w:widowControl w:val="0"/>
        <w:autoSpaceDE w:val="0"/>
        <w:autoSpaceDN w:val="0"/>
        <w:adjustRightInd w:val="0"/>
        <w:spacing w:after="0" w:line="360" w:lineRule="auto"/>
        <w:jc w:val="both"/>
        <w:rPr>
          <w:rFonts w:ascii="Arial" w:hAnsi="Arial" w:cs="Arial"/>
          <w:sz w:val="24"/>
        </w:rPr>
      </w:pPr>
    </w:p>
    <w:p w:rsidR="004D22D4" w:rsidRDefault="004D22D4" w:rsidP="008C641A">
      <w:pPr>
        <w:widowControl w:val="0"/>
        <w:autoSpaceDE w:val="0"/>
        <w:autoSpaceDN w:val="0"/>
        <w:adjustRightInd w:val="0"/>
        <w:spacing w:after="0" w:line="360" w:lineRule="auto"/>
        <w:jc w:val="both"/>
        <w:rPr>
          <w:rFonts w:ascii="Arial" w:hAnsi="Arial" w:cs="Arial"/>
          <w:sz w:val="24"/>
        </w:rPr>
      </w:pPr>
    </w:p>
    <w:p w:rsidR="004D22D4" w:rsidRDefault="004D22D4" w:rsidP="008C641A">
      <w:pPr>
        <w:widowControl w:val="0"/>
        <w:autoSpaceDE w:val="0"/>
        <w:autoSpaceDN w:val="0"/>
        <w:adjustRightInd w:val="0"/>
        <w:spacing w:after="0" w:line="360" w:lineRule="auto"/>
        <w:jc w:val="both"/>
        <w:rPr>
          <w:rFonts w:ascii="Arial" w:hAnsi="Arial" w:cs="Arial"/>
          <w:sz w:val="24"/>
        </w:rPr>
      </w:pPr>
    </w:p>
    <w:p w:rsidR="004D22D4" w:rsidRDefault="004D22D4" w:rsidP="008C641A">
      <w:pPr>
        <w:widowControl w:val="0"/>
        <w:autoSpaceDE w:val="0"/>
        <w:autoSpaceDN w:val="0"/>
        <w:adjustRightInd w:val="0"/>
        <w:spacing w:after="0" w:line="360" w:lineRule="auto"/>
        <w:jc w:val="both"/>
        <w:rPr>
          <w:rFonts w:ascii="Arial" w:hAnsi="Arial" w:cs="Arial"/>
          <w:sz w:val="24"/>
        </w:rPr>
      </w:pPr>
    </w:p>
    <w:p w:rsidR="004D22D4" w:rsidRDefault="00021603" w:rsidP="008C641A">
      <w:pPr>
        <w:widowControl w:val="0"/>
        <w:autoSpaceDE w:val="0"/>
        <w:autoSpaceDN w:val="0"/>
        <w:adjustRightInd w:val="0"/>
        <w:spacing w:after="0" w:line="360" w:lineRule="auto"/>
        <w:jc w:val="both"/>
        <w:rPr>
          <w:rFonts w:ascii="Arial" w:hAnsi="Arial" w:cs="Arial"/>
          <w:sz w:val="24"/>
        </w:rPr>
      </w:pPr>
      <w:r>
        <w:rPr>
          <w:noProof/>
          <w:lang w:eastAsia="pt-BR"/>
        </w:rPr>
        <w:lastRenderedPageBreak/>
        <mc:AlternateContent>
          <mc:Choice Requires="wps">
            <w:drawing>
              <wp:anchor distT="0" distB="0" distL="114300" distR="114300" simplePos="0" relativeHeight="251755520" behindDoc="0" locked="0" layoutInCell="1" allowOverlap="1" wp14:anchorId="74004288" wp14:editId="49054D86">
                <wp:simplePos x="0" y="0"/>
                <wp:positionH relativeFrom="column">
                  <wp:posOffset>3409979</wp:posOffset>
                </wp:positionH>
                <wp:positionV relativeFrom="paragraph">
                  <wp:posOffset>-724772</wp:posOffset>
                </wp:positionV>
                <wp:extent cx="2035536" cy="264274"/>
                <wp:effectExtent l="0" t="0" r="3175" b="2540"/>
                <wp:wrapNone/>
                <wp:docPr id="4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536" cy="264274"/>
                        </a:xfrm>
                        <a:prstGeom prst="rect">
                          <a:avLst/>
                        </a:prstGeom>
                        <a:solidFill>
                          <a:schemeClr val="bg1"/>
                        </a:solidFill>
                        <a:ln w="9525">
                          <a:noFill/>
                          <a:miter lim="800000"/>
                          <a:headEnd/>
                          <a:tailEnd/>
                        </a:ln>
                      </wps:spPr>
                      <wps:txbx>
                        <w:txbxContent>
                          <w:p w:rsidR="00B421DD" w:rsidRDefault="00B421DD" w:rsidP="00021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04288" id="_x0000_s1039" type="#_x0000_t202" style="position:absolute;left:0;text-align:left;margin-left:268.5pt;margin-top:-57.05pt;width:160.3pt;height:20.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" fillcolor="white [3212]" stroked="f">
                <v:textbox>
                  <w:txbxContent>
                    <w:p w:rsidR="00986394" w:rsidRDefault="00986394" w:rsidP="00021603"/>
                  </w:txbxContent>
                </v:textbox>
              </v:shape>
            </w:pict>
          </mc:Fallback>
        </mc:AlternateContent>
      </w:r>
      <w:r w:rsidR="0085483C">
        <w:rPr>
          <w:noProof/>
          <w:lang w:eastAsia="pt-BR"/>
        </w:rPr>
        <w:drawing>
          <wp:anchor distT="0" distB="0" distL="114300" distR="114300" simplePos="0" relativeHeight="251743232" behindDoc="1" locked="0" layoutInCell="1" allowOverlap="1" wp14:anchorId="6B7BD9BB" wp14:editId="095CC2CA">
            <wp:simplePos x="0" y="0"/>
            <wp:positionH relativeFrom="column">
              <wp:posOffset>3810</wp:posOffset>
            </wp:positionH>
            <wp:positionV relativeFrom="paragraph">
              <wp:posOffset>-168910</wp:posOffset>
            </wp:positionV>
            <wp:extent cx="5612130" cy="7260590"/>
            <wp:effectExtent l="0" t="0" r="7620" b="0"/>
            <wp:wrapThrough wrapText="bothSides">
              <wp:wrapPolygon edited="0">
                <wp:start x="0" y="0"/>
                <wp:lineTo x="0" y="21536"/>
                <wp:lineTo x="21556" y="21536"/>
                <wp:lineTo x="21556" y="0"/>
                <wp:lineTo x="0" y="0"/>
              </wp:wrapPolygon>
            </wp:wrapThrough>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612130" cy="7260590"/>
                    </a:xfrm>
                    <a:prstGeom prst="rect">
                      <a:avLst/>
                    </a:prstGeom>
                  </pic:spPr>
                </pic:pic>
              </a:graphicData>
            </a:graphic>
            <wp14:sizeRelH relativeFrom="margin">
              <wp14:pctWidth>0</wp14:pctWidth>
            </wp14:sizeRelH>
            <wp14:sizeRelV relativeFrom="margin">
              <wp14:pctHeight>0</wp14:pctHeight>
            </wp14:sizeRelV>
          </wp:anchor>
        </w:drawing>
      </w:r>
    </w:p>
    <w:p w:rsidR="006F3060" w:rsidRDefault="006F3060" w:rsidP="008C641A">
      <w:pPr>
        <w:widowControl w:val="0"/>
        <w:autoSpaceDE w:val="0"/>
        <w:autoSpaceDN w:val="0"/>
        <w:adjustRightInd w:val="0"/>
        <w:spacing w:after="0" w:line="360" w:lineRule="auto"/>
        <w:jc w:val="both"/>
        <w:rPr>
          <w:rFonts w:ascii="Arial" w:hAnsi="Arial" w:cs="Arial"/>
          <w:sz w:val="24"/>
        </w:rPr>
      </w:pPr>
    </w:p>
    <w:p w:rsidR="00837042" w:rsidRDefault="00837042"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021603" w:rsidP="008C641A">
      <w:pPr>
        <w:widowControl w:val="0"/>
        <w:autoSpaceDE w:val="0"/>
        <w:autoSpaceDN w:val="0"/>
        <w:adjustRightInd w:val="0"/>
        <w:spacing w:after="0" w:line="360" w:lineRule="auto"/>
        <w:jc w:val="both"/>
        <w:rPr>
          <w:rFonts w:ascii="Arial" w:hAnsi="Arial" w:cs="Arial"/>
          <w:sz w:val="24"/>
        </w:rPr>
      </w:pPr>
      <w:r>
        <w:rPr>
          <w:noProof/>
          <w:lang w:eastAsia="pt-BR"/>
        </w:rPr>
        <w:lastRenderedPageBreak/>
        <mc:AlternateContent>
          <mc:Choice Requires="wps">
            <w:drawing>
              <wp:anchor distT="0" distB="0" distL="114300" distR="114300" simplePos="0" relativeHeight="251757568" behindDoc="0" locked="0" layoutInCell="1" allowOverlap="1" wp14:anchorId="46A9696B" wp14:editId="6C3E03E3">
                <wp:simplePos x="0" y="0"/>
                <wp:positionH relativeFrom="column">
                  <wp:posOffset>3505514</wp:posOffset>
                </wp:positionH>
                <wp:positionV relativeFrom="paragraph">
                  <wp:posOffset>-806659</wp:posOffset>
                </wp:positionV>
                <wp:extent cx="1987768" cy="298394"/>
                <wp:effectExtent l="0" t="0" r="0" b="698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768" cy="298394"/>
                        </a:xfrm>
                        <a:prstGeom prst="rect">
                          <a:avLst/>
                        </a:prstGeom>
                        <a:solidFill>
                          <a:schemeClr val="bg1"/>
                        </a:solidFill>
                        <a:ln w="9525">
                          <a:noFill/>
                          <a:miter lim="800000"/>
                          <a:headEnd/>
                          <a:tailEnd/>
                        </a:ln>
                      </wps:spPr>
                      <wps:txbx>
                        <w:txbxContent>
                          <w:p w:rsidR="00B421DD" w:rsidRDefault="00B421DD" w:rsidP="00021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9696B" id="_x0000_s1040" type="#_x0000_t202" style="position:absolute;left:0;text-align:left;margin-left:276pt;margin-top:-63.5pt;width:156.5pt;height:2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" fillcolor="white [3212]" stroked="f">
                <v:textbox>
                  <w:txbxContent>
                    <w:p w:rsidR="00986394" w:rsidRDefault="00986394" w:rsidP="00021603"/>
                  </w:txbxContent>
                </v:textbox>
              </v:shape>
            </w:pict>
          </mc:Fallback>
        </mc:AlternateContent>
      </w:r>
      <w:r w:rsidR="0085483C">
        <w:rPr>
          <w:noProof/>
          <w:lang w:eastAsia="pt-BR"/>
        </w:rPr>
        <w:drawing>
          <wp:anchor distT="0" distB="0" distL="114300" distR="114300" simplePos="0" relativeHeight="251744256" behindDoc="1" locked="0" layoutInCell="1" allowOverlap="1" wp14:anchorId="22280963" wp14:editId="74FCE06C">
            <wp:simplePos x="0" y="0"/>
            <wp:positionH relativeFrom="column">
              <wp:posOffset>3810</wp:posOffset>
            </wp:positionH>
            <wp:positionV relativeFrom="paragraph">
              <wp:posOffset>-136525</wp:posOffset>
            </wp:positionV>
            <wp:extent cx="5612130" cy="7260590"/>
            <wp:effectExtent l="0" t="0" r="7620" b="0"/>
            <wp:wrapThrough wrapText="bothSides">
              <wp:wrapPolygon edited="0">
                <wp:start x="0" y="0"/>
                <wp:lineTo x="0" y="21536"/>
                <wp:lineTo x="21556" y="21536"/>
                <wp:lineTo x="21556" y="0"/>
                <wp:lineTo x="0" y="0"/>
              </wp:wrapPolygon>
            </wp:wrapThrough>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612130" cy="7260590"/>
                    </a:xfrm>
                    <a:prstGeom prst="rect">
                      <a:avLst/>
                    </a:prstGeom>
                  </pic:spPr>
                </pic:pic>
              </a:graphicData>
            </a:graphic>
            <wp14:sizeRelH relativeFrom="margin">
              <wp14:pctWidth>0</wp14:pctWidth>
            </wp14:sizeRelH>
            <wp14:sizeRelV relativeFrom="margin">
              <wp14:pctHeight>0</wp14:pctHeight>
            </wp14:sizeRelV>
          </wp:anchor>
        </w:drawing>
      </w: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021603" w:rsidP="008C641A">
      <w:pPr>
        <w:widowControl w:val="0"/>
        <w:autoSpaceDE w:val="0"/>
        <w:autoSpaceDN w:val="0"/>
        <w:adjustRightInd w:val="0"/>
        <w:spacing w:after="0" w:line="360" w:lineRule="auto"/>
        <w:jc w:val="both"/>
        <w:rPr>
          <w:rFonts w:ascii="Arial" w:hAnsi="Arial" w:cs="Arial"/>
          <w:sz w:val="24"/>
        </w:rPr>
      </w:pPr>
      <w:r>
        <w:rPr>
          <w:noProof/>
          <w:lang w:eastAsia="pt-BR"/>
        </w:rPr>
        <w:lastRenderedPageBreak/>
        <mc:AlternateContent>
          <mc:Choice Requires="wps">
            <w:drawing>
              <wp:anchor distT="0" distB="0" distL="114300" distR="114300" simplePos="0" relativeHeight="251759616" behindDoc="0" locked="0" layoutInCell="1" allowOverlap="1" wp14:anchorId="243A77B0" wp14:editId="720E565A">
                <wp:simplePos x="0" y="0"/>
                <wp:positionH relativeFrom="column">
                  <wp:posOffset>3369035</wp:posOffset>
                </wp:positionH>
                <wp:positionV relativeFrom="paragraph">
                  <wp:posOffset>-758891</wp:posOffset>
                </wp:positionV>
                <wp:extent cx="2028655" cy="291569"/>
                <wp:effectExtent l="0" t="0" r="0" b="0"/>
                <wp:wrapNone/>
                <wp:docPr id="4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655" cy="291569"/>
                        </a:xfrm>
                        <a:prstGeom prst="rect">
                          <a:avLst/>
                        </a:prstGeom>
                        <a:solidFill>
                          <a:schemeClr val="bg1"/>
                        </a:solidFill>
                        <a:ln w="9525">
                          <a:noFill/>
                          <a:miter lim="800000"/>
                          <a:headEnd/>
                          <a:tailEnd/>
                        </a:ln>
                      </wps:spPr>
                      <wps:txbx>
                        <w:txbxContent>
                          <w:p w:rsidR="00B421DD" w:rsidRDefault="00B421DD" w:rsidP="00021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A77B0" id="_x0000_s1041" type="#_x0000_t202" style="position:absolute;left:0;text-align:left;margin-left:265.3pt;margin-top:-59.75pt;width:159.75pt;height:22.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" fillcolor="white [3212]" stroked="f">
                <v:textbox>
                  <w:txbxContent>
                    <w:p w:rsidR="00986394" w:rsidRDefault="00986394" w:rsidP="00021603"/>
                  </w:txbxContent>
                </v:textbox>
              </v:shape>
            </w:pict>
          </mc:Fallback>
        </mc:AlternateContent>
      </w:r>
      <w:r w:rsidR="0085483C">
        <w:rPr>
          <w:noProof/>
          <w:lang w:eastAsia="pt-BR"/>
        </w:rPr>
        <w:drawing>
          <wp:anchor distT="0" distB="0" distL="114300" distR="114300" simplePos="0" relativeHeight="251745280" behindDoc="1" locked="0" layoutInCell="1" allowOverlap="1" wp14:anchorId="2B13BC79" wp14:editId="2F323883">
            <wp:simplePos x="0" y="0"/>
            <wp:positionH relativeFrom="column">
              <wp:posOffset>3810</wp:posOffset>
            </wp:positionH>
            <wp:positionV relativeFrom="paragraph">
              <wp:posOffset>-104140</wp:posOffset>
            </wp:positionV>
            <wp:extent cx="5612130" cy="7260590"/>
            <wp:effectExtent l="0" t="0" r="7620" b="0"/>
            <wp:wrapThrough wrapText="bothSides">
              <wp:wrapPolygon edited="0">
                <wp:start x="0" y="0"/>
                <wp:lineTo x="0" y="21536"/>
                <wp:lineTo x="21556" y="21536"/>
                <wp:lineTo x="21556" y="0"/>
                <wp:lineTo x="0" y="0"/>
              </wp:wrapPolygon>
            </wp:wrapThrough>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612130" cy="7260590"/>
                    </a:xfrm>
                    <a:prstGeom prst="rect">
                      <a:avLst/>
                    </a:prstGeom>
                  </pic:spPr>
                </pic:pic>
              </a:graphicData>
            </a:graphic>
            <wp14:sizeRelH relativeFrom="margin">
              <wp14:pctWidth>0</wp14:pctWidth>
            </wp14:sizeRelH>
            <wp14:sizeRelV relativeFrom="margin">
              <wp14:pctHeight>0</wp14:pctHeight>
            </wp14:sizeRelV>
          </wp:anchor>
        </w:drawing>
      </w: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6F3060" w:rsidP="008C641A">
      <w:pPr>
        <w:widowControl w:val="0"/>
        <w:autoSpaceDE w:val="0"/>
        <w:autoSpaceDN w:val="0"/>
        <w:adjustRightInd w:val="0"/>
        <w:spacing w:after="0" w:line="360" w:lineRule="auto"/>
        <w:jc w:val="both"/>
        <w:rPr>
          <w:rFonts w:ascii="Arial" w:hAnsi="Arial" w:cs="Arial"/>
          <w:sz w:val="24"/>
        </w:rPr>
      </w:pPr>
    </w:p>
    <w:p w:rsidR="006F3060" w:rsidRDefault="00021603" w:rsidP="008C641A">
      <w:pPr>
        <w:widowControl w:val="0"/>
        <w:autoSpaceDE w:val="0"/>
        <w:autoSpaceDN w:val="0"/>
        <w:adjustRightInd w:val="0"/>
        <w:spacing w:after="0" w:line="360" w:lineRule="auto"/>
        <w:jc w:val="both"/>
        <w:rPr>
          <w:rFonts w:ascii="Arial" w:hAnsi="Arial" w:cs="Arial"/>
          <w:sz w:val="24"/>
        </w:rPr>
      </w:pPr>
      <w:r>
        <w:rPr>
          <w:noProof/>
          <w:lang w:eastAsia="pt-BR"/>
        </w:rPr>
        <w:lastRenderedPageBreak/>
        <mc:AlternateContent>
          <mc:Choice Requires="wps">
            <w:drawing>
              <wp:anchor distT="0" distB="0" distL="114300" distR="114300" simplePos="0" relativeHeight="251761664" behindDoc="0" locked="0" layoutInCell="1" allowOverlap="1" wp14:anchorId="34AEC92A" wp14:editId="3068265A">
                <wp:simplePos x="0" y="0"/>
                <wp:positionH relativeFrom="column">
                  <wp:posOffset>3478218</wp:posOffset>
                </wp:positionH>
                <wp:positionV relativeFrom="paragraph">
                  <wp:posOffset>-886384</wp:posOffset>
                </wp:positionV>
                <wp:extent cx="2001416" cy="346160"/>
                <wp:effectExtent l="0" t="0" r="0" b="0"/>
                <wp:wrapNone/>
                <wp:docPr id="4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416" cy="346160"/>
                        </a:xfrm>
                        <a:prstGeom prst="rect">
                          <a:avLst/>
                        </a:prstGeom>
                        <a:solidFill>
                          <a:schemeClr val="bg1"/>
                        </a:solidFill>
                        <a:ln w="9525">
                          <a:noFill/>
                          <a:miter lim="800000"/>
                          <a:headEnd/>
                          <a:tailEnd/>
                        </a:ln>
                      </wps:spPr>
                      <wps:txbx>
                        <w:txbxContent>
                          <w:p w:rsidR="00B421DD" w:rsidRDefault="00B421DD" w:rsidP="00021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EC92A" id="_x0000_s1042" type="#_x0000_t202" style="position:absolute;left:0;text-align:left;margin-left:273.9pt;margin-top:-69.8pt;width:157.6pt;height:27.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" fillcolor="white [3212]" stroked="f">
                <v:textbox>
                  <w:txbxContent>
                    <w:p w:rsidR="00986394" w:rsidRDefault="00986394" w:rsidP="00021603"/>
                  </w:txbxContent>
                </v:textbox>
              </v:shape>
            </w:pict>
          </mc:Fallback>
        </mc:AlternateContent>
      </w:r>
      <w:r w:rsidR="0085483C">
        <w:rPr>
          <w:noProof/>
          <w:lang w:eastAsia="pt-BR"/>
        </w:rPr>
        <w:drawing>
          <wp:anchor distT="0" distB="0" distL="114300" distR="114300" simplePos="0" relativeHeight="251746304" behindDoc="1" locked="0" layoutInCell="1" allowOverlap="1" wp14:anchorId="26941939" wp14:editId="1A9860F9">
            <wp:simplePos x="0" y="0"/>
            <wp:positionH relativeFrom="column">
              <wp:posOffset>3810</wp:posOffset>
            </wp:positionH>
            <wp:positionV relativeFrom="paragraph">
              <wp:posOffset>3810</wp:posOffset>
            </wp:positionV>
            <wp:extent cx="5612400" cy="7261200"/>
            <wp:effectExtent l="0" t="0" r="7620" b="0"/>
            <wp:wrapThrough wrapText="bothSides">
              <wp:wrapPolygon edited="0">
                <wp:start x="0" y="0"/>
                <wp:lineTo x="0" y="21536"/>
                <wp:lineTo x="21556" y="21536"/>
                <wp:lineTo x="21556" y="0"/>
                <wp:lineTo x="0" y="0"/>
              </wp:wrapPolygon>
            </wp:wrapThrough>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612400" cy="7261200"/>
                    </a:xfrm>
                    <a:prstGeom prst="rect">
                      <a:avLst/>
                    </a:prstGeom>
                  </pic:spPr>
                </pic:pic>
              </a:graphicData>
            </a:graphic>
            <wp14:sizeRelH relativeFrom="margin">
              <wp14:pctWidth>0</wp14:pctWidth>
            </wp14:sizeRelH>
            <wp14:sizeRelV relativeFrom="margin">
              <wp14:pctHeight>0</wp14:pctHeight>
            </wp14:sizeRelV>
          </wp:anchor>
        </w:drawing>
      </w:r>
    </w:p>
    <w:p w:rsidR="00837042" w:rsidRDefault="00837042" w:rsidP="008C641A">
      <w:pPr>
        <w:widowControl w:val="0"/>
        <w:autoSpaceDE w:val="0"/>
        <w:autoSpaceDN w:val="0"/>
        <w:adjustRightInd w:val="0"/>
        <w:spacing w:after="0" w:line="360" w:lineRule="auto"/>
        <w:jc w:val="both"/>
        <w:rPr>
          <w:rFonts w:ascii="Arial" w:hAnsi="Arial" w:cs="Arial"/>
          <w:sz w:val="24"/>
        </w:rPr>
      </w:pPr>
    </w:p>
    <w:p w:rsidR="00837042" w:rsidRDefault="00837042" w:rsidP="008C641A">
      <w:pPr>
        <w:widowControl w:val="0"/>
        <w:autoSpaceDE w:val="0"/>
        <w:autoSpaceDN w:val="0"/>
        <w:adjustRightInd w:val="0"/>
        <w:spacing w:after="0" w:line="360" w:lineRule="auto"/>
        <w:jc w:val="both"/>
        <w:rPr>
          <w:rFonts w:ascii="Arial" w:hAnsi="Arial" w:cs="Arial"/>
          <w:sz w:val="24"/>
        </w:rPr>
      </w:pPr>
    </w:p>
    <w:p w:rsidR="00837042" w:rsidRDefault="00837042" w:rsidP="008C641A">
      <w:pPr>
        <w:widowControl w:val="0"/>
        <w:autoSpaceDE w:val="0"/>
        <w:autoSpaceDN w:val="0"/>
        <w:adjustRightInd w:val="0"/>
        <w:spacing w:after="0" w:line="360" w:lineRule="auto"/>
        <w:jc w:val="both"/>
        <w:rPr>
          <w:rFonts w:ascii="Arial" w:hAnsi="Arial" w:cs="Arial"/>
          <w:sz w:val="24"/>
        </w:rPr>
      </w:pPr>
    </w:p>
    <w:p w:rsidR="00837042" w:rsidRDefault="00837042" w:rsidP="008C641A">
      <w:pPr>
        <w:widowControl w:val="0"/>
        <w:autoSpaceDE w:val="0"/>
        <w:autoSpaceDN w:val="0"/>
        <w:adjustRightInd w:val="0"/>
        <w:spacing w:after="0" w:line="360" w:lineRule="auto"/>
        <w:jc w:val="both"/>
        <w:rPr>
          <w:rFonts w:ascii="Arial" w:hAnsi="Arial" w:cs="Arial"/>
          <w:sz w:val="24"/>
        </w:rPr>
      </w:pPr>
    </w:p>
    <w:p w:rsidR="00837042" w:rsidRDefault="00837042" w:rsidP="008C641A">
      <w:pPr>
        <w:widowControl w:val="0"/>
        <w:autoSpaceDE w:val="0"/>
        <w:autoSpaceDN w:val="0"/>
        <w:adjustRightInd w:val="0"/>
        <w:spacing w:after="0" w:line="360" w:lineRule="auto"/>
        <w:jc w:val="both"/>
        <w:rPr>
          <w:rFonts w:ascii="Arial" w:hAnsi="Arial" w:cs="Arial"/>
          <w:sz w:val="24"/>
        </w:rPr>
      </w:pPr>
    </w:p>
    <w:p w:rsidR="00837042" w:rsidRDefault="00021603" w:rsidP="008C641A">
      <w:pPr>
        <w:widowControl w:val="0"/>
        <w:autoSpaceDE w:val="0"/>
        <w:autoSpaceDN w:val="0"/>
        <w:adjustRightInd w:val="0"/>
        <w:spacing w:after="0" w:line="360" w:lineRule="auto"/>
        <w:jc w:val="both"/>
        <w:rPr>
          <w:rFonts w:ascii="Arial" w:hAnsi="Arial" w:cs="Arial"/>
          <w:sz w:val="24"/>
        </w:rPr>
      </w:pPr>
      <w:r>
        <w:rPr>
          <w:noProof/>
          <w:lang w:eastAsia="pt-BR"/>
        </w:rPr>
        <w:lastRenderedPageBreak/>
        <mc:AlternateContent>
          <mc:Choice Requires="wps">
            <w:drawing>
              <wp:anchor distT="0" distB="0" distL="114300" distR="114300" simplePos="0" relativeHeight="251763712" behindDoc="0" locked="0" layoutInCell="1" allowOverlap="1" wp14:anchorId="62CCEBF3" wp14:editId="6A84ABA8">
                <wp:simplePos x="0" y="0"/>
                <wp:positionH relativeFrom="column">
                  <wp:posOffset>3314445</wp:posOffset>
                </wp:positionH>
                <wp:positionV relativeFrom="paragraph">
                  <wp:posOffset>-779363</wp:posOffset>
                </wp:positionV>
                <wp:extent cx="2117422" cy="284745"/>
                <wp:effectExtent l="0" t="0" r="0" b="1270"/>
                <wp:wrapNone/>
                <wp:docPr id="4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422" cy="284745"/>
                        </a:xfrm>
                        <a:prstGeom prst="rect">
                          <a:avLst/>
                        </a:prstGeom>
                        <a:solidFill>
                          <a:schemeClr val="bg1"/>
                        </a:solidFill>
                        <a:ln w="9525">
                          <a:noFill/>
                          <a:miter lim="800000"/>
                          <a:headEnd/>
                          <a:tailEnd/>
                        </a:ln>
                      </wps:spPr>
                      <wps:txbx>
                        <w:txbxContent>
                          <w:p w:rsidR="00B421DD" w:rsidRDefault="00B421DD" w:rsidP="00021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CCEBF3" id="_x0000_s1043" type="#_x0000_t202" style="position:absolute;left:0;text-align:left;margin-left:261pt;margin-top:-61.35pt;width:166.75pt;height:2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" fillcolor="white [3212]" stroked="f">
                <v:textbox>
                  <w:txbxContent>
                    <w:p w:rsidR="00986394" w:rsidRDefault="00986394" w:rsidP="00021603"/>
                  </w:txbxContent>
                </v:textbox>
              </v:shape>
            </w:pict>
          </mc:Fallback>
        </mc:AlternateContent>
      </w:r>
      <w:r w:rsidR="0085483C">
        <w:rPr>
          <w:noProof/>
          <w:lang w:eastAsia="pt-BR"/>
        </w:rPr>
        <w:drawing>
          <wp:anchor distT="0" distB="0" distL="114300" distR="114300" simplePos="0" relativeHeight="251747328" behindDoc="1" locked="0" layoutInCell="1" allowOverlap="1" wp14:anchorId="7EBA38D3" wp14:editId="4922ECF7">
            <wp:simplePos x="0" y="0"/>
            <wp:positionH relativeFrom="column">
              <wp:posOffset>3810</wp:posOffset>
            </wp:positionH>
            <wp:positionV relativeFrom="paragraph">
              <wp:posOffset>-114935</wp:posOffset>
            </wp:positionV>
            <wp:extent cx="5612130" cy="7260590"/>
            <wp:effectExtent l="0" t="0" r="7620" b="0"/>
            <wp:wrapThrough wrapText="bothSides">
              <wp:wrapPolygon edited="0">
                <wp:start x="0" y="0"/>
                <wp:lineTo x="0" y="21536"/>
                <wp:lineTo x="21556" y="21536"/>
                <wp:lineTo x="21556" y="0"/>
                <wp:lineTo x="0" y="0"/>
              </wp:wrapPolygon>
            </wp:wrapThrough>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612130" cy="7260590"/>
                    </a:xfrm>
                    <a:prstGeom prst="rect">
                      <a:avLst/>
                    </a:prstGeom>
                  </pic:spPr>
                </pic:pic>
              </a:graphicData>
            </a:graphic>
            <wp14:sizeRelH relativeFrom="margin">
              <wp14:pctWidth>0</wp14:pctWidth>
            </wp14:sizeRelH>
            <wp14:sizeRelV relativeFrom="margin">
              <wp14:pctHeight>0</wp14:pctHeight>
            </wp14:sizeRelV>
          </wp:anchor>
        </w:drawing>
      </w:r>
    </w:p>
    <w:p w:rsidR="006F3060" w:rsidRDefault="006F3060"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85483C" w:rsidRDefault="0085483C" w:rsidP="008C641A">
      <w:pPr>
        <w:widowControl w:val="0"/>
        <w:autoSpaceDE w:val="0"/>
        <w:autoSpaceDN w:val="0"/>
        <w:adjustRightInd w:val="0"/>
        <w:spacing w:after="0" w:line="360" w:lineRule="auto"/>
        <w:jc w:val="both"/>
        <w:rPr>
          <w:rFonts w:ascii="Arial" w:hAnsi="Arial" w:cs="Arial"/>
          <w:sz w:val="24"/>
        </w:rPr>
      </w:pPr>
    </w:p>
    <w:p w:rsidR="00D173BB" w:rsidRPr="00D173BB" w:rsidRDefault="004713DA" w:rsidP="008C641A">
      <w:pPr>
        <w:widowControl w:val="0"/>
        <w:autoSpaceDE w:val="0"/>
        <w:autoSpaceDN w:val="0"/>
        <w:adjustRightInd w:val="0"/>
        <w:spacing w:after="0" w:line="360" w:lineRule="auto"/>
        <w:jc w:val="both"/>
        <w:rPr>
          <w:rFonts w:ascii="Arial" w:hAnsi="Arial" w:cs="Arial"/>
          <w:b/>
          <w:sz w:val="24"/>
        </w:rPr>
      </w:pPr>
      <w:r>
        <w:rPr>
          <w:noProof/>
          <w:lang w:eastAsia="pt-BR"/>
        </w:rPr>
        <w:lastRenderedPageBreak/>
        <w:drawing>
          <wp:anchor distT="0" distB="0" distL="114300" distR="114300" simplePos="0" relativeHeight="251769856" behindDoc="1" locked="0" layoutInCell="1" allowOverlap="1" wp14:anchorId="5BE99260" wp14:editId="2AA15421">
            <wp:simplePos x="0" y="0"/>
            <wp:positionH relativeFrom="column">
              <wp:posOffset>3810</wp:posOffset>
            </wp:positionH>
            <wp:positionV relativeFrom="paragraph">
              <wp:posOffset>481965</wp:posOffset>
            </wp:positionV>
            <wp:extent cx="5612130" cy="7941310"/>
            <wp:effectExtent l="0" t="0" r="7620" b="2540"/>
            <wp:wrapThrough wrapText="bothSides">
              <wp:wrapPolygon edited="0">
                <wp:start x="0" y="0"/>
                <wp:lineTo x="0" y="21555"/>
                <wp:lineTo x="21556" y="21555"/>
                <wp:lineTo x="21556" y="0"/>
                <wp:lineTo x="0" y="0"/>
              </wp:wrapPolygon>
            </wp:wrapThrough>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612130" cy="7941310"/>
                    </a:xfrm>
                    <a:prstGeom prst="rect">
                      <a:avLst/>
                    </a:prstGeom>
                  </pic:spPr>
                </pic:pic>
              </a:graphicData>
            </a:graphic>
            <wp14:sizeRelH relativeFrom="margin">
              <wp14:pctWidth>0</wp14:pctWidth>
            </wp14:sizeRelH>
            <wp14:sizeRelV relativeFrom="margin">
              <wp14:pctHeight>0</wp14:pctHeight>
            </wp14:sizeRelV>
          </wp:anchor>
        </w:drawing>
      </w:r>
      <w:r w:rsidR="006F3060" w:rsidRPr="006F3060">
        <w:rPr>
          <w:rFonts w:ascii="Arial" w:hAnsi="Arial" w:cs="Arial"/>
          <w:b/>
          <w:sz w:val="24"/>
        </w:rPr>
        <w:t>ANEXO C –</w:t>
      </w:r>
      <w:r w:rsidR="006F3060">
        <w:rPr>
          <w:rFonts w:ascii="Arial" w:hAnsi="Arial" w:cs="Arial"/>
          <w:sz w:val="24"/>
        </w:rPr>
        <w:t xml:space="preserve"> </w:t>
      </w:r>
      <w:r w:rsidR="00811021">
        <w:rPr>
          <w:rFonts w:ascii="Arial" w:hAnsi="Arial" w:cs="Arial"/>
          <w:b/>
          <w:sz w:val="24"/>
        </w:rPr>
        <w:t>P</w:t>
      </w:r>
      <w:r w:rsidR="00811021" w:rsidRPr="00D173BB">
        <w:rPr>
          <w:rFonts w:ascii="Arial" w:hAnsi="Arial" w:cs="Arial"/>
          <w:b/>
          <w:sz w:val="24"/>
        </w:rPr>
        <w:t xml:space="preserve">ARECER CONSUBSTANCIADO DO </w:t>
      </w:r>
      <w:r w:rsidR="00811021">
        <w:rPr>
          <w:rFonts w:ascii="Arial" w:hAnsi="Arial" w:cs="Arial"/>
          <w:b/>
          <w:sz w:val="24"/>
        </w:rPr>
        <w:t>C</w:t>
      </w:r>
      <w:r w:rsidR="00811021" w:rsidRPr="00D173BB">
        <w:rPr>
          <w:rFonts w:ascii="Arial" w:hAnsi="Arial" w:cs="Arial"/>
          <w:b/>
          <w:sz w:val="24"/>
        </w:rPr>
        <w:t xml:space="preserve">OMITÊ DE </w:t>
      </w:r>
      <w:r w:rsidR="00811021">
        <w:rPr>
          <w:rFonts w:ascii="Arial" w:hAnsi="Arial" w:cs="Arial"/>
          <w:b/>
          <w:sz w:val="24"/>
        </w:rPr>
        <w:t>ÉTICA EM P</w:t>
      </w:r>
      <w:r w:rsidR="00811021" w:rsidRPr="00D173BB">
        <w:rPr>
          <w:rFonts w:ascii="Arial" w:hAnsi="Arial" w:cs="Arial"/>
          <w:b/>
          <w:sz w:val="24"/>
        </w:rPr>
        <w:t xml:space="preserve">ESQUISA </w:t>
      </w:r>
    </w:p>
    <w:p w:rsidR="00D173BB" w:rsidRDefault="00D173BB" w:rsidP="00D173BB">
      <w:pPr>
        <w:widowControl w:val="0"/>
        <w:autoSpaceDE w:val="0"/>
        <w:autoSpaceDN w:val="0"/>
        <w:adjustRightInd w:val="0"/>
        <w:spacing w:after="0" w:line="360" w:lineRule="auto"/>
        <w:ind w:left="640" w:hanging="640"/>
        <w:jc w:val="both"/>
        <w:rPr>
          <w:rFonts w:ascii="Arial" w:hAnsi="Arial" w:cs="Arial"/>
          <w:sz w:val="24"/>
        </w:rPr>
      </w:pPr>
    </w:p>
    <w:p w:rsidR="006F3060" w:rsidRDefault="006F3060" w:rsidP="00D173BB">
      <w:pPr>
        <w:widowControl w:val="0"/>
        <w:autoSpaceDE w:val="0"/>
        <w:autoSpaceDN w:val="0"/>
        <w:adjustRightInd w:val="0"/>
        <w:spacing w:after="0" w:line="360" w:lineRule="auto"/>
        <w:ind w:left="640" w:hanging="640"/>
        <w:jc w:val="both"/>
        <w:rPr>
          <w:rFonts w:ascii="Arial" w:hAnsi="Arial" w:cs="Arial"/>
          <w:sz w:val="24"/>
        </w:rPr>
      </w:pPr>
    </w:p>
    <w:p w:rsidR="006F3060" w:rsidRDefault="006F3060" w:rsidP="00837042">
      <w:pPr>
        <w:widowControl w:val="0"/>
        <w:autoSpaceDE w:val="0"/>
        <w:autoSpaceDN w:val="0"/>
        <w:adjustRightInd w:val="0"/>
        <w:spacing w:after="0" w:line="360" w:lineRule="auto"/>
        <w:rPr>
          <w:rFonts w:ascii="Arial" w:hAnsi="Arial" w:cs="Arial"/>
          <w:sz w:val="24"/>
        </w:rPr>
      </w:pPr>
    </w:p>
    <w:p w:rsidR="006F3060" w:rsidRDefault="004713DA" w:rsidP="00837042">
      <w:pPr>
        <w:widowControl w:val="0"/>
        <w:autoSpaceDE w:val="0"/>
        <w:autoSpaceDN w:val="0"/>
        <w:adjustRightInd w:val="0"/>
        <w:spacing w:after="0" w:line="360" w:lineRule="auto"/>
        <w:ind w:left="640" w:hanging="640"/>
        <w:rPr>
          <w:rFonts w:ascii="Arial" w:hAnsi="Arial" w:cs="Arial"/>
          <w:sz w:val="24"/>
        </w:rPr>
      </w:pPr>
      <w:r>
        <w:rPr>
          <w:noProof/>
          <w:lang w:eastAsia="pt-BR"/>
        </w:rPr>
        <w:drawing>
          <wp:anchor distT="0" distB="0" distL="114300" distR="114300" simplePos="0" relativeHeight="251770880" behindDoc="1" locked="0" layoutInCell="1" allowOverlap="1" wp14:anchorId="0A253502" wp14:editId="506F37FC">
            <wp:simplePos x="0" y="0"/>
            <wp:positionH relativeFrom="column">
              <wp:posOffset>3810</wp:posOffset>
            </wp:positionH>
            <wp:positionV relativeFrom="paragraph">
              <wp:posOffset>3810</wp:posOffset>
            </wp:positionV>
            <wp:extent cx="5612400" cy="7941600"/>
            <wp:effectExtent l="0" t="0" r="7620" b="2540"/>
            <wp:wrapThrough wrapText="bothSides">
              <wp:wrapPolygon edited="0">
                <wp:start x="0" y="0"/>
                <wp:lineTo x="0" y="21555"/>
                <wp:lineTo x="21556" y="21555"/>
                <wp:lineTo x="21556" y="0"/>
                <wp:lineTo x="0" y="0"/>
              </wp:wrapPolygon>
            </wp:wrapThrough>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612400" cy="7941600"/>
                    </a:xfrm>
                    <a:prstGeom prst="rect">
                      <a:avLst/>
                    </a:prstGeom>
                  </pic:spPr>
                </pic:pic>
              </a:graphicData>
            </a:graphic>
            <wp14:sizeRelH relativeFrom="margin">
              <wp14:pctWidth>0</wp14:pctWidth>
            </wp14:sizeRelH>
            <wp14:sizeRelV relativeFrom="margin">
              <wp14:pctHeight>0</wp14:pctHeight>
            </wp14:sizeRelV>
          </wp:anchor>
        </w:drawing>
      </w:r>
    </w:p>
    <w:p w:rsidR="006F3060" w:rsidRDefault="006F3060" w:rsidP="00837042">
      <w:pPr>
        <w:widowControl w:val="0"/>
        <w:autoSpaceDE w:val="0"/>
        <w:autoSpaceDN w:val="0"/>
        <w:adjustRightInd w:val="0"/>
        <w:spacing w:after="0" w:line="360" w:lineRule="auto"/>
        <w:ind w:left="640" w:hanging="640"/>
        <w:rPr>
          <w:rFonts w:ascii="Arial" w:hAnsi="Arial" w:cs="Arial"/>
          <w:sz w:val="24"/>
        </w:rPr>
      </w:pPr>
    </w:p>
    <w:p w:rsidR="006F3060" w:rsidRPr="00D173BB" w:rsidRDefault="006F3060" w:rsidP="00837042">
      <w:pPr>
        <w:widowControl w:val="0"/>
        <w:autoSpaceDE w:val="0"/>
        <w:autoSpaceDN w:val="0"/>
        <w:adjustRightInd w:val="0"/>
        <w:spacing w:after="0" w:line="360" w:lineRule="auto"/>
        <w:ind w:left="640" w:hanging="640"/>
        <w:rPr>
          <w:rFonts w:ascii="Arial" w:hAnsi="Arial" w:cs="Arial"/>
          <w:sz w:val="24"/>
        </w:rPr>
      </w:pPr>
    </w:p>
    <w:p w:rsidR="00D173BB" w:rsidRDefault="004713DA" w:rsidP="0022139F">
      <w:pPr>
        <w:widowControl w:val="0"/>
        <w:autoSpaceDE w:val="0"/>
        <w:autoSpaceDN w:val="0"/>
        <w:adjustRightInd w:val="0"/>
        <w:spacing w:after="0" w:line="360" w:lineRule="auto"/>
        <w:ind w:left="640" w:hanging="640"/>
        <w:rPr>
          <w:rFonts w:ascii="Arial" w:hAnsi="Arial" w:cs="Arial"/>
          <w:sz w:val="24"/>
        </w:rPr>
      </w:pPr>
      <w:r>
        <w:rPr>
          <w:noProof/>
          <w:lang w:eastAsia="pt-BR"/>
        </w:rPr>
        <w:drawing>
          <wp:anchor distT="0" distB="0" distL="114300" distR="114300" simplePos="0" relativeHeight="251771904" behindDoc="1" locked="0" layoutInCell="1" allowOverlap="1" wp14:anchorId="55C3A978" wp14:editId="4E494226">
            <wp:simplePos x="0" y="0"/>
            <wp:positionH relativeFrom="column">
              <wp:posOffset>3810</wp:posOffset>
            </wp:positionH>
            <wp:positionV relativeFrom="paragraph">
              <wp:posOffset>3810</wp:posOffset>
            </wp:positionV>
            <wp:extent cx="5612400" cy="7941600"/>
            <wp:effectExtent l="0" t="0" r="7620" b="2540"/>
            <wp:wrapThrough wrapText="bothSides">
              <wp:wrapPolygon edited="0">
                <wp:start x="0" y="0"/>
                <wp:lineTo x="0" y="21555"/>
                <wp:lineTo x="21556" y="21555"/>
                <wp:lineTo x="21556" y="0"/>
                <wp:lineTo x="0" y="0"/>
              </wp:wrapPolygon>
            </wp:wrapThrough>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5612400" cy="7941600"/>
                    </a:xfrm>
                    <a:prstGeom prst="rect">
                      <a:avLst/>
                    </a:prstGeom>
                  </pic:spPr>
                </pic:pic>
              </a:graphicData>
            </a:graphic>
            <wp14:sizeRelH relativeFrom="margin">
              <wp14:pctWidth>0</wp14:pctWidth>
            </wp14:sizeRelH>
            <wp14:sizeRelV relativeFrom="margin">
              <wp14:pctHeight>0</wp14:pctHeight>
            </wp14:sizeRelV>
          </wp:anchor>
        </w:drawing>
      </w:r>
    </w:p>
    <w:p w:rsidR="006F3060" w:rsidRDefault="006F3060" w:rsidP="00837042">
      <w:pPr>
        <w:widowControl w:val="0"/>
        <w:autoSpaceDE w:val="0"/>
        <w:autoSpaceDN w:val="0"/>
        <w:adjustRightInd w:val="0"/>
        <w:spacing w:after="0" w:line="360" w:lineRule="auto"/>
        <w:ind w:left="640" w:hanging="640"/>
        <w:jc w:val="both"/>
        <w:rPr>
          <w:rFonts w:ascii="Arial" w:hAnsi="Arial" w:cs="Arial"/>
          <w:sz w:val="24"/>
        </w:rPr>
      </w:pPr>
    </w:p>
    <w:p w:rsidR="00F1099E" w:rsidRDefault="00F1099E" w:rsidP="00837042">
      <w:pPr>
        <w:widowControl w:val="0"/>
        <w:autoSpaceDE w:val="0"/>
        <w:autoSpaceDN w:val="0"/>
        <w:adjustRightInd w:val="0"/>
        <w:spacing w:after="0" w:line="360" w:lineRule="auto"/>
        <w:ind w:left="640" w:hanging="640"/>
        <w:jc w:val="both"/>
        <w:rPr>
          <w:rFonts w:ascii="Arial" w:hAnsi="Arial" w:cs="Arial"/>
          <w:sz w:val="24"/>
        </w:rPr>
      </w:pPr>
      <w:r>
        <w:rPr>
          <w:noProof/>
          <w:lang w:eastAsia="pt-BR"/>
        </w:rPr>
        <w:lastRenderedPageBreak/>
        <w:drawing>
          <wp:anchor distT="0" distB="0" distL="114300" distR="114300" simplePos="0" relativeHeight="251772928" behindDoc="1" locked="0" layoutInCell="1" allowOverlap="1" wp14:anchorId="6B7B98AC" wp14:editId="7F9CFBC3">
            <wp:simplePos x="0" y="0"/>
            <wp:positionH relativeFrom="column">
              <wp:posOffset>3810</wp:posOffset>
            </wp:positionH>
            <wp:positionV relativeFrom="paragraph">
              <wp:posOffset>422910</wp:posOffset>
            </wp:positionV>
            <wp:extent cx="5612130" cy="7941310"/>
            <wp:effectExtent l="0" t="0" r="7620" b="2540"/>
            <wp:wrapThrough wrapText="bothSides">
              <wp:wrapPolygon edited="0">
                <wp:start x="0" y="0"/>
                <wp:lineTo x="0" y="21555"/>
                <wp:lineTo x="21556" y="21555"/>
                <wp:lineTo x="21556" y="0"/>
                <wp:lineTo x="0" y="0"/>
              </wp:wrapPolygon>
            </wp:wrapThrough>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612130" cy="7941310"/>
                    </a:xfrm>
                    <a:prstGeom prst="rect">
                      <a:avLst/>
                    </a:prstGeom>
                  </pic:spPr>
                </pic:pic>
              </a:graphicData>
            </a:graphic>
            <wp14:sizeRelH relativeFrom="margin">
              <wp14:pctWidth>0</wp14:pctWidth>
            </wp14:sizeRelH>
            <wp14:sizeRelV relativeFrom="margin">
              <wp14:pctHeight>0</wp14:pctHeight>
            </wp14:sizeRelV>
          </wp:anchor>
        </w:drawing>
      </w:r>
    </w:p>
    <w:p w:rsidR="00F1099E" w:rsidRDefault="00F1099E">
      <w:pPr>
        <w:rPr>
          <w:rFonts w:ascii="Arial" w:hAnsi="Arial" w:cs="Arial"/>
          <w:sz w:val="24"/>
        </w:rPr>
      </w:pPr>
      <w:r>
        <w:rPr>
          <w:rFonts w:ascii="Arial" w:hAnsi="Arial" w:cs="Arial"/>
          <w:sz w:val="24"/>
        </w:rPr>
        <w:br w:type="page"/>
      </w:r>
    </w:p>
    <w:p w:rsidR="00F1099E" w:rsidRDefault="00F1099E" w:rsidP="00F1099E">
      <w:pPr>
        <w:widowControl w:val="0"/>
        <w:autoSpaceDE w:val="0"/>
        <w:autoSpaceDN w:val="0"/>
        <w:adjustRightInd w:val="0"/>
        <w:spacing w:after="0" w:line="360" w:lineRule="auto"/>
        <w:jc w:val="both"/>
        <w:rPr>
          <w:rFonts w:ascii="Arial" w:hAnsi="Arial" w:cs="Arial"/>
          <w:b/>
          <w:sz w:val="24"/>
        </w:rPr>
      </w:pPr>
      <w:r>
        <w:rPr>
          <w:rFonts w:ascii="Arial" w:hAnsi="Arial" w:cs="Arial"/>
          <w:b/>
          <w:sz w:val="24"/>
        </w:rPr>
        <w:lastRenderedPageBreak/>
        <w:t>ANEXO D</w:t>
      </w:r>
      <w:r w:rsidRPr="006F3060">
        <w:rPr>
          <w:rFonts w:ascii="Arial" w:hAnsi="Arial" w:cs="Arial"/>
          <w:b/>
          <w:sz w:val="24"/>
        </w:rPr>
        <w:t xml:space="preserve"> –</w:t>
      </w:r>
      <w:r>
        <w:rPr>
          <w:rFonts w:ascii="Arial" w:hAnsi="Arial" w:cs="Arial"/>
          <w:sz w:val="24"/>
        </w:rPr>
        <w:t xml:space="preserve"> </w:t>
      </w:r>
      <w:r>
        <w:rPr>
          <w:rFonts w:ascii="Arial" w:hAnsi="Arial" w:cs="Arial"/>
          <w:b/>
          <w:sz w:val="24"/>
        </w:rPr>
        <w:t>ARTIGO</w:t>
      </w:r>
      <w:r w:rsidR="009F2ADD">
        <w:rPr>
          <w:rFonts w:ascii="Arial" w:hAnsi="Arial" w:cs="Arial"/>
          <w:b/>
          <w:sz w:val="24"/>
        </w:rPr>
        <w:t xml:space="preserve"> SUBMETIDO PARA</w:t>
      </w:r>
      <w:r>
        <w:rPr>
          <w:rFonts w:ascii="Arial" w:hAnsi="Arial" w:cs="Arial"/>
          <w:b/>
          <w:sz w:val="24"/>
        </w:rPr>
        <w:t xml:space="preserve"> PUBLICAÇÃO</w:t>
      </w:r>
    </w:p>
    <w:p w:rsidR="00F1099E" w:rsidRDefault="00F1099E" w:rsidP="00F1099E">
      <w:pPr>
        <w:widowControl w:val="0"/>
        <w:autoSpaceDE w:val="0"/>
        <w:autoSpaceDN w:val="0"/>
        <w:adjustRightInd w:val="0"/>
        <w:spacing w:after="0" w:line="360" w:lineRule="auto"/>
        <w:jc w:val="both"/>
        <w:rPr>
          <w:rFonts w:ascii="Arial" w:hAnsi="Arial" w:cs="Arial"/>
          <w:sz w:val="24"/>
        </w:rPr>
      </w:pPr>
    </w:p>
    <w:p w:rsidR="00F1099E" w:rsidRDefault="00F1099E" w:rsidP="003C2695">
      <w:pPr>
        <w:widowControl w:val="0"/>
        <w:autoSpaceDE w:val="0"/>
        <w:autoSpaceDN w:val="0"/>
        <w:adjustRightInd w:val="0"/>
        <w:spacing w:after="0" w:line="360" w:lineRule="auto"/>
        <w:jc w:val="both"/>
        <w:rPr>
          <w:rFonts w:ascii="Arial" w:hAnsi="Arial" w:cs="Arial"/>
          <w:sz w:val="24"/>
        </w:rPr>
      </w:pPr>
      <w:r>
        <w:rPr>
          <w:rFonts w:ascii="Arial" w:hAnsi="Arial" w:cs="Arial"/>
          <w:sz w:val="24"/>
        </w:rPr>
        <w:t>Este artigo apresenta os resultados referentes à medida da independência funcional de crianças e adolescentes diagnosticadas com mucopolissacaridoses acompanhadas no ambulatório de Ortopedia do Hospital Santa Izabel da Santa Casa de Misericórdia da Bahia, no período de janeiro de 2012 a outubro de 2014.</w:t>
      </w:r>
      <w:r w:rsidR="00C607B3">
        <w:rPr>
          <w:rFonts w:ascii="Arial" w:hAnsi="Arial" w:cs="Arial"/>
          <w:sz w:val="24"/>
        </w:rPr>
        <w:t xml:space="preserve"> </w:t>
      </w:r>
      <w:r w:rsidR="00294388" w:rsidRPr="00080A59">
        <w:rPr>
          <w:rFonts w:ascii="Arial" w:hAnsi="Arial" w:cs="Arial"/>
          <w:sz w:val="24"/>
        </w:rPr>
        <w:t>No domínio motor</w:t>
      </w:r>
      <w:r w:rsidR="00A320BC">
        <w:rPr>
          <w:rFonts w:ascii="Arial" w:hAnsi="Arial" w:cs="Arial"/>
          <w:sz w:val="24"/>
        </w:rPr>
        <w:t xml:space="preserve"> da escala de Medida da Independência Funcional</w:t>
      </w:r>
      <w:r w:rsidR="00294388" w:rsidRPr="00080A59">
        <w:rPr>
          <w:rFonts w:ascii="Arial" w:hAnsi="Arial" w:cs="Arial"/>
          <w:sz w:val="24"/>
        </w:rPr>
        <w:t>, a pontuação média foi 65 (±19</w:t>
      </w:r>
      <w:r w:rsidR="00261A0B">
        <w:rPr>
          <w:rFonts w:ascii="Arial" w:hAnsi="Arial" w:cs="Arial"/>
          <w:sz w:val="24"/>
        </w:rPr>
        <w:t>,9 pontos); o domínio cognitivo</w:t>
      </w:r>
      <w:r w:rsidR="00294388" w:rsidRPr="00080A59">
        <w:rPr>
          <w:rFonts w:ascii="Arial" w:hAnsi="Arial" w:cs="Arial"/>
          <w:sz w:val="24"/>
        </w:rPr>
        <w:t xml:space="preserve"> obteve escore médio igual a 28 (±8,2 pontos); e o escore total da MIF foi 93 (±26,5).</w:t>
      </w:r>
      <w:r w:rsidR="00294388">
        <w:rPr>
          <w:rFonts w:ascii="Arial" w:hAnsi="Arial" w:cs="Arial"/>
          <w:sz w:val="24"/>
        </w:rPr>
        <w:t xml:space="preserve"> </w:t>
      </w:r>
      <w:r w:rsidR="00C607B3" w:rsidRPr="00080A59">
        <w:rPr>
          <w:rFonts w:ascii="Arial" w:hAnsi="Arial" w:cs="Arial"/>
          <w:sz w:val="24"/>
        </w:rPr>
        <w:t xml:space="preserve">Foi observado </w:t>
      </w:r>
      <w:r w:rsidR="00C607B3">
        <w:rPr>
          <w:rFonts w:ascii="Arial" w:hAnsi="Arial" w:cs="Arial"/>
          <w:sz w:val="24"/>
        </w:rPr>
        <w:t>que t</w:t>
      </w:r>
      <w:r w:rsidR="00C607B3" w:rsidRPr="00080A59">
        <w:rPr>
          <w:rFonts w:ascii="Arial" w:hAnsi="Arial" w:cs="Arial"/>
          <w:sz w:val="24"/>
        </w:rPr>
        <w:t>arefas relacionadas ao vestuário, utilização do vaso sanitário, banho, resolução de problemas e interação social foram as que demandaram maior assistência e/ou supervisão</w:t>
      </w:r>
    </w:p>
    <w:p w:rsidR="00F1099E" w:rsidRDefault="00F1099E" w:rsidP="003C2695">
      <w:pPr>
        <w:widowControl w:val="0"/>
        <w:autoSpaceDE w:val="0"/>
        <w:autoSpaceDN w:val="0"/>
        <w:adjustRightInd w:val="0"/>
        <w:spacing w:after="0" w:line="360" w:lineRule="auto"/>
        <w:jc w:val="both"/>
        <w:rPr>
          <w:rFonts w:ascii="Arial" w:hAnsi="Arial" w:cs="Arial"/>
          <w:sz w:val="24"/>
        </w:rPr>
      </w:pPr>
    </w:p>
    <w:p w:rsidR="00F1099E" w:rsidRPr="00F1099E" w:rsidRDefault="00F1099E" w:rsidP="003C2695">
      <w:pPr>
        <w:widowControl w:val="0"/>
        <w:autoSpaceDE w:val="0"/>
        <w:autoSpaceDN w:val="0"/>
        <w:adjustRightInd w:val="0"/>
        <w:spacing w:after="0" w:line="360" w:lineRule="auto"/>
        <w:jc w:val="both"/>
        <w:rPr>
          <w:rFonts w:ascii="Arial" w:hAnsi="Arial" w:cs="Arial"/>
          <w:sz w:val="24"/>
        </w:rPr>
      </w:pPr>
      <w:r>
        <w:rPr>
          <w:rFonts w:ascii="Arial" w:hAnsi="Arial" w:cs="Arial"/>
          <w:sz w:val="24"/>
        </w:rPr>
        <w:t>O</w:t>
      </w:r>
      <w:r w:rsidR="00A320BC">
        <w:rPr>
          <w:rFonts w:ascii="Arial" w:hAnsi="Arial" w:cs="Arial"/>
          <w:sz w:val="24"/>
        </w:rPr>
        <w:t xml:space="preserve"> presente artigo foi submetido </w:t>
      </w:r>
      <w:r w:rsidR="00BF74F2">
        <w:rPr>
          <w:rFonts w:ascii="Arial" w:hAnsi="Arial" w:cs="Arial"/>
          <w:sz w:val="24"/>
        </w:rPr>
        <w:t>para</w:t>
      </w:r>
      <w:r>
        <w:rPr>
          <w:rFonts w:ascii="Arial" w:hAnsi="Arial" w:cs="Arial"/>
          <w:sz w:val="24"/>
        </w:rPr>
        <w:t xml:space="preserve"> publicação na </w:t>
      </w:r>
      <w:r w:rsidRPr="005C1E75">
        <w:rPr>
          <w:rFonts w:ascii="Arial" w:hAnsi="Arial" w:cs="Arial"/>
          <w:b/>
          <w:sz w:val="24"/>
        </w:rPr>
        <w:t>Revi</w:t>
      </w:r>
      <w:r w:rsidR="00D26A54" w:rsidRPr="005C1E75">
        <w:rPr>
          <w:rFonts w:ascii="Arial" w:hAnsi="Arial" w:cs="Arial"/>
          <w:b/>
          <w:sz w:val="24"/>
        </w:rPr>
        <w:t>sta Acta Ortopédica Brasileira</w:t>
      </w:r>
      <w:r w:rsidR="00D26A54">
        <w:rPr>
          <w:rFonts w:ascii="Arial" w:hAnsi="Arial" w:cs="Arial"/>
          <w:sz w:val="24"/>
        </w:rPr>
        <w:t>.</w:t>
      </w:r>
    </w:p>
    <w:p w:rsidR="006F3060" w:rsidRDefault="006F3060" w:rsidP="003C2695">
      <w:pPr>
        <w:tabs>
          <w:tab w:val="left" w:pos="2729"/>
        </w:tabs>
        <w:jc w:val="both"/>
        <w:rPr>
          <w:rFonts w:ascii="Arial" w:hAnsi="Arial" w:cs="Arial"/>
          <w:sz w:val="24"/>
        </w:rPr>
      </w:pPr>
    </w:p>
    <w:p w:rsidR="003C2695" w:rsidRDefault="003C2695" w:rsidP="00C607B3">
      <w:pPr>
        <w:spacing w:after="0" w:line="360" w:lineRule="auto"/>
        <w:jc w:val="center"/>
        <w:rPr>
          <w:rFonts w:ascii="Arial" w:hAnsi="Arial" w:cs="Arial"/>
          <w:b/>
          <w:sz w:val="24"/>
        </w:rPr>
      </w:pPr>
      <w:r w:rsidRPr="00080A59">
        <w:rPr>
          <w:rFonts w:ascii="Arial" w:hAnsi="Arial" w:cs="Arial"/>
          <w:b/>
          <w:sz w:val="24"/>
        </w:rPr>
        <w:t>Independência funcional de pacientes pediátricos com mucopolissacaridoses</w:t>
      </w:r>
    </w:p>
    <w:p w:rsidR="00C607B3" w:rsidRPr="00C607B3" w:rsidRDefault="00C607B3" w:rsidP="00C607B3">
      <w:pPr>
        <w:spacing w:after="0" w:line="360" w:lineRule="auto"/>
        <w:jc w:val="both"/>
        <w:rPr>
          <w:rFonts w:ascii="Arial" w:hAnsi="Arial" w:cs="Arial"/>
          <w:sz w:val="24"/>
        </w:rPr>
      </w:pPr>
    </w:p>
    <w:p w:rsidR="003C2695" w:rsidRPr="00080A59" w:rsidRDefault="003C2695" w:rsidP="003C2695">
      <w:pPr>
        <w:spacing w:after="0" w:line="240" w:lineRule="auto"/>
        <w:jc w:val="both"/>
        <w:rPr>
          <w:rFonts w:ascii="Arial" w:hAnsi="Arial" w:cs="Arial"/>
          <w:b/>
          <w:sz w:val="24"/>
        </w:rPr>
      </w:pPr>
      <w:r w:rsidRPr="00080A59">
        <w:rPr>
          <w:rFonts w:ascii="Arial" w:hAnsi="Arial" w:cs="Arial"/>
          <w:b/>
          <w:sz w:val="24"/>
        </w:rPr>
        <w:t>RESUMO</w:t>
      </w:r>
    </w:p>
    <w:p w:rsidR="003C2695" w:rsidRPr="00080A59" w:rsidRDefault="003C2695" w:rsidP="003C2695">
      <w:pPr>
        <w:spacing w:after="0" w:line="240" w:lineRule="auto"/>
        <w:jc w:val="both"/>
        <w:rPr>
          <w:rFonts w:ascii="Arial" w:hAnsi="Arial" w:cs="Arial"/>
          <w:sz w:val="24"/>
        </w:rPr>
      </w:pPr>
      <w:r w:rsidRPr="00080A59">
        <w:rPr>
          <w:rFonts w:ascii="Arial" w:hAnsi="Arial" w:cs="Arial"/>
          <w:b/>
          <w:sz w:val="24"/>
        </w:rPr>
        <w:t>OBJETIVO:</w:t>
      </w:r>
      <w:r w:rsidRPr="00080A59">
        <w:rPr>
          <w:rFonts w:ascii="Arial" w:hAnsi="Arial" w:cs="Arial"/>
          <w:sz w:val="24"/>
        </w:rPr>
        <w:t xml:space="preserve"> </w:t>
      </w:r>
      <w:r w:rsidRPr="00080A59">
        <w:rPr>
          <w:rFonts w:ascii="Arial" w:hAnsi="Arial" w:cs="Arial"/>
          <w:sz w:val="24"/>
          <w:szCs w:val="24"/>
        </w:rPr>
        <w:t xml:space="preserve">Medir a independência funcional para realização de atividades de vida diária de pacientes pediátricos diagnosticados com mucopolissacaridoses. </w:t>
      </w:r>
      <w:r w:rsidRPr="00080A59">
        <w:rPr>
          <w:rFonts w:ascii="Arial" w:hAnsi="Arial" w:cs="Arial"/>
          <w:b/>
          <w:sz w:val="24"/>
          <w:szCs w:val="24"/>
        </w:rPr>
        <w:t>MÉTODOS:</w:t>
      </w:r>
      <w:r w:rsidRPr="00080A59">
        <w:rPr>
          <w:rFonts w:ascii="Arial" w:hAnsi="Arial" w:cs="Arial"/>
          <w:sz w:val="24"/>
          <w:szCs w:val="24"/>
        </w:rPr>
        <w:t xml:space="preserve"> E</w:t>
      </w:r>
      <w:r w:rsidRPr="00080A59">
        <w:rPr>
          <w:rFonts w:ascii="Arial" w:hAnsi="Arial" w:cs="Arial"/>
          <w:sz w:val="24"/>
        </w:rPr>
        <w:t xml:space="preserve">studo transversal, descritivo, realizado com a população de pacientes pediátricos com diagnóstico enzimático confirmado de mucopolissacaridoses, cadastrados no ambulatório de Ortopedia de um hospital no Estado da Bahia. Os dados foram coletados entre outubro de 2016 e março de 2017, a partir da análise documental das fichas de avaliação utilizadas no serviço. As variáveis deste estudo compreenderam sexo, idade, tipo de MPS e o nível de independência funcional, mensurado pela escala de Medida de Independência Funcional. </w:t>
      </w:r>
      <w:r w:rsidRPr="00080A59">
        <w:rPr>
          <w:rFonts w:ascii="Arial" w:hAnsi="Arial" w:cs="Arial"/>
          <w:b/>
          <w:sz w:val="24"/>
        </w:rPr>
        <w:t>RESULTADOS:</w:t>
      </w:r>
      <w:r w:rsidRPr="00080A59">
        <w:rPr>
          <w:rFonts w:ascii="Arial" w:hAnsi="Arial" w:cs="Arial"/>
          <w:sz w:val="24"/>
        </w:rPr>
        <w:t xml:space="preserve"> 26 pacientes participaram do estudo. Estes eram predominantemente do sexo masculino (61,5%), com média de idade de 10±4,5 anos, acometidos por MPS VI (73,1%). No domínio motor, a pontuação média foi 65 (±19,9 pontos); o domínio cognitivo obteve escore médio igual a 28 (±8,2 pontos); e o escore total da MIF foi 93 (±26,5). </w:t>
      </w:r>
      <w:r w:rsidRPr="00080A59">
        <w:rPr>
          <w:rFonts w:ascii="Arial" w:hAnsi="Arial" w:cs="Arial"/>
          <w:b/>
          <w:sz w:val="24"/>
        </w:rPr>
        <w:t xml:space="preserve">CONCLUSÃO: </w:t>
      </w:r>
      <w:r w:rsidRPr="00080A59">
        <w:rPr>
          <w:rFonts w:ascii="Arial" w:hAnsi="Arial" w:cs="Arial"/>
          <w:sz w:val="24"/>
        </w:rPr>
        <w:t>Foi observado comprometimento da independência funcional d</w:t>
      </w:r>
      <w:r w:rsidR="00261A0B">
        <w:rPr>
          <w:rFonts w:ascii="Arial" w:hAnsi="Arial" w:cs="Arial"/>
          <w:sz w:val="24"/>
        </w:rPr>
        <w:t>e</w:t>
      </w:r>
      <w:r w:rsidRPr="00080A59">
        <w:rPr>
          <w:rFonts w:ascii="Arial" w:hAnsi="Arial" w:cs="Arial"/>
          <w:sz w:val="24"/>
        </w:rPr>
        <w:t xml:space="preserve"> crianças e adolescentes com mucopolissacaridoses. Tarefas relacionadas ao vestuário, utilização do vaso sanitário, banho, resolução de problemas e interação social foram as que demandaram maior assistência e/ou supervisão. </w:t>
      </w:r>
      <w:r w:rsidRPr="00080A59">
        <w:rPr>
          <w:rFonts w:ascii="Arial" w:hAnsi="Arial" w:cs="Arial"/>
          <w:b/>
          <w:sz w:val="24"/>
        </w:rPr>
        <w:t>Nível de Evidência IV, Série de Casos.</w:t>
      </w:r>
    </w:p>
    <w:p w:rsidR="003C2695" w:rsidRPr="00080A59" w:rsidRDefault="003C2695" w:rsidP="003C2695">
      <w:pPr>
        <w:spacing w:after="0" w:line="240" w:lineRule="auto"/>
        <w:jc w:val="both"/>
        <w:rPr>
          <w:rFonts w:ascii="Arial" w:hAnsi="Arial" w:cs="Arial"/>
          <w:sz w:val="24"/>
        </w:rPr>
      </w:pPr>
    </w:p>
    <w:p w:rsidR="003C2695" w:rsidRPr="00080A59" w:rsidRDefault="003C2695" w:rsidP="003C2695">
      <w:pPr>
        <w:spacing w:after="0" w:line="240" w:lineRule="auto"/>
        <w:jc w:val="both"/>
        <w:rPr>
          <w:rFonts w:ascii="Arial" w:hAnsi="Arial" w:cs="Arial"/>
          <w:sz w:val="24"/>
        </w:rPr>
      </w:pPr>
      <w:r w:rsidRPr="00080A59">
        <w:rPr>
          <w:rFonts w:ascii="Arial" w:hAnsi="Arial" w:cs="Arial"/>
          <w:b/>
          <w:sz w:val="24"/>
        </w:rPr>
        <w:t>Palavras-chave:</w:t>
      </w:r>
      <w:r w:rsidRPr="00080A59">
        <w:rPr>
          <w:rFonts w:ascii="Arial" w:hAnsi="Arial" w:cs="Arial"/>
          <w:sz w:val="24"/>
        </w:rPr>
        <w:t xml:space="preserve"> Mucopolissacaridoses. Atividades Cotidianas. Crianças com incapacidade.</w:t>
      </w:r>
    </w:p>
    <w:p w:rsidR="00C607B3" w:rsidRDefault="00C607B3" w:rsidP="003C2695">
      <w:pPr>
        <w:spacing w:after="0" w:line="360" w:lineRule="auto"/>
        <w:jc w:val="both"/>
        <w:rPr>
          <w:rFonts w:ascii="Arial" w:hAnsi="Arial" w:cs="Arial"/>
          <w:sz w:val="24"/>
        </w:rPr>
      </w:pPr>
    </w:p>
    <w:p w:rsidR="003C2695" w:rsidRPr="00080A59" w:rsidRDefault="003C2695" w:rsidP="003C2695">
      <w:pPr>
        <w:spacing w:after="0" w:line="360" w:lineRule="auto"/>
        <w:jc w:val="center"/>
        <w:rPr>
          <w:rFonts w:ascii="Arial" w:hAnsi="Arial" w:cs="Arial"/>
          <w:b/>
          <w:sz w:val="28"/>
          <w:lang w:val="en-US"/>
        </w:rPr>
      </w:pPr>
      <w:r w:rsidRPr="00080A59">
        <w:rPr>
          <w:rFonts w:ascii="Arial" w:hAnsi="Arial" w:cs="Arial"/>
          <w:b/>
          <w:sz w:val="24"/>
          <w:lang w:val="en"/>
        </w:rPr>
        <w:lastRenderedPageBreak/>
        <w:t>Functional independence of pediatric patients with mucopolysaccharidoses</w:t>
      </w:r>
    </w:p>
    <w:p w:rsidR="003C2695" w:rsidRPr="00080A59" w:rsidRDefault="003C2695" w:rsidP="003C2695">
      <w:pPr>
        <w:spacing w:after="0" w:line="360" w:lineRule="auto"/>
        <w:jc w:val="both"/>
        <w:rPr>
          <w:rFonts w:ascii="Arial" w:hAnsi="Arial" w:cs="Arial"/>
          <w:sz w:val="24"/>
          <w:lang w:val="en-US"/>
        </w:rPr>
      </w:pPr>
    </w:p>
    <w:p w:rsidR="003C2695" w:rsidRPr="00080A59" w:rsidRDefault="003C2695" w:rsidP="003C2695">
      <w:pPr>
        <w:spacing w:after="0" w:line="240" w:lineRule="auto"/>
        <w:jc w:val="both"/>
        <w:rPr>
          <w:rFonts w:ascii="Arial" w:hAnsi="Arial" w:cs="Arial"/>
          <w:b/>
          <w:sz w:val="24"/>
          <w:lang w:val="en-US"/>
        </w:rPr>
      </w:pPr>
      <w:r w:rsidRPr="00080A59">
        <w:rPr>
          <w:rFonts w:ascii="Arial" w:hAnsi="Arial" w:cs="Arial"/>
          <w:b/>
          <w:sz w:val="24"/>
          <w:lang w:val="en-US"/>
        </w:rPr>
        <w:t>ABSTRACT</w:t>
      </w:r>
    </w:p>
    <w:p w:rsidR="003C2695" w:rsidRPr="00080A59" w:rsidRDefault="003C2695" w:rsidP="003C2695">
      <w:pPr>
        <w:spacing w:after="0" w:line="240" w:lineRule="auto"/>
        <w:jc w:val="both"/>
        <w:rPr>
          <w:rFonts w:ascii="Arial" w:hAnsi="Arial" w:cs="Arial"/>
          <w:sz w:val="24"/>
          <w:szCs w:val="24"/>
          <w:lang w:val="en"/>
        </w:rPr>
      </w:pPr>
      <w:r w:rsidRPr="00080A59">
        <w:rPr>
          <w:rFonts w:ascii="Arial" w:hAnsi="Arial" w:cs="Arial"/>
          <w:b/>
          <w:sz w:val="24"/>
          <w:szCs w:val="24"/>
          <w:lang w:val="en-US"/>
        </w:rPr>
        <w:t>AIM:</w:t>
      </w:r>
      <w:r w:rsidRPr="00080A59">
        <w:rPr>
          <w:rFonts w:ascii="Arial" w:hAnsi="Arial" w:cs="Arial"/>
          <w:sz w:val="24"/>
          <w:szCs w:val="24"/>
          <w:lang w:val="en-US"/>
        </w:rPr>
        <w:t xml:space="preserve"> </w:t>
      </w:r>
      <w:r w:rsidRPr="00080A59">
        <w:rPr>
          <w:rFonts w:ascii="Arial" w:hAnsi="Arial" w:cs="Arial"/>
          <w:sz w:val="24"/>
          <w:szCs w:val="24"/>
          <w:lang w:val="en"/>
        </w:rPr>
        <w:t xml:space="preserve">To measure the functional independence to perform daily life activities of pediatric patients diagnosed with mucopolysaccharidoses. </w:t>
      </w:r>
      <w:r w:rsidRPr="00080A59">
        <w:rPr>
          <w:rFonts w:ascii="Arial" w:hAnsi="Arial" w:cs="Arial"/>
          <w:b/>
          <w:sz w:val="24"/>
          <w:szCs w:val="24"/>
          <w:lang w:val="en"/>
        </w:rPr>
        <w:t>METHODS:</w:t>
      </w:r>
      <w:r w:rsidRPr="00080A59">
        <w:rPr>
          <w:rFonts w:ascii="Arial" w:hAnsi="Arial" w:cs="Arial"/>
          <w:sz w:val="24"/>
          <w:szCs w:val="24"/>
          <w:lang w:val="en"/>
        </w:rPr>
        <w:t xml:space="preserve"> A descriptive, cross - sectional study was carried out with the population of pediatric patients with confirmed enzymatic diagnosis of mucopolysaccharidoses enrolled in the Orthopedics outpatient clinic of a hospital in the State of Bahia. The data were collected between October 2016 and March 2017, based on the documentary analysis of the evaluation sheets used in the service. The variables of this study comprised gender, age, type of MPS and the level of functional independence, measured by the Functional Independence Measure scale. </w:t>
      </w:r>
      <w:r w:rsidRPr="00080A59">
        <w:rPr>
          <w:rFonts w:ascii="Arial" w:hAnsi="Arial" w:cs="Arial"/>
          <w:b/>
          <w:sz w:val="24"/>
          <w:szCs w:val="24"/>
          <w:lang w:val="en"/>
        </w:rPr>
        <w:t>RESULTS:</w:t>
      </w:r>
      <w:r w:rsidRPr="00080A59">
        <w:rPr>
          <w:rFonts w:ascii="Arial" w:hAnsi="Arial" w:cs="Arial"/>
          <w:sz w:val="24"/>
          <w:szCs w:val="24"/>
          <w:lang w:val="en"/>
        </w:rPr>
        <w:t xml:space="preserve"> 26 patients participated in the study. These were predominantly males (61.5%), mean age of 10 ± 4.5 years, affected by MPS VI (73.1%). In the motor domain, the mean score was 65 (± 19.</w:t>
      </w:r>
      <w:r w:rsidR="00261A0B">
        <w:rPr>
          <w:rFonts w:ascii="Arial" w:hAnsi="Arial" w:cs="Arial"/>
          <w:sz w:val="24"/>
          <w:szCs w:val="24"/>
          <w:lang w:val="en"/>
        </w:rPr>
        <w:t>9 points); the cognitive domain</w:t>
      </w:r>
      <w:r w:rsidRPr="00080A59">
        <w:rPr>
          <w:rFonts w:ascii="Arial" w:hAnsi="Arial" w:cs="Arial"/>
          <w:sz w:val="24"/>
          <w:szCs w:val="24"/>
          <w:lang w:val="en"/>
        </w:rPr>
        <w:t xml:space="preserve"> obtained a mean score equal to 28 (± 8.2 points); and the total MIF score was 93 (± 26.5). </w:t>
      </w:r>
      <w:r w:rsidRPr="00080A59">
        <w:rPr>
          <w:rFonts w:ascii="Arial" w:hAnsi="Arial" w:cs="Arial"/>
          <w:b/>
          <w:sz w:val="24"/>
          <w:szCs w:val="24"/>
          <w:lang w:val="en"/>
        </w:rPr>
        <w:t>CONCLUSION:</w:t>
      </w:r>
      <w:r w:rsidRPr="00080A59">
        <w:rPr>
          <w:rFonts w:ascii="Arial" w:hAnsi="Arial" w:cs="Arial"/>
          <w:sz w:val="24"/>
          <w:szCs w:val="24"/>
          <w:lang w:val="en"/>
        </w:rPr>
        <w:t xml:space="preserve"> Functional independence of children and adolescents with mucopolysaccharidoses was observed. Tasks related to clothing, toilet use, bathing, problem solving and social interaction were those that demanded greater assistance and / or supervision. </w:t>
      </w:r>
      <w:r w:rsidRPr="00080A59">
        <w:rPr>
          <w:rFonts w:ascii="Arial" w:hAnsi="Arial" w:cs="Arial"/>
          <w:b/>
          <w:sz w:val="24"/>
          <w:szCs w:val="24"/>
          <w:lang w:val="en"/>
        </w:rPr>
        <w:t>Level of Evidence IV, Case Series.</w:t>
      </w:r>
    </w:p>
    <w:p w:rsidR="003C2695" w:rsidRDefault="003C2695" w:rsidP="003C2695">
      <w:pPr>
        <w:spacing w:after="0" w:line="240" w:lineRule="auto"/>
        <w:jc w:val="both"/>
        <w:rPr>
          <w:rFonts w:ascii="Arial" w:hAnsi="Arial" w:cs="Arial"/>
          <w:sz w:val="24"/>
          <w:szCs w:val="24"/>
        </w:rPr>
      </w:pPr>
      <w:r w:rsidRPr="00080A59">
        <w:rPr>
          <w:rFonts w:ascii="Arial" w:hAnsi="Arial" w:cs="Arial"/>
          <w:sz w:val="24"/>
          <w:szCs w:val="24"/>
          <w:lang w:val="en"/>
        </w:rPr>
        <w:br/>
      </w:r>
      <w:r w:rsidRPr="00080A59">
        <w:rPr>
          <w:rFonts w:ascii="Arial" w:hAnsi="Arial" w:cs="Arial"/>
          <w:b/>
          <w:sz w:val="24"/>
          <w:szCs w:val="24"/>
          <w:lang w:val="en"/>
        </w:rPr>
        <w:t>Keywords:</w:t>
      </w:r>
      <w:r w:rsidRPr="00080A59">
        <w:rPr>
          <w:rFonts w:ascii="Arial" w:hAnsi="Arial" w:cs="Arial"/>
          <w:sz w:val="24"/>
          <w:szCs w:val="24"/>
          <w:lang w:val="en"/>
        </w:rPr>
        <w:t xml:space="preserve"> Mucopolysaccharidoses. Daily Activities. </w:t>
      </w:r>
      <w:proofErr w:type="spellStart"/>
      <w:r w:rsidRPr="00080A59">
        <w:rPr>
          <w:rFonts w:ascii="Arial" w:hAnsi="Arial" w:cs="Arial"/>
          <w:sz w:val="24"/>
          <w:szCs w:val="24"/>
        </w:rPr>
        <w:t>Children</w:t>
      </w:r>
      <w:proofErr w:type="spellEnd"/>
      <w:r w:rsidRPr="00080A59">
        <w:rPr>
          <w:rFonts w:ascii="Arial" w:hAnsi="Arial" w:cs="Arial"/>
          <w:sz w:val="24"/>
          <w:szCs w:val="24"/>
        </w:rPr>
        <w:t xml:space="preserve"> </w:t>
      </w:r>
      <w:proofErr w:type="spellStart"/>
      <w:r w:rsidRPr="00080A59">
        <w:rPr>
          <w:rFonts w:ascii="Arial" w:hAnsi="Arial" w:cs="Arial"/>
          <w:sz w:val="24"/>
          <w:szCs w:val="24"/>
        </w:rPr>
        <w:t>with</w:t>
      </w:r>
      <w:proofErr w:type="spellEnd"/>
      <w:r w:rsidRPr="00080A59">
        <w:rPr>
          <w:rFonts w:ascii="Arial" w:hAnsi="Arial" w:cs="Arial"/>
          <w:sz w:val="24"/>
          <w:szCs w:val="24"/>
        </w:rPr>
        <w:t xml:space="preserve"> </w:t>
      </w:r>
      <w:proofErr w:type="spellStart"/>
      <w:r w:rsidRPr="00080A59">
        <w:rPr>
          <w:rFonts w:ascii="Arial" w:hAnsi="Arial" w:cs="Arial"/>
          <w:sz w:val="24"/>
          <w:szCs w:val="24"/>
        </w:rPr>
        <w:t>disabilities</w:t>
      </w:r>
      <w:proofErr w:type="spellEnd"/>
      <w:r w:rsidRPr="00080A59">
        <w:rPr>
          <w:rFonts w:ascii="Arial" w:hAnsi="Arial" w:cs="Arial"/>
          <w:sz w:val="24"/>
          <w:szCs w:val="24"/>
        </w:rPr>
        <w:t>.</w:t>
      </w:r>
    </w:p>
    <w:p w:rsidR="003C2695" w:rsidRDefault="003C2695" w:rsidP="003C2695">
      <w:pPr>
        <w:spacing w:after="0" w:line="360" w:lineRule="auto"/>
        <w:jc w:val="both"/>
        <w:rPr>
          <w:rFonts w:ascii="Arial" w:hAnsi="Arial" w:cs="Arial"/>
          <w:sz w:val="24"/>
        </w:rPr>
      </w:pPr>
    </w:p>
    <w:p w:rsidR="003C2695" w:rsidRPr="003C2695" w:rsidRDefault="003C2695" w:rsidP="003C2695">
      <w:pPr>
        <w:spacing w:after="0" w:line="360" w:lineRule="auto"/>
        <w:jc w:val="both"/>
        <w:rPr>
          <w:rFonts w:ascii="Arial" w:hAnsi="Arial" w:cs="Arial"/>
          <w:sz w:val="24"/>
        </w:rPr>
      </w:pPr>
    </w:p>
    <w:p w:rsidR="00374865" w:rsidRPr="00962C0C" w:rsidRDefault="00374865" w:rsidP="00374865">
      <w:pPr>
        <w:spacing w:after="0" w:line="360" w:lineRule="auto"/>
        <w:jc w:val="both"/>
        <w:rPr>
          <w:rFonts w:ascii="Arial" w:hAnsi="Arial" w:cs="Arial"/>
          <w:b/>
          <w:sz w:val="24"/>
          <w:szCs w:val="24"/>
        </w:rPr>
      </w:pPr>
      <w:r w:rsidRPr="00962C0C">
        <w:rPr>
          <w:rFonts w:ascii="Arial" w:hAnsi="Arial" w:cs="Arial"/>
          <w:b/>
          <w:sz w:val="24"/>
          <w:szCs w:val="24"/>
        </w:rPr>
        <w:t>INTRODUÇÃO</w:t>
      </w: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As mucopolissacaridoses (MPS) são um grupo de doenças metabólicas, hereditárias, raras, caracterizadas por defeito do metabolismo de glicosaminoglicanos, secundário à inatividade de enzimas específicas necessárias para sua degradação.</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"id" : "ITEM-2", "itemData" : { "DOI" : "10.1007/s10545-014-9737-0", "ISBN" : "1573-2665; 0141-8955", "ISSN" : "15732665", "PMID" : "25048386", "abstract" : "BACKGROUND: While clinical observations suggest that many patients with mucopolysaccharidosis (MPS) experience chronic pain, few studies have assessed its extent and impact. We therefore investigated its prevalence in patients with all types of MPS in the Netherlands. We also examined the association between pain and health related quality of life (HRQoL) and other clinical variables.\\n\\nMETHODS: We conducted a nationwide MPS survey that used questionnaires on MPS and disease-related symptoms (MPS-specific questionnaire), developmental level (Vineland Screener 0-6 years), quality of life (PedsQl and SF-36), and disability (Childhood Health Assessment Questionnaire). Depending on their age and developmental level, patients or their parents were asked to assess pain by keeping a pain diary for five consecutive days: either the Non-communicating Children's Pain Checklist - Revised (3-18 years intellectually disabled and children &lt;8 years), the VAS-score (&gt; 18 years), or the Faces Pain Scale - Revised (8-18 years).\\n\\nRESULTS: Eighty-nine MPS patients were invited, 55 of whom agreed to participate (response rate 62 %; median age 10.9 years, range 2.9-47.2 years). They covered a wide spectrum in all age groups, ranging from no pain to severe pain. Forty percent scored above the cut-off value for pain. Most reported pain sites were the back and hips. While the MPS III group experienced the highest frequency of pain (52.9 %), 50 % of patients with an intellectual disability seemed to experience pain, versus 30 % of patients with a normal intelligence. MPS patients scored much lower (i.e., more pain) than a random sample of the Dutch population on the bodily pain domain of the SF-36 scale and the PedsQl.\\n\\nCONCLUSION: With or without intellectual disabilities, many MPS patients experience pain. We recommend that standardized pain assessments are included in the regular follow-up program of patients with MPS.", "author" : [ { "dropping-particle" : "", "family" : "Brands", "given" : "Marion M G", "non-dropping-particle" : "", "parse-names" : false, "suffix" : "" }, { "dropping-particle" : "", "family" : "G\u00fcng\u00f6r", "given" : "Deniz", "non-dropping-particle" : "", "parse-names" : false, "suffix" : "" }, { "dropping-particle" : "", "family" : "Hout", "given" : "Johanna M P", "non-dropping-particle" : "van den", "parse-names" : false, "suffix" : "" }, { "dropping-particle" : "", "family" : "Karstens", "given" : "Francois P J", "non-dropping-particle" : "", "parse-names" : false, "suffix" : "" }, { "dropping-particle" : "", "family" : "Oussoren", "given" : "Esmee", "non-dropping-particle" : "", "parse-names" : false, "suffix" : "" }, { "dropping-particle" : "", "family" : "Plug", "given" : "Iris", "non-dropping-particle" : "", "parse-names" : false, "suffix" : "" }, { "dropping-particle" : "", "family" : "Boelens", "given" : "Jaap Jan", "non-dropping-particle" : "", "parse-names" : false, "suffix" : "" }, { "dropping-particle" : "", "family" : "Hasselt", "given" : "Peter M.", "non-dropping-particle" : "van", "parse-names" : false, "suffix" : "" }, { "dropping-particle" : "", "family" : "Hollak", "given" : "Carla E M", "non-dropping-particle" : "", "parse-names" : false, "suffix" : "" }, { "dropping-particle" : "", "family" : "Mulder", "given" : "Margot F.", "non-dropping-particle" : "", "parse-names" : false, "suffix" : "" }, { "dropping-particle" : "", "family" : "Gozalbo", "given" : "Estela Rubio", "non-dropping-particle" : "", "parse-names" : false, "suffix" : "" }, { "dropping-particle" : "", "family" : "Smeitink", "given" : "Jan A.", "non-dropping-particle" : "", "parse-names" : false, "suffix" : "" }, { "dropping-particle" : "", "family" : "Smit", "given" : "G. Peter A", "non-dropping-particle" : "", "parse-names" : false, "suffix" : "" }, { "dropping-particle" : "", "family" : "Wijburg", "given" : "Frits A.", "non-dropping-particle" : "", "parse-names" : false, "suffix" : "" }, { "dropping-particle" : "", "family" : "Meutgeert", "given" : "Hanka", "non-dropping-particle" : "", "parse-names" : false, "suffix" : "" }, { "dropping-particle" : "", "family" : "Ploeg", "given" : "Ans T.", "non-dropping-particle" : "van der", "parse-names" : false, "suffix" : "" } ], "container-title" : "Journal of Inherited Metabolic Disease", "id" : "ITEM-2", "issue" : "2", "issued" : { "date-parts" : [ [ "2015" ] ] }, "page" : "323-331", "title" : "Pain: a prevalent feature in patients with mucopolysaccharidosis. Results of a cross-sectional national survey", "type" : "article-journal", "volume" : "38" }, "uris" : [ "http://www.mendeley.com/documents/?uuid=cdd25880-97d6-4726-89b5-ca089c99d649" ] } ], "mendeley" : { "formattedCitation" : "&lt;sup&gt;1,2&lt;/sup&gt;", "plainTextFormattedCitation" : "1,2"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1,2</w:t>
      </w:r>
      <w:r w:rsidRPr="00962C0C">
        <w:rPr>
          <w:rFonts w:ascii="Arial" w:hAnsi="Arial" w:cs="Arial"/>
          <w:sz w:val="24"/>
          <w:szCs w:val="24"/>
        </w:rPr>
        <w:fldChar w:fldCharType="end"/>
      </w:r>
      <w:r w:rsidRPr="00962C0C">
        <w:rPr>
          <w:rFonts w:ascii="Arial" w:hAnsi="Arial" w:cs="Arial"/>
          <w:sz w:val="24"/>
          <w:szCs w:val="24"/>
        </w:rPr>
        <w:t xml:space="preserve"> O acúmulo intralisossomal de glicosaminoglicanos, causado pela deficiência enzimática, origina diversas alterações crônicas e progressivas, que resultam em modificações à vida dos sujeitos acometidos e de seus familiares.</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"id" : "ITEM-2", "itemData" : { "DOI" : "10.1186/s13023-015-0259-0", "ISSN" : "???", "author" : [ { "dropping-particle" : "", "family" : "Guffon", "given" : "Nathalie", "non-dropping-particle" : "", "parse-names" : false, "suffix" : "" }, { "dropping-particle" : "", "family" : "Heron", "given" : "B\u00e9n\u00e9dicte", "non-dropping-particle" : "", "parse-names" : false, "suffix" : "" }, { "dropping-particle" : "", "family" : "Chabrol", "given" : "Brigitte", "non-dropping-particle" : "", "parse-names" : false, "suffix" : "" }, { "dropping-particle" : "", "family" : "Feillet", "given" : "Fran\u00e7ois", "non-dropping-particle" : "", "parse-names" : false, "suffix" : "" }, { "dropping-particle" : "", "family" : "Montauban", "given" : "Vincent", "non-dropping-particle" : "", "parse-names" : false, "suffix" : "" }, { "dropping-particle" : "", "family" : "Valayannopoulos", "given" : "Vassili", "non-dropping-particle" : "", "parse-names" : false, "suffix" : "" } ], "container-title" : "Orphanet Journal of Rare Diseases", "id" : "ITEM-2", "issue" : "43", "issued" : { "date-parts" : [ [ "2015" ] ] }, "page" : "1-13", "publisher" : "???", "title" : "Diagnosis , quality of life , and treatment of patients with Hunter syndrome in the French healthcare system : a retrospective observational study", "type" : "article-journal", "volume" : "10" }, "uris" : [ "http://www.mendeley.com/documents/?uuid=dd6c1c93-f494-4d90-804e-e403ee1477fb" ] } ], "mendeley" : { "formattedCitation" : "&lt;sup&gt;1,3&lt;/sup&gt;", "plainTextFormattedCitation" : "1,3", "previouslyFormattedCitation" : "&lt;sup&gt;3,4&lt;/sup&gt;"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1,3</w:t>
      </w:r>
      <w:r w:rsidRPr="00962C0C">
        <w:rPr>
          <w:rFonts w:ascii="Arial" w:hAnsi="Arial" w:cs="Arial"/>
          <w:sz w:val="24"/>
          <w:szCs w:val="24"/>
        </w:rPr>
        <w:fldChar w:fldCharType="end"/>
      </w:r>
    </w:p>
    <w:p w:rsidR="00374865" w:rsidRPr="00962C0C" w:rsidRDefault="00374865" w:rsidP="00374865">
      <w:pPr>
        <w:spacing w:after="0" w:line="360" w:lineRule="auto"/>
        <w:jc w:val="both"/>
        <w:rPr>
          <w:rFonts w:ascii="Arial" w:hAnsi="Arial" w:cs="Arial"/>
          <w:sz w:val="24"/>
          <w:szCs w:val="24"/>
        </w:rPr>
      </w:pP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Existem sete tipos de mucopolissacaridoses descritos na literatura, classificados com base na enzima deficiente ou no glicosaminoglicano acumulado, e que podem variar também quanto ao fenótipo – de atenuado à grave.</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"id" : "ITEM-2", "itemData" : { "DOI" : "10.1186/1546-0096-12-32", "ISSN" : "1546-0096", "PMID" : "25110468", "abstract" : "BACKGROUND: Children with mucopolysaccharidoses (MPS) often have musculoskeletal (MSK) abnormalities. Paediatric Gait, Arms, Legs, and Spine (pGALS), is a simple MSK assessment validated in school-age children to detect abnormal joints. We aimed to identify MSK abnormalities in children with MPS performing pGALS.\\n\\nMETHODS: Videos of children with a spectrum of MPS performing pGALS were analysed. A piloted proforma to record abnormalities for each pGALS manoeuvre observed in the videos (scored as normal/abnormal/not assessable) was used by three observers blinded to MPS subtype. Videos were scored independently and rescored for intra- and inter-observer consistency. Data were pooled and analysed.\\n\\nRESULTS: Eighteen videos of children [12 boys, 6 girls, median age 11 years (4-19)] with MPS (13 type I [5 Hurler, 8 attenuated type I]; 4 type II; 1 mannosidosis) were assessed. The most common abnormalities detected using pGALS were restrictions of the shoulder, elbow, wrist, jaw (&gt;75% cases), and fingers (2/3 cases). Mean intra-observer \u039a 0.74 (range 0.65-0.88) and inter-observer \u039a 0.62 (range 0.51-0.77). Hip manoeuvres were not clearly demonstrated in the videos.\\n\\nCONCLUSIONS: In this observational study, pGALS identifies MSK abnormalities in children with MPS. Restricted joint movement (especially upper limb) was a consistent finding. Future work includes pGALS assessment of the hip and testing pGALS in further children with attenuated MPS type I. The use of pGALS and awareness of patterns of joint involvement may be a useful adjunct to facilitate earlier recognition of these rare conditions and ultimately access to specialist care.", "author" : [ { "dropping-particle" : "", "family" : "Chan", "given" : "Mercedes O", "non-dropping-particle" : "", "parse-names" : false, "suffix" : "" }, { "dropping-particle" : "", "family" : "Sen", "given" : "Ethan S", "non-dropping-particle" : "", "parse-names" : false, "suffix" : "" }, { "dropping-particle" : "", "family" : "Hardy", "given" : "Elizabeth", "non-dropping-particle" : "", "parse-names" : false, "suffix" : "" }, { "dropping-particle" : "", "family" : "Hensman", "given" : "Pauline", "non-dropping-particle" : "", "parse-names" : false, "suffix" : "" }, { "dropping-particle" : "", "family" : "Wraith", "given" : "Edmond", "non-dropping-particle" : "", "parse-names" : false, "suffix" : "" }, { "dropping-particle" : "", "family" : "Jones", "given" : "Simon", "non-dropping-particle" : "", "parse-names" : false, "suffix" : "" }, { "dropping-particle" : "", "family" : "Rapley", "given" : "Tim", "non-dropping-particle" : "", "parse-names" : false, "suffix" : "" }, { "dropping-particle" : "", "family" : "Foster", "given" : "Helen E", "non-dropping-particle" : "", "parse-names" : false, "suffix" : "" } ], "container-title" : "Pediatric rheumatology online journal", "id" : "ITEM-2", "issue" : "32", "issued" : { "date-parts" : [ [ "2014" ] ] }, "page" : "1-9", "title" : "Assessment of musculoskeletal abnormalities in children with mucopolysaccharidoses using pGALS.", "type" : "article-journal", "volume" : "12" }, "uris" : [ "http://www.mendeley.com/documents/?uuid=bdf88c63-89a0-4de5-baa7-b0b8491d126a" ] } ], "mendeley" : { "formattedCitation" : "&lt;sup&gt;1,4&lt;/sup&gt;", "plainTextFormattedCitation" : "1,4", "previouslyFormattedCitation" : "&lt;sup&gt;3,5&lt;/sup&gt;"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1,4</w:t>
      </w:r>
      <w:r w:rsidRPr="00962C0C">
        <w:rPr>
          <w:rFonts w:ascii="Arial" w:hAnsi="Arial" w:cs="Arial"/>
          <w:sz w:val="24"/>
          <w:szCs w:val="24"/>
        </w:rPr>
        <w:fldChar w:fldCharType="end"/>
      </w:r>
      <w:r w:rsidRPr="00962C0C">
        <w:rPr>
          <w:rFonts w:ascii="Arial" w:hAnsi="Arial" w:cs="Arial"/>
          <w:sz w:val="24"/>
          <w:szCs w:val="24"/>
        </w:rPr>
        <w:t xml:space="preserve"> Dentre as manifestações clínicas decorrentes das mucopolissacaridoses têm-se alterações esqueléticas, articulares, cardiorrespiratórias, neurológicas, auditivas e visuais, que variam de acordo com o tipo da doença.</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"id" : "ITEM-2", "itemData" : { "DOI" : "10.1186/s13023-015-0259-0", "ISSN" : "???", "author" : [ { "dropping-particle" : "", "family" : "Guffon", "given" : "Nathalie", "non-dropping-particle" : "", "parse-names" : false, "suffix" : "" }, { "dropping-particle" : "", "family" : "Heron", "given" : "B\u00e9n\u00e9dicte", "non-dropping-particle" : "", "parse-names" : false, "suffix" : "" }, { "dropping-particle" : "", "family" : "Chabrol", "given" : "Brigitte", "non-dropping-particle" : "", "parse-names" : false, "suffix" : "" }, { "dropping-particle" : "", "family" : "Feillet", "given" : "Fran\u00e7ois", "non-dropping-particle" : "", "parse-names" : false, "suffix" : "" }, { "dropping-particle" : "", "family" : "Montauban", "given" : "Vincent", "non-dropping-particle" : "", "parse-names" : false, "suffix" : "" }, { "dropping-particle" : "", "family" : "Valayannopoulos", "given" : "Vassili", "non-dropping-particle" : "", "parse-names" : false, "suffix" : "" } ], "container-title" : "Orphanet Journal of Rare Diseases", "id" : "ITEM-2", "issue" : "43", "issued" : { "date-parts" : [ [ "2015" ] ] }, "page" : "1-13", "publisher" : "???", "title" : "Diagnosis , quality of life , and treatment of patients with Hunter syndrome in the French healthcare system : a retrospective observational study", "type" : "article-journal", "volume" : "10" }, "uris" : [ "http://www.mendeley.com/documents/?uuid=dd6c1c93-f494-4d90-804e-e403ee1477fb" ] } ], "mendeley" : { "formattedCitation" : "&lt;sup&gt;1,3&lt;/sup&gt;", "plainTextFormattedCitation" : "1,3", "previouslyFormattedCitation" : "&lt;sup&gt;3,4&lt;/sup&gt;"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1,3</w:t>
      </w:r>
      <w:r w:rsidRPr="00962C0C">
        <w:rPr>
          <w:rFonts w:ascii="Arial" w:hAnsi="Arial" w:cs="Arial"/>
          <w:sz w:val="24"/>
          <w:szCs w:val="24"/>
        </w:rPr>
        <w:fldChar w:fldCharType="end"/>
      </w:r>
    </w:p>
    <w:p w:rsidR="00374865" w:rsidRPr="00962C0C" w:rsidRDefault="00374865" w:rsidP="00374865">
      <w:pPr>
        <w:spacing w:after="0" w:line="360" w:lineRule="auto"/>
        <w:jc w:val="both"/>
        <w:rPr>
          <w:rFonts w:ascii="Arial" w:hAnsi="Arial" w:cs="Arial"/>
          <w:sz w:val="24"/>
          <w:szCs w:val="24"/>
        </w:rPr>
      </w:pP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lastRenderedPageBreak/>
        <w:t>As manifestações somáticas conferem aos pacientes com mucopolissacaridoses um perfil marcado por deformidades ósseas, limitação articular, alterações na caixa torácica, baixa estatura, displasia do quadril, além de deformidades em flexão de joelhos e das articulações interfalangeanas.</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"10.1093/rheumatology/ker390", "ISBN" : "1462-0332 (Electronic)\\n1462-0324 (Linking)", "ISSN" : "14620324", "PMID" : "22210670", "abstract" : "The mucopolysaccharidoses (MPSs) often present a diagnostic challenge, particularly for patients who have more slowly progressive disease phenotypes, as early disease manifestations can be subtle or non-specific. However, certain types of bone and joint involvement should always prompt consideration of an MPS diagnosis, such as early joint involvement without classic inflammatory features or erosive bone lesions, claw hand, spinal deformities or dysostosis multiplex. All such patients should be referred to a geneticist or metabolic specialist for diagnostic evaluation. The earlier the diagnosis is made, the better the potential outcome of treatment. Each type of MPS is associated both with deficient activity of a specific lysosomal enzyme that degrades specific glycosaminoglycans (GAGs) and with abnormalities in urinary GAG excretion. MPS patients usually excrete excess GAG in urine and/or have different relative proportions of types of GAG in urine as compared with age-matched normal subjects. Although urinary GAG analyses (both quantitative and qualitative) can suggest the most likely type of MPS, diagnosis must be confirmed by enzyme assay. Multiple assays may be necessary to identify the disease subtype. Correct identification of the MPS type is essential to guide treatment and management decisions.", "author" : [ { "dropping-particle" : "", "family" : "Lehman", "given" : "Thomas J A", "non-dropping-particle" : "", "parse-names" : false, "suffix" : "" }, { "dropping-particle" : "", "family" : "Miller", "given" : "Nicole", "non-dropping-particle" : "", "parse-names" : false, "suffix" : "" }, { "dropping-particle" : "", "family" : "Norquist", "given" : "Becky", "non-dropping-particle" : "", "parse-names" : false, "suffix" : "" }, { "dropping-particle" : "", "family" : "Underhill", "given" : "Lisa", "non-dropping-particle" : "", "parse-names" : false, "suffix" : "" }, { "dropping-particle" : "", "family" : "Keutzer", "given" : "Joan", "non-dropping-particle" : "", "parse-names" : false, "suffix" : "" } ], "container-title" : "Rheumatology", "id" : "ITEM-1", "issue" : "SUPPL. 5", "issued" : { "date-parts" : [ [ "2011" ] ] }, "page" : "41-48", "title" : "Diagnosis of the mucopolysaccharidoses", "type" : "article-journal", "volume" : "50" }, "uris" : [ "http://www.mendeley.com/documents/?uuid=2d68b9fd-2729-4930-b57e-e756814a94b9" ] }, { "id" : "ITEM-2", "itemData" : { "DOI" : "10.1093/rheumatology/ker393", "ISBN" : "1462-0324", "ISSN" : "14620324", "PMID" : "22210667", "abstract" : "Skeletal abnormalities are an early and prominent feature of most mucopolysaccharide (MPS) disorders, with the degree of skeletal involvement varying between and within MPS subtypes. Most patients exhibit a constellation of radiographic abnormalities known as dysostosis multiplex, consisting of abnormally shaped vertebrae and ribs, enlarged skull, spatulate ribs, hypoplastic epiphyses, thickened diaphyses and bullet-shaped metacarpals. Thoracolumbar kyphosis or the gibbus deformity is often a key diagnostic clue. Also common are hip dysplasia, genu valgum and, later in the course of the disease, spinal cord compression, which can be life-threatening. Short stature is ubiquitous. Treatment of skeletal manifestations usually involves surgical intervention. All patients with MPS should be considered at high risk for surgical intervention requiring anaesthesia because of airway and cardiac disease manifestations. Regular imaging of the cervical, thoracic and lumbar spine, the hips and the lower extremities is recommended for patients with MPS.", "author" : [ { "dropping-particle" : "", "family" : "White", "given" : "Klane K.", "non-dropping-particle" : "", "parse-names" : false, "suffix" : "" } ], "container-title" : "Rheumatology", "id" : "ITEM-2", "issue" : "SUPPL. 5", "issued" : { "date-parts" : [ [ "2011" ] ] }, "page" : "26-33", "title" : "Orthopaedic aspects of mucopolysaccharidoses", "type" : "article-journal", "volume" : "50" }, "uris" : [ "http://www.mendeley.com/documents/?uuid=4eeeaa73-297b-4963-b62e-7030ea597ac3" ] } ], "mendeley" : { "formattedCitation" : "&lt;sup&gt;5,6&lt;/sup&gt;", "plainTextFormattedCitation" : "5,6", "previouslyFormattedCitation" : "&lt;sup&gt;6,7&lt;/sup&gt;"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5,6</w:t>
      </w:r>
      <w:r w:rsidRPr="00962C0C">
        <w:rPr>
          <w:rFonts w:ascii="Arial" w:hAnsi="Arial" w:cs="Arial"/>
          <w:sz w:val="24"/>
          <w:szCs w:val="24"/>
        </w:rPr>
        <w:fldChar w:fldCharType="end"/>
      </w:r>
      <w:r w:rsidRPr="00962C0C">
        <w:rPr>
          <w:rFonts w:ascii="Arial" w:hAnsi="Arial" w:cs="Arial"/>
          <w:sz w:val="24"/>
          <w:szCs w:val="24"/>
        </w:rPr>
        <w:t xml:space="preserve"> Os pacientes podem desenvolver ainda alterações respiratórias de caráter obstrutivo (como apnéia obstrutiva do sono e estreitamento das vias aéreas superiores, pelo acúmulo de secreção espessa resultante de processos infecciosos recorrentes); ou alterações restritivas, em função da rigidez torácica e distensão abdominal associadas às deformidades torácicas.</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"10.1093/rheumatology/ker390", "ISBN" : "1462-0332 (Electronic)\\n1462-0324 (Linking)", "ISSN" : "14620324", "PMID" : "22210670", "abstract" : "The mucopolysaccharidoses (MPSs) often present a diagnostic challenge, particularly for patients who have more slowly progressive disease phenotypes, as early disease manifestations can be subtle or non-specific. However, certain types of bone and joint involvement should always prompt consideration of an MPS diagnosis, such as early joint involvement without classic inflammatory features or erosive bone lesions, claw hand, spinal deformities or dysostosis multiplex. All such patients should be referred to a geneticist or metabolic specialist for diagnostic evaluation. The earlier the diagnosis is made, the better the potential outcome of treatment. Each type of MPS is associated both with deficient activity of a specific lysosomal enzyme that degrades specific glycosaminoglycans (GAGs) and with abnormalities in urinary GAG excretion. MPS patients usually excrete excess GAG in urine and/or have different relative proportions of types of GAG in urine as compared with age-matched normal subjects. Although urinary GAG analyses (both quantitative and qualitative) can suggest the most likely type of MPS, diagnosis must be confirmed by enzyme assay. Multiple assays may be necessary to identify the disease subtype. Correct identification of the MPS type is essential to guide treatment and management decisions.", "author" : [ { "dropping-particle" : "", "family" : "Lehman", "given" : "Thomas J A", "non-dropping-particle" : "", "parse-names" : false, "suffix" : "" }, { "dropping-particle" : "", "family" : "Miller", "given" : "Nicole", "non-dropping-particle" : "", "parse-names" : false, "suffix" : "" }, { "dropping-particle" : "", "family" : "Norquist", "given" : "Becky", "non-dropping-particle" : "", "parse-names" : false, "suffix" : "" }, { "dropping-particle" : "", "family" : "Underhill", "given" : "Lisa", "non-dropping-particle" : "", "parse-names" : false, "suffix" : "" }, { "dropping-particle" : "", "family" : "Keutzer", "given" : "Joan", "non-dropping-particle" : "", "parse-names" : false, "suffix" : "" } ], "container-title" : "Rheumatology", "id" : "ITEM-1", "issue" : "SUPPL. 5", "issued" : { "date-parts" : [ [ "2011" ] ] }, "page" : "41-48", "title" : "Diagnosis of the mucopolysaccharidoses", "type" : "article-journal", "volume" : "50" }, "uris" : [ "http://www.mendeley.com/documents/?uuid=2d68b9fd-2729-4930-b57e-e756814a94b9" ] }, { "id" : "ITEM-2", "itemData" : { "DOI" : "10.1590/S1415-47572010005000093", "ISBN" : "1678-4685 (Electronic)\\r1415-4757 (Linking)", "ISSN" : "14154757", "PMID" : "21637564", "abstract" : "Mucopolysaccharidoses (MPS) are rare genetic diseases caused by the deficiency of one of the lysosomal enzymes involved in the glycosaminoglycan (GAG) breakdown pathway. This metabolic block leads to the accumulation of GAG in various organs and tissues of the affected patients, resulting in a multisystemic clinical picture, sometimes including cognitive impairment. Until the beginning of the XXI century, treatment was mainly supportive. Bone marrow transplantation improved the natural course of the disease in some types of MPS, but the morbidity and mortality restricted its use to selected cases. The identification of the genes involved, the new molecular biology tools and the availability of animal models made it possible to develop specific enzyme replacement therapies (ERT) for these diseases. At present, a great number of Brazilian medical centers from all regions of the country have experience with ERT for MPS I, II, and VI, acquired not only through patient treatment but also in clinical trials. Taking the three types of MPS together, over 200 patients have been treated with ERT in our country. This document summarizes the experience of the professionals involved, along with the data available in the international literature, bringing together and harmonizing the information available on the management of these severe and progressive diseases, thus disclosing new prospects for Brazilian patients affected by these conditions.", "author" : [ { "dropping-particle" : "", "family" : "Giugliani", "given" : "Roberto", "non-dropping-particle" : "", "parse-names" : false, "suffix" : "" }, { "dropping-particle" : "", "family" : "Federhen", "given" : "Andressa", "non-dropping-particle" : "", "parse-names" : false, "suffix" : "" }, { "dropping-particle" : "", "family" : "Rojas", "given" : "Maria Ver\u00f4nica Mu\u00f1oz", "non-dropping-particle" : "", "parse-names" : false, "suffix" : "" }, { "dropping-particle" : "", "family" : "Vieira", "given" : "Taiane", "non-dropping-particle" : "", "parse-names" : false, "suffix" : "" }, { "dropping-particle" : "", "family" : "Artigal\u00e1s", "given" : "Osvaldo", "non-dropping-particle" : "", "parse-names" : false, "suffix" : "" }, { "dropping-particle" : "", "family" : "Pinto", "given" : "Louise Lapagesse", "non-dropping-particle" : "", "parse-names" : false, "suffix" : "" }, { "dropping-particle" : "", "family" : "Azevedo", "given" : "Ana Cec\u00edlia", "non-dropping-particle" : "", "parse-names" : false, "suffix" : "" }, { "dropping-particle" : "", "family" : "Acosta", "given" : "Angelina", "non-dropping-particle" : "", "parse-names" : false, "suffix" : "" }, { "dropping-particle" : "", "family" : "Bonfim", "given" : "Carmen", "non-dropping-particle" : "", "parse-names" : false, "suffix" : "" }, { "dropping-particle" : "", "family" : "Louren\u00e7o", "given" : "Charles Marques", "non-dropping-particle" : "", "parse-names" : false, "suffix" : "" }, { "dropping-particle" : "", "family" : "Kim", "given" : "Chong Ae", "non-dropping-particle" : "", "parse-names" : false, "suffix" : "" }, { "dropping-particle" : "", "family" : "Horovitz", "given" : "Dafne", "non-dropping-particle" : "", "parse-names" : false, "suffix" : "" }, { "dropping-particle" : "", "family" : "Bonfim", "given" : "Denize", "non-dropping-particle" : "", "parse-names" : false, "suffix" : "" }, { "dropping-particle" : "", "family" : "Norato", "given" : "Denise", "non-dropping-particle" : "", "parse-names" : false, "suffix" : "" }, { "dropping-particle" : "", "family" : "Marinho", "given" : "Diane", "non-dropping-particle" : "", "parse-names" : false, "suffix" : "" }, { "dropping-particle" : "", "family" : "Palhares", "given" : "Durval", "non-dropping-particle" : "", "parse-names" : false, "suffix" : "" }, { "dropping-particle" : "", "family" : "Santos", "given" : "Emerson Santana", "non-dropping-particle" : "", "parse-names" : false, "suffix" : "" }, { "dropping-particle" : "", "family" : "Ribeiro", "given" : "Erlane", "non-dropping-particle" : "", "parse-names" : false, "suffix" : "" }, { "dropping-particle" : "", "family" : "Valadares", "given" : "Eug\u00eania", "non-dropping-particle" : "", "parse-names" : false, "suffix" : "" }, { "dropping-particle" : "", "family" : "Guarany", "given" : "F\u00e1bio", "non-dropping-particle" : "", "parse-names" : false, "suffix" : "" }, { "dropping-particle" : "", "family" : "Lucca", "given" : "Gisele Rosone", "non-dropping-particle" : "de", "parse-names" : false, "suffix" : "" }, { "dropping-particle" : "", "family" : "Pimentel", "given" : "Helena", "non-dropping-particle" : "", "parse-names" : false, "suffix" : "" }, { "dropping-particle" : "", "family" : "Souza", "given" : "Isabel Neves", "non-dropping-particle" : "de", "parse-names" : false, "suffix" : "" }, { "dropping-particle" : "", "family" : "Neto", "given" : "Jord\u00e3o Correa", "non-dropping-particle" : "", "parse-names" : false, "suffix" : "" }, { "dropping-particle" : "", "family" : "Fraga", "given" : "Jos\u00e9 Carlos", "non-dropping-particle" : "", "parse-names" : false, "suffix" : "" }, { "dropping-particle" : "", "family" : "Goes", "given" : "Jos\u00e9 Eduardo", "non-dropping-particle" : "", "parse-names" : false, "suffix" : "" }, { "dropping-particle" : "", "family" : "Cabral", "given" : "Jos\u00e9 Maria", "non-dropping-particle" : "", "parse-names" : false, "suffix" : "" }, { "dropping-particle" : "", "family" : "Simionato", "given" : "Jos\u00e9", "non-dropping-particle" : "", "parse-names" : false, "suffix" : "" }, { "dropping-particle" : "", "family" : "Llerena", "given" : "Juan", "non-dropping-particle" : "", "parse-names" : false, "suffix" : "" }, { "dropping-particle" : "", "family" : "Jardim", "given" : "Laura", "non-dropping-particle" : "", "parse-names" : false, "suffix" : "" }, { "dropping-particle" : "", "family" : "Giuliani", "given" : "Liane", "non-dropping-particle" : "", "parse-names" : false, "suffix" : "" }, { "dropping-particle" : "", "family" : "Silva", "given" : "Luiz Carlos Santana", "non-dropping-particle" : "da", "parse-names" : false, "suffix" : "" }, { "dropping-particle" : "", "family" : "Santos", "given" : "Mara L.", "non-dropping-particle" : "", "parse-names" : false, "suffix" : "" }, { "dropping-particle" : "", "family" : "Moreira", "given" : "Maria Angela", "non-dropping-particle" : "", "parse-names" : false, "suffix" : "" }, { "dropping-particle" : "", "family" : "Kerstenetzky", "given" : "Marcelo", "non-dropping-particle" : "", "parse-names" : false, "suffix" : "" }, { "dropping-particle" : "", "family" : "Ribeiro", "given" : "M\u00e1rcia", "non-dropping-particle" : "", "parse-names" : false, "suffix" : "" }, { "dropping-particle" : "", "family" : "Ruas", "given" : "Nicole", "non-dropping-particle" : "", "parse-names" : false, "suffix" : "" }, { "dropping-particle" : "", "family" : "Barrios", "given" : "Patricia", "non-dropping-particle" : "", "parse-names" : false, "suffix" : "" }, { "dropping-particle" : "", "family" : "Aranda", "given" : "Paulo", "non-dropping-particle" : "", "parse-names" : false, "suffix" : "" }, { "dropping-particle" : "", "family" : "Honjo", "given" : "Rachel", "non-dropping-particle" : "", "parse-names" : false, "suffix" : "" }, { "dropping-particle" : "", "family" : "Boy", "given" : "Raquel", "non-dropping-particle" : "", "parse-names" : false, "suffix" : "" }, { "dropping-particle" : "", "family" : "Costa", "given" : "Ronaldo", "non-dropping-particle" : "", "parse-names" : false, "suffix" : "" }, { "dropping-particle" : "", "family" : "Souza", "given" : "Carolina", "non-dropping-particle" : "", "parse-names" : false, "suffix" : "" }, { "dropping-particle" : "", "family" : "Alcantara", "given" : "Flavio F.", "non-dropping-particle" : "", "parse-names" : false, "suffix" : "" }, { "dropping-particle" : "", "family" : "Avilla", "given" : "Silvio Gilberto A", "non-dropping-particle" : "", "parse-names" : false, "suffix" : "" }, { "dropping-particle" : "", "family" : "Fagondes", "given" : "Simone", "non-dropping-particle" : "", "parse-names" : false, "suffix" : "" }, { "dropping-particle" : "", "family" : "Martins", "given" : "Ana Maria", "non-dropping-particle" : "", "parse-names" : false, "suffix" : "" } ], "container-title" : "Genetics and Molecular Biology", "id" : "ITEM-2", "issue" : "4", "issued" : { "date-parts" : [ [ "2010" ] ] }, "page" : "589-604", "title" : "Mucopolysaccharidosis I, II, and VI: Brief review and guidelines for treatment", "type" : "article-journal", "volume" : "33" }, "uris" : [ "http://www.mendeley.com/documents/?uuid=f17d1c38-f17e-4c99-aede-379c6264f7a4" ] } ], "mendeley" : { "formattedCitation" : "&lt;sup&gt;5,7&lt;/sup&gt;", "plainTextFormattedCitation" : "5,7", "previouslyFormattedCitation" : "&lt;sup&gt;6,8&lt;/sup&gt;"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5,7</w:t>
      </w:r>
      <w:r w:rsidRPr="00962C0C">
        <w:rPr>
          <w:rFonts w:ascii="Arial" w:hAnsi="Arial" w:cs="Arial"/>
          <w:sz w:val="24"/>
          <w:szCs w:val="24"/>
        </w:rPr>
        <w:fldChar w:fldCharType="end"/>
      </w:r>
    </w:p>
    <w:p w:rsidR="00374865" w:rsidRPr="00962C0C" w:rsidRDefault="00374865" w:rsidP="00374865">
      <w:pPr>
        <w:spacing w:after="0" w:line="360" w:lineRule="auto"/>
        <w:jc w:val="both"/>
        <w:rPr>
          <w:rFonts w:ascii="Arial" w:hAnsi="Arial" w:cs="Arial"/>
          <w:sz w:val="24"/>
          <w:szCs w:val="24"/>
        </w:rPr>
      </w:pP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O sistema nervoso também é comumente afetado em alguns tipos de MPS, e resulta na ocorrência de compressão neural e/ou medular até o comprometimento da cognição.</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"10.1186/1750-1172-7-22", "ISBN" : "1750-1172 (Electronic)\\r1750-1172 (Linking)", "ISSN" : "1750-1172", "PMID" : "22524701", "abstract" : "BACKGROUND: Mucopolysaccharidosis type I (MPS I) is traditionally divided into three phenotypes: the severe Hurler (MPS I-H) phenotype, the intermediate Hurler-Scheie (MPS I-H/S) phenotype and the attenuated Scheie (MPS I-S) phenotype. However, there are no clear criteria for delineating the different phenotypes. Because decisions about optimal treatment (enzyme replacement therapy or hematopoietic stem cell transplantation) need to be made quickly and depend on the presumed phenotype, an assessment of phenotypic severity should be performed soon after diagnosis. Therefore, a numerical severity scale for classifying different MPS I phenotypes at diagnosis based on clinical signs and symptoms was developed.\\n\\nMETHODS: A consensus procedure based on a combined modified Delphi method and a nominal group technique was undertaken. It consisted of two written rounds and a face-to-face meeting. Sixteen MPS I experts participated in the process. The main goal was to identify the most important indicators of phenotypic severity and include these in a numerical severity scale. The correlation between the median subjective expert MPS I rating and the scores derived from this severity scale was used as an indicator of validity.\\n\\nRESULTS: Full consensus was reached on six key clinical items for assessing severity: age of onset of signs and symptoms, developmental delay, joint stiffness/arthropathy/contractures, kyphosis, cardiomyopathy and large head/frontal bossing. Due to the remarkably large variability in the expert MPS I assessments, however, a reliable numerical scale could not be constructed. Because of this variability, such a scale would always result in patients whose calculated severity score differed unacceptably from the median expert severity score, which was considered to be the 'gold standard'.\\n\\nCONCLUSIONS: Although consensus was reached on the six key items for assessing phenotypic severity in MPS I, expert opinion on phenotypic severity at diagnosis proved to be highly variable. This subjectivity emphasizes the need for validated biomarkers and improved genotype-phenotype correlations that can be incorporated into phenotypic severity assessments at diagnosis.", "author" : [ { "dropping-particle" : "", "family" : "Ru", "given" : "Minke H", "non-dropping-particle" : "", "parse-names" : false, "suffix" : "" }, { "dropping-particle" : "", "family" : "Teunissen", "given" : "Quirine GA", "non-dropping-particle" : "", "parse-names" : false, "suffix" : "" }, { "dropping-particle" : "", "family" : "Lee", "given" : "Johanna H", "non-dropping-particle" : "van der", "parse-names" : false, "suffix" : "" }, { "dropping-particle" : "", "family" : "Beck", "given" : "Michael", "non-dropping-particle" : "", "parse-names" : false, "suffix" : "" }, { "dropping-particle" : "", "family" : "Bodamer", "given" : "Olaf A", "non-dropping-particle" : "", "parse-names" : false, "suffix" : "" }, { "dropping-particle" : "", "family" : "Clarke", "given" : "Lorne A", "non-dropping-particle" : "", "parse-names" : false, "suffix" : "" }, { "dropping-particle" : "", "family" : "Hollak", "given" : "Carla E", "non-dropping-particle" : "", "parse-names" : false, "suffix" : "" }, { "dropping-particle" : "", "family" : "Lin", "given" : "Shuan-Pei", "non-dropping-particle" : "", "parse-names" : false, "suffix" : "" }, { "dropping-particle" : "", "family" : "Munoz Rojas", "given" : "Maria-Veronica", "non-dropping-particle" : "", "parse-names" : false, "suffix" : "" }, { "dropping-particle" : "", "family" : "Pastores", "given" : "Gregory M", "non-dropping-particle" : "", "parse-names" : false, "suffix" : "" }, { "dropping-particle" : "", "family" : "Raiman", "given" : "Julian A", "non-dropping-particle" : "", "parse-names" : false, "suffix" : "" }, { "dropping-particle" : "", "family" : "Scarpa", "given" : "Maurizio", "non-dropping-particle" : "", "parse-names" : false, "suffix" : "" }, { "dropping-particle" : "", "family" : "Treacy", "given" : "Eileen P", "non-dropping-particle" : "", "parse-names" : false, "suffix" : "" }, { "dropping-particle" : "", "family" : "Tylki-Szymanska", "given" : "Anna", "non-dropping-particle" : "", "parse-names" : false, "suffix" : "" }, { "dropping-particle" : "", "family" : "Wraith", "given" : "Edmond", "non-dropping-particle" : "", "parse-names" : false, "suffix" : "" }, { "dropping-particle" : "", "family" : "Zeman", "given" : "Jiri", "non-dropping-particle" : "", "parse-names" : false, "suffix" : "" }, { "dropping-particle" : "", "family" : "Wijburg", "given" : "Frits A", "non-dropping-particle" : "", "parse-names" : false, "suffix" : "" } ], "container-title" : "Orphanet Journal of Rare Diseases", "id" : "ITEM-1", "issue" : "1", "issued" : { "date-parts" : [ [ "2012" ] ] }, "page" : "22", "publisher" : "BioMed Central Ltd", "title" : "Capturing phenotypic heterogeneity in MPS I: results of an international consensus procedure", "type" : "article-journal", "volume" : "7" }, "uris" : [ "http://www.mendeley.com/documents/?uuid=b64ca157-1fe5-4b55-8b95-4b9d43a636a5" ] }, { "id" : "ITEM-2", "itemData" : { "DOI" : "10.1016/j.ymgme.2016.06.002", "ISSN" : "1096-7206", "PMID" : "27296532", "abstract" : "The mucopolysaccharidoses (MPS) are a family of lysosomal storage disorders characterized by deficient activity of enzymes that degrade glycosaminoglycans (GAGs). Skeletal disease is common in MPS patients, with the severity varying both within and between subtypes. Within the spectrum of skeletal disease, spinal manifestations are particularly prevalent. Developmental and degenerative abnormalities affecting the substructures of the spine can result in compression of the spinal cord and associated neural elements. Resulting neurological complications, including pain and paralysis, significantly reduce patient quality of life and life expectancy. Systemic therapies for MPS, such as hematopoietic stem cell transplantation and enzyme replacement therapy, have shown limited efficacy for improving spinal manifestations in patients and animal models. Therefore, there is a pressing need for new therapeutic approaches that specifically target this debilitating aspect of the disease. In this review, we examine how pathological abnormalities affecting the key substructures of the spine - the discs, vertebrae, odontoid process and dura - contribute to the progression of spinal deformity and symptomatic compression of neural elements. Specifically, we review current understanding of the underlying pathophysiology of spine disease in MPS, how the tissues of the spine respond to current clinical and experimental treatments, and discuss future strategies for improving the efficacy of these treatments.", "author" : [ { "dropping-particle" : "", "family" : "Peck", "given" : "Sun H", "non-dropping-particle" : "", "parse-names" : false, "suffix" : "" }, { "dropping-particle" : "", "family" : "Casal", "given" : "Margret L", "non-dropping-particle" : "", "parse-names" : false, "suffix" : "" }, { "dropping-particle" : "", "family" : "Malhotra", "given" : "Neil R", "non-dropping-particle" : "", "parse-names" : false, "suffix" : "" }, { "dropping-particle" : "", "family" : "Ficicioglu", "given" : "Can", "non-dropping-particle" : "", "parse-names" : false, "suffix" : "" }, { "dropping-particle" : "", "family" : "Smith", "given" : "Lachlan J", "non-dropping-particle" : "", "parse-names" : false, "suffix" : "" } ], "container-title" : "Molecular gnetics and metabolism", "id" : "ITEM-2", "issue" : "4", "issued" : { "date-parts" : [ [ "2016" ] ] }, "page" : "232-43", "publisher" : "Elsevier B.V.", "title" : "Pathogenesis and treatment of spine disease in the mucopolysaccharidoses.", "type" : "article-journal", "volume" : "118" }, "uris" : [ "http://www.mendeley.com/documents/?uuid=a5cf6b73-c5e7-460e-be2a-0a5828cca054" ] } ], "mendeley" : { "formattedCitation" : "&lt;sup&gt;8,9&lt;/sup&gt;", "plainTextFormattedCitation" : "8,9", "previouslyFormattedCitation" : "&lt;sup&gt;9,10&lt;/sup&gt;"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8,9</w:t>
      </w:r>
      <w:r w:rsidRPr="00962C0C">
        <w:rPr>
          <w:rFonts w:ascii="Arial" w:hAnsi="Arial" w:cs="Arial"/>
          <w:sz w:val="24"/>
          <w:szCs w:val="24"/>
        </w:rPr>
        <w:fldChar w:fldCharType="end"/>
      </w:r>
      <w:r w:rsidRPr="00962C0C">
        <w:rPr>
          <w:rFonts w:ascii="Arial" w:hAnsi="Arial" w:cs="Arial"/>
          <w:sz w:val="24"/>
          <w:szCs w:val="24"/>
        </w:rPr>
        <w:t xml:space="preserve"> Essas alterações ocorrem de forma progressiva e repercutem significativamente na independência funcional dos indivíduos acometidos.</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"10.1590/S1413-78522013000200009", "ISSN" : "1413-7852", "PMID" : "24453654", "abstract" : "Objective: The aim of this study is to evaluate energy expenditure in gait by mucopolysaccharidosis affected patients by means of a simple and adequate to the clinical environment methodology. Methods: A cross-sectional study was carried out comparing energy expenditure during gait in 19 patients suffering from mucopolysaccharidosis (MPS Group) with 19 asymptomatic control individuals (Control Group). Energy expenditure was measured in calories (cal) using a Polar telemetric watch (model FT7) during a 50 meter walk. Variables such as age, weight, height, body mass index (BMI), initial hart rate, final hart rate, and walking time, were recorded. Results: MPS Group showed a mean energy expenditure during gait of 2.84 cal (\u00b11,01), versus 1.42 cal (\u00b10,51), 100% higher than the Control Group; MPS also presented increased initial hart rate (22% higher), final hart rate (13% higher) and walking time (13% higher). Conclusions: Energy expenditure during gait in MPS patients was two times higher than control individuals; the methodology used showed to be a promising alternative, also adequate to the standard clinical environment.", "author" : [ { "dropping-particle" : "", "family" : "Matos", "given" : "Marcos Almeida", "non-dropping-particle" : "", "parse-names" : false, "suffix" : "" }, { "dropping-particle" : "", "family" : "Prado", "given" : "Andre", "non-dropping-particle" : "", "parse-names" : false, "suffix" : "" }, { "dropping-particle" : "", "family" : "Schenkel", "given" : "Gustavo", "non-dropping-particle" : "", "parse-names" : false, "suffix" : "" }, { "dropping-particle" : "", "family" : "Barreto", "given" : "Rosa", "non-dropping-particle" : "", "parse-names" : false, "suffix" : "" }, { "dropping-particle" : "", "family" : "Acosta", "given" : "Angelina Xavier", "non-dropping-particle" : "", "parse-names" : false, "suffix" : "" } ], "container-title" : "Acta Ortopedica Brasileira", "id" : "ITEM-1", "issue" : "2", "issued" : { "date-parts" : [ [ "2013" ] ] }, "page" : "116-119", "title" : "Energy expenditure during gait in patients with mucopolysaccharidosis", "type" : "article-journal", "volume" : "21" }, "uris" : [ "http://www.mendeley.com/documents/?uuid=3ad0096d-3832-47e5-a785-cf0597fdb2ca" ] } ], "mendeley" : { "formattedCitation" : "&lt;sup&gt;10&lt;/sup&gt;", "plainTextFormattedCitation" : "10", "previouslyFormattedCitation" : "&lt;sup&gt;11&lt;/sup&gt;"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10</w:t>
      </w:r>
      <w:r w:rsidRPr="00962C0C">
        <w:rPr>
          <w:rFonts w:ascii="Arial" w:hAnsi="Arial" w:cs="Arial"/>
          <w:sz w:val="24"/>
          <w:szCs w:val="24"/>
        </w:rPr>
        <w:fldChar w:fldCharType="end"/>
      </w:r>
    </w:p>
    <w:p w:rsidR="00374865" w:rsidRPr="00962C0C" w:rsidRDefault="00374865" w:rsidP="00374865">
      <w:pPr>
        <w:spacing w:after="0" w:line="360" w:lineRule="auto"/>
        <w:jc w:val="both"/>
        <w:rPr>
          <w:rFonts w:ascii="Arial" w:hAnsi="Arial" w:cs="Arial"/>
          <w:sz w:val="24"/>
          <w:szCs w:val="24"/>
        </w:rPr>
      </w:pP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As pesquisas acerca do comprometimento funcional decorrente da mucopolissacaridose em sua maioria tem origem em países desenvolvidos,</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"10.1016/j.braindev.2006.08.015", "ISSN" : "03877604", "PMID" : "17307320", "abstract" : "MPS type II (Hunter disease) results from deficiency of the lysosomal enzyme iduronate-2-sulfate sulfatase. Two forms of the disease have been recognized, based on absence or presence of progressive intellectual deterioration. This study aimed to assess activities of daily life (ADL) in 27 Hunter disease-affected Japanese patients, using a modified version of the functional independence measure (FIM). Scores of ADL for patients with a severe phenotype were significantly lower than those of control children. Total scores were highest around 5-7 years old, then progressively decreased, and scores &lt;40 were obtained with patients aged 9 years or more. In contrast to motor scores, cognitive scores decreased rapidly, generally reaching a minimum score at around 7 years old. On the other hand, in children with attenuated phenotype, total scores increased progressively with age similar to control children. Two children who had the highest grades at elementary school showed maximum scores. However, all adult patients did not show maximum total scores, and 3 of 4 patients over 25 years old showed decreasing scores. Two children and two adults showed significant lower scores compared with other patients, suggesting an intermediate form from the view of ADL. This study elucidated the precise clinical state of Hunter disease with distinct numerical scores, in addition to previously described narrative data. To maintain the QOL of the patients better, they and their family need to know what specific difficulties they encounter, in which period they encounter them, and what support can fix them. Further ADL investigations with larger populations and/or long-term sequential examination could help the patients and family to understand them well. ?? 2007 Elsevier B.V. All rights reserved.", "author" : [ { "dropping-particle" : "", "family" : "Kato", "given" : "Tomomi", "non-dropping-particle" : "", "parse-names" : false, "suffix" : "" }, { "dropping-particle" : "", "family" : "Kato", "given" : "Zenichiro", "non-dropping-particle" : "", "parse-names" : false, "suffix" : "" }, { "dropping-particle" : "", "family" : "Kuratsubo", "given" : "Izumi", "non-dropping-particle" : "", "parse-names" : false, "suffix" : "" }, { "dropping-particle" : "", "family" : "Ota", "given" : "Tetsuo", "non-dropping-particle" : "", "parse-names" : false, "suffix" : "" }, { "dropping-particle" : "", "family" : "Orii", "given" : "Tadao", "non-dropping-particle" : "", "parse-names" : false, "suffix" : "" }, { "dropping-particle" : "", "family" : "Kondo", "given" : "Naomi", "non-dropping-particle" : "", "parse-names" : false, "suffix" : "" }, { "dropping-particle" : "", "family" : "Suzuki", "given" : "Yasuyuki", "non-dropping-particle" : "", "parse-names" : false, "suffix" : "" } ], "container-title" : "Brain and Development", "id" : "ITEM-1", "issue" : "5", "issued" : { "date-parts" : [ [ "2007" ] ] }, "page" : "298-305", "title" : "Evaluation of ADL in patients with Hunter disease using FIM score", "type" : "article-journal", "volume" : "29" }, "uris" : [ "http://www.mendeley.com/documents/?uuid=54fdccb9-1aea-4226-b380-1addec026e0d" ] }, { "id" : "ITEM-2", "itemData" : { "DOI" : "10.1016/j.ymgme.2016.04.005.Activity", "author" : [ { "dropping-particle" : "", "family" : "Yasuda", "given" : "Eriko", "non-dropping-particle" : "", "parse-names" : false, "suffix" : "" }, { "dropping-particle" : "", "family" : "Suzuki", "given" : "Yasuyuki", "non-dropping-particle" : "", "parse-names" : false, "suffix" : "" }, { "dropping-particle" : "", "family" : "Shimada", "given" : "Tsutomu", "non-dropping-particle" : "", "parse-names" : false, "suffix" : "" }, { "dropping-particle" : "", "family" : "Sawamoto", "given" : "Kazuki", "non-dropping-particle" : "", "parse-names" : false, "suffix" : "" }, { "dropping-particle" : "", "family" : "William", "given" : "G", "non-dropping-particle" : "", "parse-names" : false, "suffix" : "" }, { "dropping-particle" : "", "family" : "Theroux", "given" : "Mary C", "non-dropping-particle" : "", "parse-names" : false, "suffix" : "" }, { "dropping-particle" : "", "family" : "Pizarro", "given" : "Christian", "non-dropping-particle" : "", "parse-names" : false, "suffix" : "" }, { "dropping-particle" : "", "family" : "Xie", "given" : "Li", "non-dropping-particle" : "", "parse-names" : false, "suffix" : "" }, { "dropping-particle" : "", "family" : "Miller", "given" : "Freeman", "non-dropping-particle" : "", "parse-names" : false, "suffix" : "" }, { "dropping-particle" : "", "family" : "Rahman", "given" : "Tariq", "non-dropping-particle" : "", "parse-names" : false, "suffix" : "" }, { "dropping-particle" : "", "family" : "Kecskemethy", "given" : "Heidi H", "non-dropping-particle" : "", "parse-names" : false, "suffix" : "" }, { "dropping-particle" : "", "family" : "Nagao", "given" : "Kyoko", "non-dropping-particle" : "", "parse-names" : false, "suffix" : "" }, { "dropping-particle" : "", "family" : "Morlet", "given" : "Thierry", "non-dropping-particle" : "", "parse-names" : false, "suffix" : "" }, { "dropping-particle" : "", "family" : "Shaffer", "given" : "Thomas H", "non-dropping-particle" : "", "parse-names" : false, "suffix" : "" }, { "dropping-particle" : "", "family" : "Yabe", "given" : "Hiromasa", "non-dropping-particle" : "", "parse-names" : false, "suffix" : "" }, { "dropping-particle" : "", "family" : "Tanaka", "given" : "Akemi", "non-dropping-particle" : "", "parse-names" : false, "suffix" : "" }, { "dropping-particle" : "", "family" : "Shintaku", "given" : "Haruo", "non-dropping-particle" : "", "parse-names" : false, "suffix" : "" }, { "dropping-particle" : "", "family" : "Orii", "given" : "Kenji E", "non-dropping-particle" : "", "parse-names" : false, "suffix" : "" }, { "dropping-particle" : "", "family" : "Orii", "given" : "Koji O", "non-dropping-particle" : "", "parse-names" : false, "suffix" : "" }, { "dropping-particle" : "", "family" : "Mason", "given" : "Robert W", "non-dropping-particle" : "", "parse-names" : false, "suffix" : "" }, { "dropping-particle" : "", "family" : "Fukao", "given" : "Toshiyuki", "non-dropping-particle" : "", "parse-names" : false, "suffix" : "" }, { "dropping-particle" : "", "family" : "Orii", "given" : "Tadao", "non-dropping-particle" : "", "parse-names" : false, "suffix" : "" } ], "container-title" : "Mol Genet Metab", "id" : "ITEM-2", "issue" : "2", "issued" : { "date-parts" : [ [ "2016" ] ] }, "page" : "111-122", "title" : "Activity of daily living for Morquio A syndrome", "type" : "article-journal", "volume" : "118" }, "uris" : [ "http://www.mendeley.com/documents/?uuid=0b22010b-6f58-466a-938c-19b4cc158254" ] } ], "mendeley" : { "formattedCitation" : "&lt;sup&gt;11,12&lt;/sup&gt;", "plainTextFormattedCitation" : "11,12", "previouslyFormattedCitation" : "&lt;sup&gt;12,13&lt;/sup&gt;"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11,12</w:t>
      </w:r>
      <w:r w:rsidRPr="00962C0C">
        <w:rPr>
          <w:rFonts w:ascii="Arial" w:hAnsi="Arial" w:cs="Arial"/>
          <w:sz w:val="24"/>
          <w:szCs w:val="24"/>
        </w:rPr>
        <w:fldChar w:fldCharType="end"/>
      </w:r>
      <w:r w:rsidRPr="00962C0C">
        <w:rPr>
          <w:rFonts w:ascii="Arial" w:hAnsi="Arial" w:cs="Arial"/>
          <w:sz w:val="24"/>
          <w:szCs w:val="24"/>
        </w:rPr>
        <w:t xml:space="preserve"> constituídos por populações com características socioculturais diferentes da população brasileira e amparados por melhor suporte social e assistência em saúde. No cenário nacional e em outros países em desenvolvimento, as pesquisas sobre essas doenças ainda são incipientes.</w:t>
      </w:r>
    </w:p>
    <w:p w:rsidR="00374865" w:rsidRPr="00962C0C" w:rsidRDefault="00374865" w:rsidP="00374865">
      <w:pPr>
        <w:spacing w:after="0" w:line="360" w:lineRule="auto"/>
        <w:jc w:val="both"/>
        <w:rPr>
          <w:rFonts w:ascii="Arial" w:hAnsi="Arial" w:cs="Arial"/>
          <w:sz w:val="24"/>
          <w:szCs w:val="24"/>
        </w:rPr>
      </w:pPr>
    </w:p>
    <w:p w:rsidR="003C2695" w:rsidRPr="00080A59" w:rsidRDefault="00374865" w:rsidP="00374865">
      <w:pPr>
        <w:spacing w:after="0" w:line="360" w:lineRule="auto"/>
        <w:jc w:val="both"/>
        <w:rPr>
          <w:rFonts w:ascii="Arial" w:hAnsi="Arial" w:cs="Arial"/>
          <w:sz w:val="24"/>
          <w:szCs w:val="24"/>
        </w:rPr>
      </w:pPr>
      <w:r w:rsidRPr="00962C0C">
        <w:rPr>
          <w:rFonts w:ascii="Arial" w:hAnsi="Arial" w:cs="Arial"/>
          <w:sz w:val="24"/>
          <w:szCs w:val="24"/>
        </w:rPr>
        <w:t>Desta forma, o objetivo deste estudo foi medir a independência funcional para realização de atividades de vida diária de pacientes pediátricos diagnosticados com mucopolissacaridoses. O conhecimento do desempenho funcional desses pacientes poderá auxiliar os profissionais de saúde, especificamente os da área de reabilitação, na definição da demanda assistencial necessária e no aprimoramento de estratégias de intervenção para esta população.</w:t>
      </w:r>
    </w:p>
    <w:p w:rsidR="003C2695" w:rsidRPr="00080A59" w:rsidRDefault="003C2695" w:rsidP="003C2695">
      <w:pPr>
        <w:spacing w:after="0" w:line="360" w:lineRule="auto"/>
        <w:jc w:val="both"/>
        <w:rPr>
          <w:rFonts w:ascii="Arial" w:hAnsi="Arial" w:cs="Arial"/>
          <w:sz w:val="24"/>
        </w:rPr>
      </w:pPr>
    </w:p>
    <w:p w:rsidR="003C2695" w:rsidRPr="00080A59" w:rsidRDefault="003C2695" w:rsidP="003C2695">
      <w:pPr>
        <w:spacing w:after="0" w:line="360" w:lineRule="auto"/>
        <w:jc w:val="both"/>
        <w:rPr>
          <w:rFonts w:ascii="Arial" w:hAnsi="Arial" w:cs="Arial"/>
          <w:b/>
          <w:sz w:val="24"/>
        </w:rPr>
      </w:pPr>
      <w:r w:rsidRPr="00080A59">
        <w:rPr>
          <w:rFonts w:ascii="Arial" w:hAnsi="Arial" w:cs="Arial"/>
          <w:b/>
          <w:sz w:val="24"/>
        </w:rPr>
        <w:t>PACIENTES E MÉTODOS</w:t>
      </w: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Foi realizado um estudo transversal, descritivo, com a população de pacientes pediátricos com diagnóstico enzimático confirmado de mucopolissacaridoses, cadastrados no ambulatório do Serviço de Ortopedia de um hospital referência no Estado da Bahia, situado na cidade de Salvador.</w:t>
      </w: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lastRenderedPageBreak/>
        <w:t>A presente pesquisa está vinculada ao projeto “Avaliação clínica das manifestações musculoesqueléticas em pacientes portadores de mucopolissacaridoses”. Atendendo às Diretrizes e Normas de Pesquisa em Seres Humanos, contidas na Resolução 466/2012 do Conselho Nacional de Saúde, o projeto foi submetido ao Comitê de Ética em Pesquisa institucional, e aprovado sob CAAE n.º 38746914.5.0000.5520 / Parecer n.º 1.672.503.</w:t>
      </w:r>
    </w:p>
    <w:p w:rsidR="00374865" w:rsidRPr="00962C0C" w:rsidRDefault="00374865" w:rsidP="00374865">
      <w:pPr>
        <w:spacing w:after="0" w:line="360" w:lineRule="auto"/>
        <w:jc w:val="both"/>
        <w:rPr>
          <w:rFonts w:ascii="Arial" w:hAnsi="Arial" w:cs="Arial"/>
          <w:sz w:val="24"/>
          <w:szCs w:val="24"/>
        </w:rPr>
      </w:pP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Foram incluídos todas as crianças e adolescentes de ambos os sexos, com idade entre 2 e 18 anos, que estavam sob acompanhamento médico ambulatorial no período de janeiro de 2012 a outubro de 2014, exceto aqueles que apresentassem o diagnóstico de outra patologia, em condição crônica ativa ou agudizada não associada à mucopolissacaridose.</w:t>
      </w:r>
    </w:p>
    <w:p w:rsidR="00374865" w:rsidRPr="00962C0C" w:rsidRDefault="00374865" w:rsidP="00374865">
      <w:pPr>
        <w:spacing w:after="0" w:line="360" w:lineRule="auto"/>
        <w:jc w:val="both"/>
        <w:rPr>
          <w:rFonts w:ascii="Arial" w:hAnsi="Arial" w:cs="Arial"/>
          <w:sz w:val="24"/>
          <w:szCs w:val="24"/>
        </w:rPr>
      </w:pP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Os dados foram coletados no período de outubro de 2016 a março de 2017, a partir da análise documental das fichas de avaliação padronizadas utilizadas no serviço. As variáveis deste estudo compreenderam sexo (estratificado em feminino e masculino); idade (evidenciada em anos); tipo de MPS (categorizado de acordo com os tipos da doença descritos na literatura); e medidas do nível de independência funcional (evidenciadas por escore numérico, conforme instrumento específico utilizado).</w:t>
      </w:r>
    </w:p>
    <w:p w:rsidR="00374865" w:rsidRPr="00962C0C" w:rsidRDefault="00374865" w:rsidP="00374865">
      <w:pPr>
        <w:spacing w:after="0" w:line="360" w:lineRule="auto"/>
        <w:jc w:val="both"/>
        <w:rPr>
          <w:rFonts w:ascii="Arial" w:hAnsi="Arial" w:cs="Arial"/>
          <w:sz w:val="24"/>
          <w:szCs w:val="24"/>
        </w:rPr>
      </w:pP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Para avaliar o nível de independência, o instrumento utilizado no referido serviço foi a versão brasileira da Medida de Independência Funcional (MIF).</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"author" : [ { "dropping-particle" : "", "family" : "Riberto", "given" : "Marcelo", "non-dropping-particle" : "", "parse-names" : false, "suffix" : "" } ], "id" : "ITEM-1", "issued" : { "date-parts" : [ [ "0" ] ] }, "title" : "Orienta\u00e7\u00e3o funcional para utiliza\u00e7\u00e3o da MIF - Medida de Independ\u00eancia Funcional", "type" : "article" }, "uris" : [ "http://www.mendeley.com/documents/?uuid=67cdf501-c735-4510-a732-aab848bc6b3f" ] }, { "id" : "ITEM-2", "itemData" : { "DOI" : "10.5935/0104-7795.20040003", "ISBN" : "1466-609X; 1364-8535", "ISSN" : "0104-7795", "PMID" : "20738852", "abstract" : "A vers\u00e3o brasileira de Medida de Independ\u00eancia Funcional (MIF) foi desenvolvida em 2000. Estudos de sua validade ainda s\u00e3o necess\u00e1rios como forma de corroborar seu uso na avalia\u00e7\u00e3o da reabilita\u00e7\u00e3o de brasileiros incapacitados, uma vez que peculiaridades socioculturais nacionais podem determinar um comportamento diverso dos dados fornecidos pelo instrumento. Objetivos: O objetivo deste estudo \u00e9 testar a validade de construto da MIF ao checar a validade convergente em grupos de pacientes com defici\u00eancias nas quais se esperam estar presentes graus espec\u00edficos de incapacidade. M\u00e9todo: Prontu\u00e1rios m\u00e9dicos de 150 pacientes com les\u00e3o medular (LM) e 103 pacientes com les\u00f5es encef\u00e1licas (LE) de dois centros de reabilita\u00e7\u00e3o da cidade de S\u00e3o Paulo forneceram dados a respeito de caracter\u00edsticas biodemogr\u00e1ficas, cl\u00ednicas e funcionais. O grau de incapacidade foi avaliado pela MIF. Os pacientes com LM foram classificados de acordo com o n\u00edvel de acometimento medular, como cervicais, tor\u00e1cicos ou lombares e abaixo. Pacientes com LE foram classificados conforme o dim\u00eddio mais comprometido como direito, esquerdo ou bilaterais. A sensibilidade da MIF foi testada em 93 pacientes com LE e 59 com LM por meio da compara\u00e7\u00e3o dos valores da MIF total, cognitiva e motora de admiss\u00e3o e alta. Resultados: entre os pacientes com LM pudemos demonstrar uma clara associa\u00e7\u00e3o entre o n\u00edvel de incapacidade e a MIF motora (cervical = 34.4 \u00b1 25.2, tor\u00e1cica = 51.6 \u00b1 19.5, lombar = 67.5 \u00b1 18.6; p &lt; 0.001). A MIF cognitiva apresentou um efeito teto entre os pacientes com les\u00e3o medular (85% dos pacientes tinham MIFc no valor mais alto poss\u00edvel), por outro lado, entre os pacientes com LE, isso n\u00e3o pode ser observado e houve uma associa\u00e7\u00e3o entre o valor obtido na MIFc e o lado envolvido, sendo os pacientes com envolvimento do hemicorpo esquerdo aqueles menos dependente em termos cognitivos. Houve mudan\u00e7a estatisticamente significante durante o tratamento, como pode ser observado pela varia\u00e7\u00e3o da MIFm em pacientes com LM e LE (44.5 \u00b1 24.1x 61.0 \u00b1 23.8; p &lt; 0.001 e 54.1 \u00b1 23.0 x 64.7 \u00b1 21.3; p &lt;0.001). O mesmo pode ser observado em pacientes com LE com comprometimento a esquerda e \u00e0 direita, mas n\u00e3o quando o comprometimento era bilateral. Conclus\u00e3o: a validade convergente da vers\u00e3o brasileira da MIF pode ser observada para as tarefas motoras tanto em pacientes com LM como LE. A MIFc mostrou-se de pouca utilidade entre os pacientes com LM cr\u00f4nico sob reabilita\u00e7\u00e3o ambulatorial, apesar de a associa\u00e7\u00e3o \u2026", "author" : [ { "dropping-particle" : "", "family" : "Riberto", "given" : "Marcelo", "non-dropping-particle" : "", "parse-names" : false, "suffix" : "" }, { "dropping-particle" : "", "family" : "Miyazaki", "given" : "Margarida H", "non-dropping-particle" : "", "parse-names" : false, "suffix" : "" }, { "dropping-particle" : "", "family" : "Juc\u00e1", "given" : "Sueli S H", "non-dropping-particle" : "", "parse-names" : false, "suffix" : "" }, { "dropping-particle" : "", "family" : "Sakamoto", "given" : "Hatsue", "non-dropping-particle" : "", "parse-names" : false, "suffix" : "" }, { "dropping-particle" : "", "family" : "Potiguara", "given" : "Paulo", "non-dropping-particle" : "", "parse-names" : false, "suffix" : "" }, { "dropping-particle" : "", "family" : "Pinto", "given" : "Novazzi", "non-dropping-particle" : "", "parse-names" : false, "suffix" : "" }, { "dropping-particle" : "", "family" : "Battistella", "given" : "Linamara R", "non-dropping-particle" : "", "parse-names" : false, "suffix" : "" } ], "container-title" : "Acta Fisiatrica", "id" : "ITEM-2", "issue" : "2", "issued" : { "date-parts" : [ [ "2004" ] ] }, "page" : "72-76", "title" : "Valida\u00e7\u00e3o da Vers\u00e3o Brasileira da Medida de Independ\u00eancia Funcional Validation of the Brazilian version of Functional Independence Measure", "type" : "article-journal", "volume" : "11" }, "uris" : [ "http://www.mendeley.com/documents/?uuid=645f3fd7-d546-43cf-8d35-39d344460b05" ] } ], "mendeley" : { "formattedCitation" : "&lt;sup&gt;13,14&lt;/sup&gt;", "plainTextFormattedCitation" : "13,14", "previouslyFormattedCitation" : "&lt;sup&gt;14,15&lt;/sup&gt;"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13,14</w:t>
      </w:r>
      <w:r w:rsidRPr="00962C0C">
        <w:rPr>
          <w:rFonts w:ascii="Arial" w:hAnsi="Arial" w:cs="Arial"/>
          <w:sz w:val="24"/>
          <w:szCs w:val="24"/>
        </w:rPr>
        <w:fldChar w:fldCharType="end"/>
      </w:r>
      <w:r w:rsidRPr="00962C0C">
        <w:rPr>
          <w:rFonts w:ascii="Arial" w:hAnsi="Arial" w:cs="Arial"/>
          <w:sz w:val="24"/>
          <w:szCs w:val="24"/>
        </w:rPr>
        <w:t xml:space="preserve"> Trata-se de um instrumento genérico de avaliação, composto por 18 itens distribuídos em dois domínios. O domínio motor (13 itens) avalia quatro dimensões funcionais: autocuidado, controle de esfíncteres, transferência e locomoção; e o domínio cognitivo (5 itens) avalia duas dimensões: comunicação e cognição social.</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"10.5935/0104-7795.20040003", "ISBN" : "1466-609X; 1364-8535", "ISSN" : "0104-7795", "PMID" : "20738852", "abstract" : "A vers\u00e3o brasileira de Medida de Independ\u00eancia Funcional (MIF) foi desenvolvida em 2000. Estudos de sua validade ainda s\u00e3o necess\u00e1rios como forma de corroborar seu uso na avalia\u00e7\u00e3o da reabilita\u00e7\u00e3o de brasileiros incapacitados, uma vez que peculiaridades socioculturais nacionais podem determinar um comportamento diverso dos dados fornecidos pelo instrumento. Objetivos: O objetivo deste estudo \u00e9 testar a validade de construto da MIF ao checar a validade convergente em grupos de pacientes com defici\u00eancias nas quais se esperam estar presentes graus espec\u00edficos de incapacidade. M\u00e9todo: Prontu\u00e1rios m\u00e9dicos de 150 pacientes com les\u00e3o medular (LM) e 103 pacientes com les\u00f5es encef\u00e1licas (LE) de dois centros de reabilita\u00e7\u00e3o da cidade de S\u00e3o Paulo forneceram dados a respeito de caracter\u00edsticas biodemogr\u00e1ficas, cl\u00ednicas e funcionais. O grau de incapacidade foi avaliado pela MIF. Os pacientes com LM foram classificados de acordo com o n\u00edvel de acometimento medular, como cervicais, tor\u00e1cicos ou lombares e abaixo. Pacientes com LE foram classificados conforme o dim\u00eddio mais comprometido como direito, esquerdo ou bilaterais. A sensibilidade da MIF foi testada em 93 pacientes com LE e 59 com LM por meio da compara\u00e7\u00e3o dos valores da MIF total, cognitiva e motora de admiss\u00e3o e alta. Resultados: entre os pacientes com LM pudemos demonstrar uma clara associa\u00e7\u00e3o entre o n\u00edvel de incapacidade e a MIF motora (cervical = 34.4 \u00b1 25.2, tor\u00e1cica = 51.6 \u00b1 19.5, lombar = 67.5 \u00b1 18.6; p &lt; 0.001). A MIF cognitiva apresentou um efeito teto entre os pacientes com les\u00e3o medular (85% dos pacientes tinham MIFc no valor mais alto poss\u00edvel), por outro lado, entre os pacientes com LE, isso n\u00e3o pode ser observado e houve uma associa\u00e7\u00e3o entre o valor obtido na MIFc e o lado envolvido, sendo os pacientes com envolvimento do hemicorpo esquerdo aqueles menos dependente em termos cognitivos. Houve mudan\u00e7a estatisticamente significante durante o tratamento, como pode ser observado pela varia\u00e7\u00e3o da MIFm em pacientes com LM e LE (44.5 \u00b1 24.1x 61.0 \u00b1 23.8; p &lt; 0.001 e 54.1 \u00b1 23.0 x 64.7 \u00b1 21.3; p &lt;0.001). O mesmo pode ser observado em pacientes com LE com comprometimento a esquerda e \u00e0 direita, mas n\u00e3o quando o comprometimento era bilateral. Conclus\u00e3o: a validade convergente da vers\u00e3o brasileira da MIF pode ser observada para as tarefas motoras tanto em pacientes com LM como LE. A MIFc mostrou-se de pouca utilidade entre os pacientes com LM cr\u00f4nico sob reabilita\u00e7\u00e3o ambulatorial, apesar de a associa\u00e7\u00e3o \u2026", "author" : [ { "dropping-particle" : "", "family" : "Riberto", "given" : "Marcelo", "non-dropping-particle" : "", "parse-names" : false, "suffix" : "" }, { "dropping-particle" : "", "family" : "Miyazaki", "given" : "Margarida H", "non-dropping-particle" : "", "parse-names" : false, "suffix" : "" }, { "dropping-particle" : "", "family" : "Juc\u00e1", "given" : "Sueli S H", "non-dropping-particle" : "", "parse-names" : false, "suffix" : "" }, { "dropping-particle" : "", "family" : "Sakamoto", "given" : "Hatsue", "non-dropping-particle" : "", "parse-names" : false, "suffix" : "" }, { "dropping-particle" : "", "family" : "Potiguara", "given" : "Paulo", "non-dropping-particle" : "", "parse-names" : false, "suffix" : "" }, { "dropping-particle" : "", "family" : "Pinto", "given" : "Novazzi", "non-dropping-particle" : "", "parse-names" : false, "suffix" : "" }, { "dropping-particle" : "", "family" : "Battistella", "given" : "Linamara R", "non-dropping-particle" : "", "parse-names" : false, "suffix" : "" } ], "container-title" : "Acta Fisiatrica", "id" : "ITEM-1", "issue" : "2", "issued" : { "date-parts" : [ [ "2004" ] ] }, "page" : "72-76", "title" : "Valida\u00e7\u00e3o da Vers\u00e3o Brasileira da Medida de Independ\u00eancia Funcional Validation of the Brazilian version of Functional Independence Measure", "type" : "article-journal", "volume" : "11" }, "uris" : [ "http://www.mendeley.com/documents/?uuid=645f3fd7-d546-43cf-8d35-39d344460b05" ] } ], "mendeley" : { "formattedCitation" : "&lt;sup&gt;14&lt;/sup&gt;", "plainTextFormattedCitation" : "14", "previouslyFormattedCitation" : "&lt;sup&gt;15&lt;/sup&gt;"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14</w:t>
      </w:r>
      <w:r w:rsidRPr="00962C0C">
        <w:rPr>
          <w:rFonts w:ascii="Arial" w:hAnsi="Arial" w:cs="Arial"/>
          <w:sz w:val="24"/>
          <w:szCs w:val="24"/>
        </w:rPr>
        <w:fldChar w:fldCharType="end"/>
      </w:r>
      <w:r w:rsidRPr="00962C0C">
        <w:rPr>
          <w:rFonts w:ascii="Arial" w:hAnsi="Arial" w:cs="Arial"/>
          <w:sz w:val="24"/>
          <w:szCs w:val="24"/>
        </w:rPr>
        <w:t xml:space="preserve"> A MIF identifica a necessidade de auxílio que o indivíduo requer para a realização da tarefas cotidianas, seja assistência de outra pessoa ou uso de recurso de adaptação; e mensura, de forma quantitativa, o nível de independência funcional do sujeito avaliado.</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"10.5935/0104-7795.20040003", "ISBN" : "1466-609X; 1364-8535", "ISSN" : "0104-7795", "PMID" : "20738852", "abstract" : "A vers\u00e3o brasileira de Medida de Independ\u00eancia Funcional (MIF) foi desenvolvida em 2000. Estudos de sua validade ainda s\u00e3o necess\u00e1rios como forma de corroborar seu uso na avalia\u00e7\u00e3o da reabilita\u00e7\u00e3o de brasileiros incapacitados, uma vez que peculiaridades socioculturais nacionais podem determinar um comportamento diverso dos dados fornecidos pelo instrumento. Objetivos: O objetivo deste estudo \u00e9 testar a validade de construto da MIF ao checar a validade convergente em grupos de pacientes com defici\u00eancias nas quais se esperam estar presentes graus espec\u00edficos de incapacidade. M\u00e9todo: Prontu\u00e1rios m\u00e9dicos de 150 pacientes com les\u00e3o medular (LM) e 103 pacientes com les\u00f5es encef\u00e1licas (LE) de dois centros de reabilita\u00e7\u00e3o da cidade de S\u00e3o Paulo forneceram dados a respeito de caracter\u00edsticas biodemogr\u00e1ficas, cl\u00ednicas e funcionais. O grau de incapacidade foi avaliado pela MIF. Os pacientes com LM foram classificados de acordo com o n\u00edvel de acometimento medular, como cervicais, tor\u00e1cicos ou lombares e abaixo. Pacientes com LE foram classificados conforme o dim\u00eddio mais comprometido como direito, esquerdo ou bilaterais. A sensibilidade da MIF foi testada em 93 pacientes com LE e 59 com LM por meio da compara\u00e7\u00e3o dos valores da MIF total, cognitiva e motora de admiss\u00e3o e alta. Resultados: entre os pacientes com LM pudemos demonstrar uma clara associa\u00e7\u00e3o entre o n\u00edvel de incapacidade e a MIF motora (cervical = 34.4 \u00b1 25.2, tor\u00e1cica = 51.6 \u00b1 19.5, lombar = 67.5 \u00b1 18.6; p &lt; 0.001). A MIF cognitiva apresentou um efeito teto entre os pacientes com les\u00e3o medular (85% dos pacientes tinham MIFc no valor mais alto poss\u00edvel), por outro lado, entre os pacientes com LE, isso n\u00e3o pode ser observado e houve uma associa\u00e7\u00e3o entre o valor obtido na MIFc e o lado envolvido, sendo os pacientes com envolvimento do hemicorpo esquerdo aqueles menos dependente em termos cognitivos. Houve mudan\u00e7a estatisticamente significante durante o tratamento, como pode ser observado pela varia\u00e7\u00e3o da MIFm em pacientes com LM e LE (44.5 \u00b1 24.1x 61.0 \u00b1 23.8; p &lt; 0.001 e 54.1 \u00b1 23.0 x 64.7 \u00b1 21.3; p &lt;0.001). O mesmo pode ser observado em pacientes com LE com comprometimento a esquerda e \u00e0 direita, mas n\u00e3o quando o comprometimento era bilateral. Conclus\u00e3o: a validade convergente da vers\u00e3o brasileira da MIF pode ser observada para as tarefas motoras tanto em pacientes com LM como LE. A MIFc mostrou-se de pouca utilidade entre os pacientes com LM cr\u00f4nico sob reabilita\u00e7\u00e3o ambulatorial, apesar de a associa\u00e7\u00e3o \u2026", "author" : [ { "dropping-particle" : "", "family" : "Riberto", "given" : "Marcelo", "non-dropping-particle" : "", "parse-names" : false, "suffix" : "" }, { "dropping-particle" : "", "family" : "Miyazaki", "given" : "Margarida H", "non-dropping-particle" : "", "parse-names" : false, "suffix" : "" }, { "dropping-particle" : "", "family" : "Juc\u00e1", "given" : "Sueli S H", "non-dropping-particle" : "", "parse-names" : false, "suffix" : "" }, { "dropping-particle" : "", "family" : "Sakamoto", "given" : "Hatsue", "non-dropping-particle" : "", "parse-names" : false, "suffix" : "" }, { "dropping-particle" : "", "family" : "Potiguara", "given" : "Paulo", "non-dropping-particle" : "", "parse-names" : false, "suffix" : "" }, { "dropping-particle" : "", "family" : "Pinto", "given" : "Novazzi", "non-dropping-particle" : "", "parse-names" : false, "suffix" : "" }, { "dropping-particle" : "", "family" : "Battistella", "given" : "Linamara R", "non-dropping-particle" : "", "parse-names" : false, "suffix" : "" } ], "container-title" : "Acta Fisiatrica", "id" : "ITEM-1", "issue" : "2", "issued" : { "date-parts" : [ [ "2004" ] ] }, "page" : "72-76", "title" : "Valida\u00e7\u00e3o da Vers\u00e3o Brasileira da Medida de Independ\u00eancia Funcional Validation of the Brazilian version of Functional Independence Measure", "type" : "article-journal", "volume" : "11" }, "uris" : [ "http://www.mendeley.com/documents/?uuid=645f3fd7-d546-43cf-8d35-39d344460b05" ] } ], "mendeley" : { "formattedCitation" : "&lt;sup&gt;14&lt;/sup&gt;", "plainTextFormattedCitation" : "14", "previouslyFormattedCitation" : "&lt;sup&gt;15&lt;/sup&gt;"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14</w:t>
      </w:r>
      <w:r w:rsidRPr="00962C0C">
        <w:rPr>
          <w:rFonts w:ascii="Arial" w:hAnsi="Arial" w:cs="Arial"/>
          <w:sz w:val="24"/>
          <w:szCs w:val="24"/>
        </w:rPr>
        <w:fldChar w:fldCharType="end"/>
      </w:r>
    </w:p>
    <w:p w:rsidR="00374865" w:rsidRPr="00962C0C" w:rsidRDefault="00374865" w:rsidP="00374865">
      <w:pPr>
        <w:spacing w:after="0" w:line="360" w:lineRule="auto"/>
        <w:jc w:val="both"/>
        <w:rPr>
          <w:rFonts w:ascii="Arial" w:hAnsi="Arial" w:cs="Arial"/>
          <w:sz w:val="24"/>
          <w:szCs w:val="24"/>
        </w:rPr>
      </w:pP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 xml:space="preserve">A pontuação dos itens do instrumento MIF segue uma escala ordinal de dependência graduada em sete níveis: 1 corresponde à necessidade de assistência </w:t>
      </w:r>
      <w:r w:rsidRPr="00962C0C">
        <w:rPr>
          <w:rFonts w:ascii="Arial" w:hAnsi="Arial" w:cs="Arial"/>
          <w:sz w:val="24"/>
          <w:szCs w:val="24"/>
        </w:rPr>
        <w:lastRenderedPageBreak/>
        <w:t>total para realização da tarefa e 7 à independência completa para a atividade. A partir da soma dos pontos atribuídos a cada item, tem-se a pontuação dos respectivos domínios e o escore total do instrumento. O domínio motor varia de 13 a 91 pontos; o cognitivo, de 5 a 35 pontos; e o escore total de 18 a 126 pontos. Quanto menor a pontuação, maior a necessidade de auxílio para realização da tarefa.</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"10.5935/0104-7795.20040003", "ISBN" : "1466-609X; 1364-8535", "ISSN" : "0104-7795", "PMID" : "20738852", "abstract" : "A vers\u00e3o brasileira de Medida de Independ\u00eancia Funcional (MIF) foi desenvolvida em 2000. Estudos de sua validade ainda s\u00e3o necess\u00e1rios como forma de corroborar seu uso na avalia\u00e7\u00e3o da reabilita\u00e7\u00e3o de brasileiros incapacitados, uma vez que peculiaridades socioculturais nacionais podem determinar um comportamento diverso dos dados fornecidos pelo instrumento. Objetivos: O objetivo deste estudo \u00e9 testar a validade de construto da MIF ao checar a validade convergente em grupos de pacientes com defici\u00eancias nas quais se esperam estar presentes graus espec\u00edficos de incapacidade. M\u00e9todo: Prontu\u00e1rios m\u00e9dicos de 150 pacientes com les\u00e3o medular (LM) e 103 pacientes com les\u00f5es encef\u00e1licas (LE) de dois centros de reabilita\u00e7\u00e3o da cidade de S\u00e3o Paulo forneceram dados a respeito de caracter\u00edsticas biodemogr\u00e1ficas, cl\u00ednicas e funcionais. O grau de incapacidade foi avaliado pela MIF. Os pacientes com LM foram classificados de acordo com o n\u00edvel de acometimento medular, como cervicais, tor\u00e1cicos ou lombares e abaixo. Pacientes com LE foram classificados conforme o dim\u00eddio mais comprometido como direito, esquerdo ou bilaterais. A sensibilidade da MIF foi testada em 93 pacientes com LE e 59 com LM por meio da compara\u00e7\u00e3o dos valores da MIF total, cognitiva e motora de admiss\u00e3o e alta. Resultados: entre os pacientes com LM pudemos demonstrar uma clara associa\u00e7\u00e3o entre o n\u00edvel de incapacidade e a MIF motora (cervical = 34.4 \u00b1 25.2, tor\u00e1cica = 51.6 \u00b1 19.5, lombar = 67.5 \u00b1 18.6; p &lt; 0.001). A MIF cognitiva apresentou um efeito teto entre os pacientes com les\u00e3o medular (85% dos pacientes tinham MIFc no valor mais alto poss\u00edvel), por outro lado, entre os pacientes com LE, isso n\u00e3o pode ser observado e houve uma associa\u00e7\u00e3o entre o valor obtido na MIFc e o lado envolvido, sendo os pacientes com envolvimento do hemicorpo esquerdo aqueles menos dependente em termos cognitivos. Houve mudan\u00e7a estatisticamente significante durante o tratamento, como pode ser observado pela varia\u00e7\u00e3o da MIFm em pacientes com LM e LE (44.5 \u00b1 24.1x 61.0 \u00b1 23.8; p &lt; 0.001 e 54.1 \u00b1 23.0 x 64.7 \u00b1 21.3; p &lt;0.001). O mesmo pode ser observado em pacientes com LE com comprometimento a esquerda e \u00e0 direita, mas n\u00e3o quando o comprometimento era bilateral. Conclus\u00e3o: a validade convergente da vers\u00e3o brasileira da MIF pode ser observada para as tarefas motoras tanto em pacientes com LM como LE. A MIFc mostrou-se de pouca utilidade entre os pacientes com LM cr\u00f4nico sob reabilita\u00e7\u00e3o ambulatorial, apesar de a associa\u00e7\u00e3o \u2026", "author" : [ { "dropping-particle" : "", "family" : "Riberto", "given" : "Marcelo", "non-dropping-particle" : "", "parse-names" : false, "suffix" : "" }, { "dropping-particle" : "", "family" : "Miyazaki", "given" : "Margarida H", "non-dropping-particle" : "", "parse-names" : false, "suffix" : "" }, { "dropping-particle" : "", "family" : "Juc\u00e1", "given" : "Sueli S H", "non-dropping-particle" : "", "parse-names" : false, "suffix" : "" }, { "dropping-particle" : "", "family" : "Sakamoto", "given" : "Hatsue", "non-dropping-particle" : "", "parse-names" : false, "suffix" : "" }, { "dropping-particle" : "", "family" : "Potiguara", "given" : "Paulo", "non-dropping-particle" : "", "parse-names" : false, "suffix" : "" }, { "dropping-particle" : "", "family" : "Pinto", "given" : "Novazzi", "non-dropping-particle" : "", "parse-names" : false, "suffix" : "" }, { "dropping-particle" : "", "family" : "Battistella", "given" : "Linamara R", "non-dropping-particle" : "", "parse-names" : false, "suffix" : "" } ], "container-title" : "Acta Fisiatrica", "id" : "ITEM-1", "issue" : "2", "issued" : { "date-parts" : [ [ "2004" ] ] }, "page" : "72-76", "title" : "Valida\u00e7\u00e3o da Vers\u00e3o Brasileira da Medida de Independ\u00eancia Funcional Validation of the Brazilian version of Functional Independence Measure", "type" : "article-journal", "volume" : "11" }, "uris" : [ "http://www.mendeley.com/documents/?uuid=645f3fd7-d546-43cf-8d35-39d344460b05" ] }, { "id" : "ITEM-2", "itemData" : { "author" : [ { "dropping-particle" : "", "family" : "Riberto", "given" : "Marcelo", "non-dropping-particle" : "", "parse-names" : false, "suffix" : "" } ], "id" : "ITEM-2", "issued" : { "date-parts" : [ [ "0" ] ] }, "title" : "Orienta\u00e7\u00e3o funcional para utiliza\u00e7\u00e3o da MIF - Medida de Independ\u00eancia Funcional", "type" : "article" }, "uris" : [ "http://www.mendeley.com/documents/?uuid=67cdf501-c735-4510-a732-aab848bc6b3f" ] } ], "mendeley" : { "formattedCitation" : "&lt;sup&gt;13,14&lt;/sup&gt;", "plainTextFormattedCitation" : "13,14", "previouslyFormattedCitation" : "&lt;sup&gt;14,15&lt;/sup&gt;"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13,14</w:t>
      </w:r>
      <w:r w:rsidRPr="00962C0C">
        <w:rPr>
          <w:rFonts w:ascii="Arial" w:hAnsi="Arial" w:cs="Arial"/>
          <w:sz w:val="24"/>
          <w:szCs w:val="24"/>
        </w:rPr>
        <w:fldChar w:fldCharType="end"/>
      </w:r>
      <w:r w:rsidRPr="00962C0C">
        <w:rPr>
          <w:rFonts w:ascii="Arial" w:hAnsi="Arial" w:cs="Arial"/>
          <w:sz w:val="24"/>
          <w:szCs w:val="24"/>
        </w:rPr>
        <w:t xml:space="preserve"> No serviço onde esta pesquisa foi realizada, a escala MIF foi aplicada por profissional treinado, à época da admissão dos pacientes, através de entrevista individual realizada com os pais, seguindo as orientações do manual deste instrumento</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"author" : [ { "dropping-particle" : "", "family" : "Riberto", "given" : "Marcelo", "non-dropping-particle" : "", "parse-names" : false, "suffix" : "" } ], "id" : "ITEM-1", "issued" : { "date-parts" : [ [ "0" ] ] }, "title" : "Orienta\u00e7\u00e3o funcional para utiliza\u00e7\u00e3o da MIF - Medida de Independ\u00eancia Funcional", "type" : "article" }, "uris" : [ "http://www.mendeley.com/documents/?uuid=67cdf501-c735-4510-a732-aab848bc6b3f" ] } ], "mendeley" : { "formattedCitation" : "&lt;sup&gt;13&lt;/sup&gt;", "plainTextFormattedCitation" : "13", "previouslyFormattedCitation" : "&lt;sup&gt;14&lt;/sup&gt;"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13</w:t>
      </w:r>
      <w:r w:rsidRPr="00962C0C">
        <w:rPr>
          <w:rFonts w:ascii="Arial" w:hAnsi="Arial" w:cs="Arial"/>
          <w:sz w:val="24"/>
          <w:szCs w:val="24"/>
        </w:rPr>
        <w:fldChar w:fldCharType="end"/>
      </w:r>
      <w:r w:rsidRPr="00962C0C">
        <w:rPr>
          <w:rFonts w:ascii="Arial" w:hAnsi="Arial" w:cs="Arial"/>
          <w:sz w:val="24"/>
          <w:szCs w:val="24"/>
        </w:rPr>
        <w:t>.</w:t>
      </w:r>
    </w:p>
    <w:p w:rsidR="00374865" w:rsidRPr="00962C0C" w:rsidRDefault="00374865" w:rsidP="00374865">
      <w:pPr>
        <w:spacing w:after="0" w:line="360" w:lineRule="auto"/>
        <w:jc w:val="both"/>
        <w:rPr>
          <w:rFonts w:ascii="Arial" w:hAnsi="Arial" w:cs="Arial"/>
          <w:sz w:val="24"/>
          <w:szCs w:val="24"/>
        </w:rPr>
      </w:pPr>
    </w:p>
    <w:p w:rsidR="003C2695" w:rsidRPr="00080A59" w:rsidRDefault="00374865" w:rsidP="00374865">
      <w:pPr>
        <w:spacing w:after="0" w:line="360" w:lineRule="auto"/>
        <w:jc w:val="both"/>
        <w:rPr>
          <w:rFonts w:ascii="Arial" w:hAnsi="Arial" w:cs="Arial"/>
          <w:sz w:val="24"/>
        </w:rPr>
      </w:pPr>
      <w:r w:rsidRPr="00962C0C">
        <w:rPr>
          <w:rFonts w:ascii="Arial" w:hAnsi="Arial" w:cs="Arial"/>
          <w:sz w:val="24"/>
          <w:szCs w:val="24"/>
        </w:rPr>
        <w:t xml:space="preserve">Após análise da normalidade da distribuição dos dados numéricos, pelo teste </w:t>
      </w:r>
      <w:r w:rsidRPr="00962C0C">
        <w:rPr>
          <w:rFonts w:ascii="Arial" w:hAnsi="Arial" w:cs="Arial"/>
          <w:i/>
          <w:sz w:val="24"/>
          <w:szCs w:val="24"/>
        </w:rPr>
        <w:t>Kolmogorov-Smirnov</w:t>
      </w:r>
      <w:r w:rsidRPr="00962C0C">
        <w:rPr>
          <w:rFonts w:ascii="Arial" w:hAnsi="Arial" w:cs="Arial"/>
          <w:sz w:val="24"/>
          <w:szCs w:val="24"/>
        </w:rPr>
        <w:t>, as variáveis contínuas foram descritas em média (µ) e desvio padrão (±DP). E, as variáveis categóricas, em frequência absoluta e relativa. As análises foram realizadas utilizando o programa estatístico IBM</w:t>
      </w:r>
      <w:r w:rsidRPr="00962C0C">
        <w:rPr>
          <w:rFonts w:ascii="Arial" w:hAnsi="Arial" w:cs="Arial"/>
          <w:sz w:val="24"/>
          <w:szCs w:val="24"/>
          <w:vertAlign w:val="superscript"/>
        </w:rPr>
        <w:t>®</w:t>
      </w:r>
      <w:r w:rsidRPr="00962C0C">
        <w:rPr>
          <w:rFonts w:ascii="Arial" w:hAnsi="Arial" w:cs="Arial"/>
          <w:sz w:val="24"/>
          <w:szCs w:val="24"/>
        </w:rPr>
        <w:t xml:space="preserve"> SPSS</w:t>
      </w:r>
      <w:r w:rsidRPr="00962C0C">
        <w:rPr>
          <w:rFonts w:ascii="Arial" w:hAnsi="Arial" w:cs="Arial"/>
          <w:sz w:val="24"/>
          <w:szCs w:val="24"/>
          <w:vertAlign w:val="superscript"/>
        </w:rPr>
        <w:t>®</w:t>
      </w:r>
      <w:r w:rsidRPr="00962C0C">
        <w:rPr>
          <w:rFonts w:ascii="Arial" w:hAnsi="Arial" w:cs="Arial"/>
          <w:sz w:val="24"/>
          <w:szCs w:val="24"/>
        </w:rPr>
        <w:t xml:space="preserve"> Statistics, versão 20.0.</w:t>
      </w:r>
    </w:p>
    <w:p w:rsidR="003C2695" w:rsidRDefault="003C2695" w:rsidP="003C2695">
      <w:pPr>
        <w:spacing w:after="0" w:line="360" w:lineRule="auto"/>
        <w:jc w:val="both"/>
        <w:rPr>
          <w:rFonts w:ascii="Arial" w:hAnsi="Arial" w:cs="Arial"/>
          <w:sz w:val="24"/>
        </w:rPr>
      </w:pPr>
    </w:p>
    <w:p w:rsidR="003C2695" w:rsidRPr="00080A59" w:rsidRDefault="003C2695" w:rsidP="003C2695">
      <w:pPr>
        <w:spacing w:after="0" w:line="360" w:lineRule="auto"/>
        <w:jc w:val="both"/>
        <w:rPr>
          <w:rFonts w:ascii="Arial" w:hAnsi="Arial" w:cs="Arial"/>
          <w:b/>
          <w:sz w:val="24"/>
        </w:rPr>
      </w:pPr>
      <w:r w:rsidRPr="00080A59">
        <w:rPr>
          <w:rFonts w:ascii="Arial" w:hAnsi="Arial" w:cs="Arial"/>
          <w:b/>
          <w:sz w:val="24"/>
        </w:rPr>
        <w:t>RESULTADOS</w:t>
      </w: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No período compreendido pelo estudo, 26 crianças e adolescentes com diagnóstico de mucopolissacaridoses foram acompanhados no Serviço de Ortopedia do referido hospital. Observou-se o predomínio de indivíduos do sexo masculino (61,5%), com média de idade de 10±4,5 anos, acometidos por MPS tipo VI (73,1%). (Tabela 1)</w:t>
      </w:r>
    </w:p>
    <w:p w:rsidR="00374865" w:rsidRPr="00962C0C" w:rsidRDefault="00374865" w:rsidP="00374865">
      <w:pPr>
        <w:spacing w:after="0" w:line="360" w:lineRule="auto"/>
        <w:jc w:val="both"/>
        <w:rPr>
          <w:rFonts w:ascii="Arial" w:hAnsi="Arial" w:cs="Arial"/>
          <w:sz w:val="24"/>
          <w:szCs w:val="24"/>
        </w:rPr>
      </w:pP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Os resultados da medida de independência funcional para realização das atividades de vida diária evidenciam que, no domínio motor, o autocuidado foi o subdomínio com menor pontuação – alcançou 62% do escore máximo possível (26±8,3 pontos). (Tabela 2). As atividades nas quais as crianças e adolescentes com MPS necessitaram de maior assistência ou supervisão, neste subdomínio, eram referentes ao vestuário, banho e uso do vaso sanitário. (Tabela 3).</w:t>
      </w:r>
    </w:p>
    <w:p w:rsidR="00374865" w:rsidRPr="00962C0C" w:rsidRDefault="00374865" w:rsidP="00374865">
      <w:pPr>
        <w:spacing w:after="0" w:line="360" w:lineRule="auto"/>
        <w:jc w:val="both"/>
        <w:rPr>
          <w:rFonts w:ascii="Arial" w:hAnsi="Arial" w:cs="Arial"/>
          <w:sz w:val="24"/>
          <w:szCs w:val="24"/>
        </w:rPr>
      </w:pPr>
    </w:p>
    <w:p w:rsidR="003C2695" w:rsidRPr="00080A59" w:rsidRDefault="00374865" w:rsidP="00374865">
      <w:pPr>
        <w:spacing w:after="0" w:line="360" w:lineRule="auto"/>
        <w:jc w:val="both"/>
        <w:rPr>
          <w:rFonts w:ascii="Arial" w:hAnsi="Arial" w:cs="Arial"/>
          <w:sz w:val="24"/>
        </w:rPr>
      </w:pPr>
      <w:r w:rsidRPr="00962C0C">
        <w:rPr>
          <w:rFonts w:ascii="Arial" w:hAnsi="Arial" w:cs="Arial"/>
          <w:sz w:val="24"/>
          <w:szCs w:val="24"/>
        </w:rPr>
        <w:t>No domínio cognitivo, a cognição social alcançou 76% da pontuação máxima possível (16±4,9 pontos). (Tabela 2). Entre as atividades que compõem este subdomínio, os sujeitos participantes da pesquisa necessitaram de maior assistência para a resolução de problemas e interação social. (Tabela 3).</w:t>
      </w:r>
    </w:p>
    <w:p w:rsidR="00294388" w:rsidRDefault="00294388" w:rsidP="003C2695">
      <w:pPr>
        <w:spacing w:after="0" w:line="360" w:lineRule="auto"/>
        <w:jc w:val="both"/>
        <w:rPr>
          <w:rFonts w:ascii="Arial" w:hAnsi="Arial" w:cs="Arial"/>
          <w:sz w:val="24"/>
        </w:rPr>
      </w:pPr>
    </w:p>
    <w:p w:rsidR="003C2695" w:rsidRPr="00080A59" w:rsidRDefault="003C2695" w:rsidP="003C2695">
      <w:pPr>
        <w:spacing w:after="0" w:line="360" w:lineRule="auto"/>
        <w:jc w:val="both"/>
        <w:rPr>
          <w:rFonts w:ascii="Arial" w:hAnsi="Arial" w:cs="Arial"/>
          <w:b/>
          <w:sz w:val="24"/>
        </w:rPr>
      </w:pPr>
      <w:r w:rsidRPr="00080A59">
        <w:rPr>
          <w:rFonts w:ascii="Arial" w:hAnsi="Arial" w:cs="Arial"/>
          <w:b/>
          <w:sz w:val="24"/>
        </w:rPr>
        <w:lastRenderedPageBreak/>
        <w:t>DISCUSSÃO</w:t>
      </w: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Os achados deste estudo indicaram comprometimento da independência funcional de crianças e adolescentes diagnosticados com mucopolissacaridoses, principalmente em relação à função motora quando comparada à função cognitiva. O acometimento motor mais expressivo referiu-se às atividades de autocuidado, incluindo o ato de vestir-se, banho e realização de higiene ao utilizar o vaso sanitário.</w:t>
      </w:r>
    </w:p>
    <w:p w:rsidR="00374865" w:rsidRPr="00962C0C" w:rsidRDefault="00374865" w:rsidP="00374865">
      <w:pPr>
        <w:spacing w:after="0" w:line="360" w:lineRule="auto"/>
        <w:jc w:val="both"/>
        <w:rPr>
          <w:rFonts w:ascii="Arial" w:hAnsi="Arial" w:cs="Arial"/>
          <w:sz w:val="24"/>
          <w:szCs w:val="24"/>
        </w:rPr>
      </w:pP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O segundo menor escore obtido foi no subdomínio locomoção (71% da pontuação máxima possível), sugerindo que os pacientes com MPS evoluem com dificuldade para a marcha. Fator que acentua ainda mais a condição de dependência entre esses sujeitos. Os nossos achados corroboram com as características clínicas gerais descritas na literatura, no que diz respeito ao declínio motor significativo evidenciado nos casos de mucopolissacaridoses.</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"10.1186/1546-0096-12-32", "ISSN" : "1546-0096", "PMID" : "25110468", "abstract" : "BACKGROUND: Children with mucopolysaccharidoses (MPS) often have musculoskeletal (MSK) abnormalities. Paediatric Gait, Arms, Legs, and Spine (pGALS), is a simple MSK assessment validated in school-age children to detect abnormal joints. We aimed to identify MSK abnormalities in children with MPS performing pGALS.\\n\\nMETHODS: Videos of children with a spectrum of MPS performing pGALS were analysed. A piloted proforma to record abnormalities for each pGALS manoeuvre observed in the videos (scored as normal/abnormal/not assessable) was used by three observers blinded to MPS subtype. Videos were scored independently and rescored for intra- and inter-observer consistency. Data were pooled and analysed.\\n\\nRESULTS: Eighteen videos of children [12 boys, 6 girls, median age 11 years (4-19)] with MPS (13 type I [5 Hurler, 8 attenuated type I]; 4 type II; 1 mannosidosis) were assessed. The most common abnormalities detected using pGALS were restrictions of the shoulder, elbow, wrist, jaw (&gt;75% cases), and fingers (2/3 cases). Mean intra-observer \u039a 0.74 (range 0.65-0.88) and inter-observer \u039a 0.62 (range 0.51-0.77). Hip manoeuvres were not clearly demonstrated in the videos.\\n\\nCONCLUSIONS: In this observational study, pGALS identifies MSK abnormalities in children with MPS. Restricted joint movement (especially upper limb) was a consistent finding. Future work includes pGALS assessment of the hip and testing pGALS in further children with attenuated MPS type I. The use of pGALS and awareness of patterns of joint involvement may be a useful adjunct to facilitate earlier recognition of these rare conditions and ultimately access to specialist care.", "author" : [ { "dropping-particle" : "", "family" : "Chan", "given" : "Mercedes O", "non-dropping-particle" : "", "parse-names" : false, "suffix" : "" }, { "dropping-particle" : "", "family" : "Sen", "given" : "Ethan S", "non-dropping-particle" : "", "parse-names" : false, "suffix" : "" }, { "dropping-particle" : "", "family" : "Hardy", "given" : "Elizabeth", "non-dropping-particle" : "", "parse-names" : false, "suffix" : "" }, { "dropping-particle" : "", "family" : "Hensman", "given" : "Pauline", "non-dropping-particle" : "", "parse-names" : false, "suffix" : "" }, { "dropping-particle" : "", "family" : "Wraith", "given" : "Edmond", "non-dropping-particle" : "", "parse-names" : false, "suffix" : "" }, { "dropping-particle" : "", "family" : "Jones", "given" : "Simon", "non-dropping-particle" : "", "parse-names" : false, "suffix" : "" }, { "dropping-particle" : "", "family" : "Rapley", "given" : "Tim", "non-dropping-particle" : "", "parse-names" : false, "suffix" : "" }, { "dropping-particle" : "", "family" : "Foster", "given" : "Helen E", "non-dropping-particle" : "", "parse-names" : false, "suffix" : "" } ], "container-title" : "Pediatric rheumatology online journal", "id" : "ITEM-1", "issue" : "32", "issued" : { "date-parts" : [ [ "2014" ] ] }, "page" : "1-9", "title" : "Assessment of musculoskeletal abnormalities in children with mucopolysaccharidoses using pGALS.", "type" : "article-journal", "volume" : "12" }, "uris" : [ "http://www.mendeley.com/documents/?uuid=bdf88c63-89a0-4de5-baa7-b0b8491d126a" ] }, { "id" : "ITEM-2", "itemData" : { "DOI" : "10.1590/S1413-78522013000200009", "ISSN" : "1413-7852", "PMID" : "24453654", "abstract" : "Objective: The aim of this study is to evaluate energy expenditure in gait by mucopolysaccharidosis affected patients by means of a simple and adequate to the clinical environment methodology. Methods: A cross-sectional study was carried out comparing energy expenditure during gait in 19 patients suffering from mucopolysaccharidosis (MPS Group) with 19 asymptomatic control individuals (Control Group). Energy expenditure was measured in calories (cal) using a Polar telemetric watch (model FT7) during a 50 meter walk. Variables such as age, weight, height, body mass index (BMI), initial hart rate, final hart rate, and walking time, were recorded. Results: MPS Group showed a mean energy expenditure during gait of 2.84 cal (\u00b11,01), versus 1.42 cal (\u00b10,51), 100% higher than the Control Group; MPS also presented increased initial hart rate (22% higher), final hart rate (13% higher) and walking time (13% higher). Conclusions: Energy expenditure during gait in MPS patients was two times higher than control individuals; the methodology used showed to be a promising alternative, also adequate to the standard clinical environment.", "author" : [ { "dropping-particle" : "", "family" : "Matos", "given" : "Marcos Almeida", "non-dropping-particle" : "", "parse-names" : false, "suffix" : "" }, { "dropping-particle" : "", "family" : "Prado", "given" : "Andre", "non-dropping-particle" : "", "parse-names" : false, "suffix" : "" }, { "dropping-particle" : "", "family" : "Schenkel", "given" : "Gustavo", "non-dropping-particle" : "", "parse-names" : false, "suffix" : "" }, { "dropping-particle" : "", "family" : "Barreto", "given" : "Rosa", "non-dropping-particle" : "", "parse-names" : false, "suffix" : "" }, { "dropping-particle" : "", "family" : "Acosta", "given" : "Angelina Xavier", "non-dropping-particle" : "", "parse-names" : false, "suffix" : "" } ], "container-title" : "Acta Ortopedica Brasileira", "id" : "ITEM-2", "issue" : "2", "issued" : { "date-parts" : [ [ "2013" ] ] }, "page" : "116-119", "title" : "Energy expenditure during gait in patients with mucopolysaccharidosis", "type" : "article-journal", "volume" : "21" }, "uris" : [ "http://www.mendeley.com/documents/?uuid=3ad0096d-3832-47e5-a785-cf0597fdb2ca" ] }, { "id" : "ITEM-3", "itemData" : { "author" : [ { "dropping-particle" : "", "family" : "Valayannopoulos V, Nicely H, Paul Harmatz P", "given" : "Turbeville S", "non-dropping-particle" : "", "parse-names" : false, "suffix" : "" } ], "container-title" : "Orphanet Journal of Rare Diseases", "id" : "ITEM-3", "issue" : "5", "issued" : { "date-parts" : [ [ "2010" ] ] }, "title" : "Mucopolysaccharidosis VI", "type" : "article-journal", "volume" : "5" }, "uris" : [ "http://www.mendeley.com/documents/?uuid=b6acff33-37c2-4f0b-a1fa-dc9a5fcfccf5" ] } ], "mendeley" : { "formattedCitation" : "&lt;sup&gt;4,10,15&lt;/sup&gt;", "plainTextFormattedCitation" : "4,10,15", "previouslyFormattedCitation" : "&lt;sup&gt;5,11,16&lt;/sup&gt;"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4,10,15</w:t>
      </w:r>
      <w:r w:rsidRPr="00962C0C">
        <w:rPr>
          <w:rFonts w:ascii="Arial" w:hAnsi="Arial" w:cs="Arial"/>
          <w:sz w:val="24"/>
          <w:szCs w:val="24"/>
        </w:rPr>
        <w:fldChar w:fldCharType="end"/>
      </w:r>
    </w:p>
    <w:p w:rsidR="00374865" w:rsidRDefault="00374865" w:rsidP="00374865">
      <w:pPr>
        <w:spacing w:after="0" w:line="360" w:lineRule="auto"/>
        <w:jc w:val="both"/>
        <w:rPr>
          <w:rFonts w:ascii="Arial" w:hAnsi="Arial" w:cs="Arial"/>
          <w:sz w:val="24"/>
          <w:szCs w:val="24"/>
        </w:rPr>
      </w:pP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Acreditamos que a alteração da função das mãos em pacientes com MPS, secundária a deformidades dos dedos em flexão (mãos em garra) e rigidez articular, dificulta a realização de atividades cotidianas, principalmente aquelas que exigem habilidade manual, e repercute diretamente no desempenho funcional desses indivíduos.</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"id" : "ITEM-2", "itemData" : { "DOI" : "10.1016/j.braindev.2006.08.015", "ISSN" : "03877604", "PMID" : "17307320", "abstract" : "MPS type II (Hunter disease) results from deficiency of the lysosomal enzyme iduronate-2-sulfate sulfatase. Two forms of the disease have been recognized, based on absence or presence of progressive intellectual deterioration. This study aimed to assess activities of daily life (ADL) in 27 Hunter disease-affected Japanese patients, using a modified version of the functional independence measure (FIM). Scores of ADL for patients with a severe phenotype were significantly lower than those of control children. Total scores were highest around 5-7 years old, then progressively decreased, and scores &lt;40 were obtained with patients aged 9 years or more. In contrast to motor scores, cognitive scores decreased rapidly, generally reaching a minimum score at around 7 years old. On the other hand, in children with attenuated phenotype, total scores increased progressively with age similar to control children. Two children who had the highest grades at elementary school showed maximum scores. However, all adult patients did not show maximum total scores, and 3 of 4 patients over 25 years old showed decreasing scores. Two children and two adults showed significant lower scores compared with other patients, suggesting an intermediate form from the view of ADL. This study elucidated the precise clinical state of Hunter disease with distinct numerical scores, in addition to previously described narrative data. To maintain the QOL of the patients better, they and their family need to know what specific difficulties they encounter, in which period they encounter them, and what support can fix them. Further ADL investigations with larger populations and/or long-term sequential examination could help the patients and family to understand them well. ?? 2007 Elsevier B.V. All rights reserved.", "author" : [ { "dropping-particle" : "", "family" : "Kato", "given" : "Tomomi", "non-dropping-particle" : "", "parse-names" : false, "suffix" : "" }, { "dropping-particle" : "", "family" : "Kato", "given" : "Zenichiro", "non-dropping-particle" : "", "parse-names" : false, "suffix" : "" }, { "dropping-particle" : "", "family" : "Kuratsubo", "given" : "Izumi", "non-dropping-particle" : "", "parse-names" : false, "suffix" : "" }, { "dropping-particle" : "", "family" : "Ota", "given" : "Tetsuo", "non-dropping-particle" : "", "parse-names" : false, "suffix" : "" }, { "dropping-particle" : "", "family" : "Orii", "given" : "Tadao", "non-dropping-particle" : "", "parse-names" : false, "suffix" : "" }, { "dropping-particle" : "", "family" : "Kondo", "given" : "Naomi", "non-dropping-particle" : "", "parse-names" : false, "suffix" : "" }, { "dropping-particle" : "", "family" : "Suzuki", "given" : "Yasuyuki", "non-dropping-particle" : "", "parse-names" : false, "suffix" : "" } ], "container-title" : "Brain and Development", "id" : "ITEM-2", "issue" : "5", "issued" : { "date-parts" : [ [ "2007" ] ] }, "page" : "298-305", "title" : "Evaluation of ADL in patients with Hunter disease using FIM score", "type" : "article-journal", "volume" : "29" }, "uris" : [ "http://www.mendeley.com/documents/?uuid=54fdccb9-1aea-4226-b380-1addec026e0d" ] } ], "mendeley" : { "formattedCitation" : "&lt;sup&gt;1,11&lt;/sup&gt;", "plainTextFormattedCitation" : "1,11", "previouslyFormattedCitation" : "&lt;sup&gt;3,12&lt;/sup&gt;"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1,11</w:t>
      </w:r>
      <w:r w:rsidRPr="00962C0C">
        <w:rPr>
          <w:rFonts w:ascii="Arial" w:hAnsi="Arial" w:cs="Arial"/>
          <w:sz w:val="24"/>
          <w:szCs w:val="24"/>
        </w:rPr>
        <w:fldChar w:fldCharType="end"/>
      </w:r>
      <w:r w:rsidRPr="00962C0C">
        <w:rPr>
          <w:rFonts w:ascii="Arial" w:hAnsi="Arial" w:cs="Arial"/>
          <w:sz w:val="24"/>
          <w:szCs w:val="24"/>
        </w:rPr>
        <w:t xml:space="preserve"> Ao estudar a ocorrência da síndrome do túnel do carpo em crianças diagnosticadas com MPS tipo II,  Know et al.</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"10.1002/ajmg.a.34013", "ISSN" : "1552-4833", "PMID" : "21567931", "abstract" : "Although carpal tunnel syndrome (CTS) is the most common compressive neuropathy seen in the upper extremity of adults, it is rarely seen in children. Several reports have shown that mucopolysaccharidosis type II (Hunter syndrome), a rare genetic disorder, is one of the causes of CTS in children. Usual symptoms of CTS are pain, weakness, and paresthesias in the hand and digits. However, the diagnosis of CTS in Hunter syndrome is often delayed or unrecognized because of atypical symptoms and cognitive impairment. Here, we report the prevalence, clinical manifestation, and nerve conduction profiles of CTS in 45 Hunter syndrome patients. The mean age of the study participants was 117.1 (74.9) months (range: 4-408 months); all patients were male. Forty-three (96.0%) of the 45 patients with Hunter syndrome had CTS. Bilateral CTS was observed in all patients; 73 (82.0%) of the patients' hands had severe degree of CTS. Intriguingly, in contrast with other nerve velocities, decreases in forearm conduction velocities of the median nerve were observed in 28 (31.5%) of 89 hands with CTS. There was a significant difference in age (P &lt; 0.001) between hands with normal, mild, moderate, and severe grades of CTS. The compound muscle action potential and sensory nerve action potential amplitudes of the median nerves decreased with age (CMAP, r = -0.526, P &lt; 0.001; SNAP, r = -0.564, P &lt; 0.001). Early recognition and intervention to ameliorate the symptoms of CTS are important in improving the quality of life of Hunter syndrome patients.", "author" : [ { "dropping-particle" : "", "family" : "Kwon", "given" : "Jeong-Yi", "non-dropping-particle" : "", "parse-names" : false, "suffix" : "" }, { "dropping-particle" : "", "family" : "Ko", "given" : "Kiljun", "non-dropping-particle" : "", "parse-names" : false, "suffix" : "" }, { "dropping-particle" : "", "family" : "Sohn", "given" : "Young Bae", "non-dropping-particle" : "", "parse-names" : false, "suffix" : "" }, { "dropping-particle" : "", "family" : "Kim", "given" : "Su Jin", "non-dropping-particle" : "", "parse-names" : false, "suffix" : "" }, { "dropping-particle" : "", "family" : "Park", "given" : "Sung Won", "non-dropping-particle" : "", "parse-names" : false, "suffix" : "" }, { "dropping-particle" : "", "family" : "Kim", "given" : "Se-Hwa", "non-dropping-particle" : "", "parse-names" : false, "suffix" : "" }, { "dropping-particle" : "", "family" : "Cho", "given" : "Sung-Yoon", "non-dropping-particle" : "", "parse-names" : false, "suffix" : "" }, { "dropping-particle" : "", "family" : "Jin", "given" : "Dong-Kyu", "non-dropping-particle" : "", "parse-names" : false, "suffix" : "" } ], "container-title" : "American journal of medical genetics. Part A", "id" : "ITEM-1", "issued" : { "date-parts" : [ [ "2011" ] ] }, "page" : "1329-1335", "title" : "High prevalence of carpal tunnel syndrome in children with mucopolysaccharidosis type II (Hunter syndrome).", "type" : "article-journal", "volume" : "155A" }, "uris" : [ "http://www.mendeley.com/documents/?uuid=3b0b0d7b-9cb5-45a6-8027-ae368376e55d" ] } ], "mendeley" : { "formattedCitation" : "&lt;sup&gt;16&lt;/sup&gt;", "plainTextFormattedCitation" : "16", "previouslyFormattedCitation" : "&lt;sup&gt;17&lt;/sup&gt;"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16</w:t>
      </w:r>
      <w:r w:rsidRPr="00962C0C">
        <w:rPr>
          <w:rFonts w:ascii="Arial" w:hAnsi="Arial" w:cs="Arial"/>
          <w:sz w:val="24"/>
          <w:szCs w:val="24"/>
        </w:rPr>
        <w:fldChar w:fldCharType="end"/>
      </w:r>
      <w:r w:rsidRPr="00962C0C">
        <w:rPr>
          <w:rFonts w:ascii="Arial" w:hAnsi="Arial" w:cs="Arial"/>
          <w:sz w:val="24"/>
          <w:szCs w:val="24"/>
        </w:rPr>
        <w:t xml:space="preserve"> afirmaram que essa injúria tem etiologia genética; e o diagnóstico tardio, em virtude do comprometimento mais severo de outros órgãos seguido da displasia esquelética e rigidez articular, contribui para a perda completa da função da mão.</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"10.1002/ajmg.a.34013", "ISSN" : "1552-4833", "PMID" : "21567931", "abstract" : "Although carpal tunnel syndrome (CTS) is the most common compressive neuropathy seen in the upper extremity of adults, it is rarely seen in children. Several reports have shown that mucopolysaccharidosis type II (Hunter syndrome), a rare genetic disorder, is one of the causes of CTS in children. Usual symptoms of CTS are pain, weakness, and paresthesias in the hand and digits. However, the diagnosis of CTS in Hunter syndrome is often delayed or unrecognized because of atypical symptoms and cognitive impairment. Here, we report the prevalence, clinical manifestation, and nerve conduction profiles of CTS in 45 Hunter syndrome patients. The mean age of the study participants was 117.1 (74.9) months (range: 4-408 months); all patients were male. Forty-three (96.0%) of the 45 patients with Hunter syndrome had CTS. Bilateral CTS was observed in all patients; 73 (82.0%) of the patients' hands had severe degree of CTS. Intriguingly, in contrast with other nerve velocities, decreases in forearm conduction velocities of the median nerve were observed in 28 (31.5%) of 89 hands with CTS. There was a significant difference in age (P &lt; 0.001) between hands with normal, mild, moderate, and severe grades of CTS. The compound muscle action potential and sensory nerve action potential amplitudes of the median nerves decreased with age (CMAP, r = -0.526, P &lt; 0.001; SNAP, r = -0.564, P &lt; 0.001). Early recognition and intervention to ameliorate the symptoms of CTS are important in improving the quality of life of Hunter syndrome patients.", "author" : [ { "dropping-particle" : "", "family" : "Kwon", "given" : "Jeong-Yi", "non-dropping-particle" : "", "parse-names" : false, "suffix" : "" }, { "dropping-particle" : "", "family" : "Ko", "given" : "Kiljun", "non-dropping-particle" : "", "parse-names" : false, "suffix" : "" }, { "dropping-particle" : "", "family" : "Sohn", "given" : "Young Bae", "non-dropping-particle" : "", "parse-names" : false, "suffix" : "" }, { "dropping-particle" : "", "family" : "Kim", "given" : "Su Jin", "non-dropping-particle" : "", "parse-names" : false, "suffix" : "" }, { "dropping-particle" : "", "family" : "Park", "given" : "Sung Won", "non-dropping-particle" : "", "parse-names" : false, "suffix" : "" }, { "dropping-particle" : "", "family" : "Kim", "given" : "Se-Hwa", "non-dropping-particle" : "", "parse-names" : false, "suffix" : "" }, { "dropping-particle" : "", "family" : "Cho", "given" : "Sung-Yoon", "non-dropping-particle" : "", "parse-names" : false, "suffix" : "" }, { "dropping-particle" : "", "family" : "Jin", "given" : "Dong-Kyu", "non-dropping-particle" : "", "parse-names" : false, "suffix" : "" } ], "container-title" : "American journal of medical genetics. Part A", "id" : "ITEM-1", "issued" : { "date-parts" : [ [ "2011" ] ] }, "page" : "1329-1335", "title" : "High prevalence of carpal tunnel syndrome in children with mucopolysaccharidosis type II (Hunter syndrome).", "type" : "article-journal", "volume" : "155A" }, "uris" : [ "http://www.mendeley.com/documents/?uuid=3b0b0d7b-9cb5-45a6-8027-ae368376e55d" ] } ], "mendeley" : { "formattedCitation" : "&lt;sup&gt;16&lt;/sup&gt;", "plainTextFormattedCitation" : "16", "previouslyFormattedCitation" : "&lt;sup&gt;17&lt;/sup&gt;"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16</w:t>
      </w:r>
      <w:r w:rsidRPr="00962C0C">
        <w:rPr>
          <w:rFonts w:ascii="Arial" w:hAnsi="Arial" w:cs="Arial"/>
          <w:sz w:val="24"/>
          <w:szCs w:val="24"/>
        </w:rPr>
        <w:fldChar w:fldCharType="end"/>
      </w:r>
    </w:p>
    <w:p w:rsidR="00374865" w:rsidRPr="00962C0C" w:rsidRDefault="00374865" w:rsidP="00374865">
      <w:pPr>
        <w:spacing w:after="0" w:line="360" w:lineRule="auto"/>
        <w:jc w:val="both"/>
        <w:rPr>
          <w:rFonts w:ascii="Arial" w:hAnsi="Arial" w:cs="Arial"/>
          <w:sz w:val="24"/>
          <w:szCs w:val="24"/>
        </w:rPr>
      </w:pP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Tendo em vista que parte das atividades cotidianas exige mobilidade e/ou força manual, ponderamos que quanto maior o acometimento da mão, maior será a necessidade de assistência para realizá-las. E, por conseguinte, maiores as dificuldades para o autocuidado, pois este domínio inclui atividades que, normalmente, requerem o uso das extremidades dos membros superiores.</w:t>
      </w:r>
    </w:p>
    <w:p w:rsidR="00374865" w:rsidRPr="00962C0C" w:rsidRDefault="00374865" w:rsidP="00374865">
      <w:pPr>
        <w:spacing w:after="0" w:line="360" w:lineRule="auto"/>
        <w:jc w:val="both"/>
        <w:rPr>
          <w:rFonts w:ascii="Arial" w:hAnsi="Arial" w:cs="Arial"/>
          <w:sz w:val="24"/>
          <w:szCs w:val="24"/>
        </w:rPr>
      </w:pP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 xml:space="preserve">A condição cognitiva é outro fator que interfere no desempenho funcional e, consequentemente, na independência para executar atividades de vida diária, pois, a integridade deste componente refere-se à compreensão daquilo que deve ser feito </w:t>
      </w:r>
      <w:r w:rsidRPr="00962C0C">
        <w:rPr>
          <w:rFonts w:ascii="Arial" w:hAnsi="Arial" w:cs="Arial"/>
          <w:sz w:val="24"/>
          <w:szCs w:val="24"/>
        </w:rPr>
        <w:lastRenderedPageBreak/>
        <w:t>diante de determinada tarefa a ser desempenhada.</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"http://dx.doi.org/10.4322/0104-4931.ctoAO0799", "author" : [ { "dropping-particle" : "", "family" : "Amaral", "given" : "Ingrid A. B. S.", "non-dropping-particle" : "", "parse-names" : false, "suffix" : "" }, { "dropping-particle" : "", "family" : "Omena Filho", "given" : "Reinaldo L. O.", "non-dropping-particle" : "", "parse-names" : false, "suffix" : "" }, { "dropping-particle" : "", "family" : "Reis Neto", "given" : "Jo\u00e3o A.", "non-dropping-particle" : "", "parse-names" : false, "suffix" : "" }, { "dropping-particle" : "", "family" : "Reis", "given" : "Monique C. S.", "non-dropping-particle" : "", "parse-names" : false, "suffix" : "" } ], "container-title" : "Cad. Bras. Ter. Ocup.", "id" : "ITEM-1", "issue" : "2", "issued" : { "date-parts" : [ [ "2017" ] ] }, "page" : "297-303", "title" : "Avalia\u00e7\u00e3o da capacidade funcional de adolescentes portadores de Mucopolissacaridose do tipo II", "type" : "article-journal", "volume" : "25" }, "uris" : [ "http://www.mendeley.com/documents/?uuid=1bed7e82-ab3e-416c-ad18-94a4a7eac9af" ] } ], "mendeley" : { "formattedCitation" : "&lt;sup&gt;17&lt;/sup&gt;", "plainTextFormattedCitation" : "17", "previouslyFormattedCitation" : "&lt;sup&gt;18&lt;/sup&gt;"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17</w:t>
      </w:r>
      <w:r w:rsidRPr="00962C0C">
        <w:rPr>
          <w:rFonts w:ascii="Arial" w:hAnsi="Arial" w:cs="Arial"/>
          <w:sz w:val="24"/>
          <w:szCs w:val="24"/>
        </w:rPr>
        <w:fldChar w:fldCharType="end"/>
      </w:r>
      <w:r w:rsidRPr="00962C0C">
        <w:rPr>
          <w:rFonts w:ascii="Arial" w:hAnsi="Arial" w:cs="Arial"/>
          <w:sz w:val="24"/>
          <w:szCs w:val="24"/>
        </w:rPr>
        <w:t xml:space="preserve"> A alteração da função cognitiva é característica marcante em todas as formas da MPS tipo III e pode ocorrer também em pacientes com a forma grave da MPS tipo I e II, e na MPS VII</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"mendeley" : { "formattedCitation" : "&lt;sup&gt;1&lt;/sup&gt;", "plainTextFormattedCitation" : "1", "previouslyFormattedCitation" : "&lt;sup&gt;3&lt;/sup&gt;"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w:t>
      </w:r>
      <w:r w:rsidRPr="00962C0C">
        <w:rPr>
          <w:rFonts w:ascii="Arial" w:hAnsi="Arial" w:cs="Arial"/>
          <w:sz w:val="24"/>
          <w:szCs w:val="24"/>
        </w:rPr>
        <w:fldChar w:fldCharType="end"/>
      </w:r>
      <w:r w:rsidRPr="00962C0C">
        <w:rPr>
          <w:rFonts w:ascii="Arial" w:hAnsi="Arial" w:cs="Arial"/>
          <w:sz w:val="24"/>
          <w:szCs w:val="24"/>
        </w:rPr>
        <w:t>, justificando a limitação da capacidade desses indivíduos para realizar suas atividades diárias.</w:t>
      </w:r>
    </w:p>
    <w:p w:rsidR="00374865" w:rsidRPr="00962C0C" w:rsidRDefault="00374865" w:rsidP="00374865">
      <w:pPr>
        <w:spacing w:after="0" w:line="360" w:lineRule="auto"/>
        <w:jc w:val="both"/>
        <w:rPr>
          <w:rFonts w:ascii="Arial" w:hAnsi="Arial" w:cs="Arial"/>
          <w:sz w:val="24"/>
          <w:szCs w:val="24"/>
        </w:rPr>
      </w:pP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Neste estudo, a prevalência de pacientes com diagnóstico de MPS VI, que não apresenta acometimento cognitivo, pode ter contribuído para a obtenção de maior escore neste domínio. No entanto, embora a condição cognitiva das crianças e adolescentes participantes desta pesquisa tenha alcançado pontuação superior em relação à condição motora, a média deste domínio esteve cerca de 20% menor que o máximo possível, sugerindo certo grau de alteração cognitiva na amostra estudada.</w:t>
      </w:r>
    </w:p>
    <w:p w:rsidR="00374865" w:rsidRPr="00962C0C" w:rsidRDefault="00374865" w:rsidP="00374865">
      <w:pPr>
        <w:spacing w:after="0" w:line="360" w:lineRule="auto"/>
        <w:jc w:val="both"/>
        <w:rPr>
          <w:rFonts w:ascii="Arial" w:hAnsi="Arial" w:cs="Arial"/>
          <w:sz w:val="24"/>
          <w:szCs w:val="24"/>
        </w:rPr>
      </w:pP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Na mucopolissacaridose, o acúmulo de glicosaminoglicanos no sistema nervoso central, o desenvolvimento de hidrocefalia e a presença de distúrbios do sono, como a apnéia obstrutiva e a hipoventilação sustentada, são fatores que podem prejudicar a função cerebral e, por conseguinte, o aprendizado cognitivo, trazendo repercussões negativas para o estado funcional dos pacientes.</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"10.1007/s10545-012-9555-1", "author" : [ { "dropping-particle" : "", "family" : "Berger", "given" : "Kenneth I", "non-dropping-particle" : "", "parse-names" : false, "suffix" : "" }, { "dropping-particle" : "", "family" : "Fagondes", "given" : "Simone C", "non-dropping-particle" : "", "parse-names" : false, "suffix" : "" }, { "dropping-particle" : "", "family" : "Giugliani", "given" : "Roberto", "non-dropping-particle" : "", "parse-names" : false, "suffix" : "" }, { "dropping-particle" : "", "family" : "Hardy", "given" : "Karen A", "non-dropping-particle" : "", "parse-names" : false, "suffix" : "" }, { "dropping-particle" : "", "family" : "Lee", "given" : "Kuo Sheng", "non-dropping-particle" : "", "parse-names" : false, "suffix" : "" }, { "dropping-particle" : "", "family" : "Mcardle", "given" : "Ciar\u00e1n", "non-dropping-particle" : "", "parse-names" : false, "suffix" : "" }, { "dropping-particle" : "", "family" : "Scarpa", "given" : "Maurizio", "non-dropping-particle" : "", "parse-names" : false, "suffix" : "" }, { "dropping-particle" : "", "family" : "Tobin", "given" : "Martin J", "non-dropping-particle" : "", "parse-names" : false, "suffix" : "" }, { "dropping-particle" : "", "family" : "Ward", "given" : "Susan A", "non-dropping-particle" : "", "parse-names" : false, "suffix" : "" }, { "dropping-particle" : "", "family" : "Rapoport", "given" : "David M", "non-dropping-particle" : "", "parse-names" : false, "suffix" : "" } ], "container-title" : "J Inherit Metab Dis", "id" : "ITEM-1", "issued" : { "date-parts" : [ [ "2013" ] ] }, "page" : "201-210", "title" : "Respiratory and sleep disorders in mucopolysaccharidosis", "type" : "article-journal", "volume" : "36" }, "uris" : [ "http://www.mendeley.com/documents/?uuid=6a74844b-90e7-4fa4-b3fb-d02253f8223c" ] } ], "mendeley" : { "formattedCitation" : "&lt;sup&gt;18&lt;/sup&gt;", "plainTextFormattedCitation" : "18", "previouslyFormattedCitation" : "&lt;sup&gt;19&lt;/sup&gt;"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18</w:t>
      </w:r>
      <w:r w:rsidRPr="00962C0C">
        <w:rPr>
          <w:rFonts w:ascii="Arial" w:hAnsi="Arial" w:cs="Arial"/>
          <w:sz w:val="24"/>
          <w:szCs w:val="24"/>
        </w:rPr>
        <w:fldChar w:fldCharType="end"/>
      </w:r>
      <w:r w:rsidRPr="00962C0C">
        <w:rPr>
          <w:rFonts w:ascii="Arial" w:hAnsi="Arial" w:cs="Arial"/>
          <w:sz w:val="24"/>
          <w:szCs w:val="24"/>
        </w:rPr>
        <w:t xml:space="preserve"> </w:t>
      </w:r>
    </w:p>
    <w:p w:rsidR="00374865" w:rsidRPr="00962C0C" w:rsidRDefault="00374865" w:rsidP="00374865">
      <w:pPr>
        <w:spacing w:after="0" w:line="360" w:lineRule="auto"/>
        <w:jc w:val="both"/>
        <w:rPr>
          <w:rFonts w:ascii="Arial" w:hAnsi="Arial" w:cs="Arial"/>
          <w:sz w:val="24"/>
          <w:szCs w:val="24"/>
        </w:rPr>
      </w:pP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Na nossa pesquisa, atribuímos a dificuldade para locomoção à susceptibilidade que os indivíduos com MPS apresentam para desenvolver deformidades musculoesqueléticas, limitações articulares, compressão medular e dor – condições que tornam a mobilidade desses pacientes prejudicada.</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"10.1093/rheumatology/ker394", "ISBN" : "1462-0324", "ISSN" : "14620324", "PMID" : "22210669", "abstract" : "The mucopolysaccharidoses (MPSs) are a group of rare, inherited lysosomal storage disorders that are clinically characterized by abnormalities in multiple organ systems and reduced life expectancy. The MPSs are heterogeneous, progressive disorders. Patients typically appear normal at birth, but during early childhood they experience the onset of clinical disease, including skeletal, joint, airway and cardiac involvement, hearing and vision impairment, and mental retardation in the severe forms of MPS I, MPS II and MPS VII and all subtypes of MPS III. There are two treatment options for patients with MPS that are directed at the underlying pathophysiology: haematopoietic stem cell transplantation, which is useful for selected patients, and recombinant i.v. enzyme replacement therapy, which is available for MPS I, II and VI. Early diagnosis and treatment can improve patient outcomes and may reduce the disease burden on patients and caregivers. As skeletal and joint abnormalities are characteristic of many patients with MPS, rheumatologists are positioned to recognize the features of the disease and to facilitate early diagnosis and referral. In this overview, the clinical features of the MPS disorders and a brief review of treatment options will be presented in order to aid the rheumatologist in recognizing the features of these rare genetic disorders.", "author" : [ { "dropping-particle" : "", "family" : "Muenzer", "given" : "Joseph", "non-dropping-particle" : "", "parse-names" : false, "suffix" : "" } ], "container-title" : "Rheumatology", "id" : "ITEM-1", "issue" : "SUPPL. 5", "issued" : { "date-parts" : [ [ "2011" ] ] }, "page" : "4-12", "title" : "Overview of the mucopolysaccharidoses", "type" : "article-journal", "volume" : "50" }, "uris" : [ "http://www.mendeley.com/documents/?uuid=ef31dc0e-37ce-466a-9441-79a35f9139e5" ] } ], "mendeley" : { "formattedCitation" : "&lt;sup&gt;1&lt;/sup&gt;", "plainTextFormattedCitation" : "1", "previouslyFormattedCitation" : "&lt;sup&gt;3&lt;/sup&gt;"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w:t>
      </w:r>
      <w:r w:rsidRPr="00962C0C">
        <w:rPr>
          <w:rFonts w:ascii="Arial" w:hAnsi="Arial" w:cs="Arial"/>
          <w:sz w:val="24"/>
          <w:szCs w:val="24"/>
        </w:rPr>
        <w:fldChar w:fldCharType="end"/>
      </w:r>
      <w:r w:rsidRPr="00962C0C">
        <w:rPr>
          <w:rFonts w:ascii="Arial" w:hAnsi="Arial" w:cs="Arial"/>
          <w:sz w:val="24"/>
          <w:szCs w:val="24"/>
        </w:rPr>
        <w:t xml:space="preserve"> Com a progressão da doença, os indivíduos evoluem ainda com baixa tolerância ao esforço físico e com dificuldades para locomoção, inclusive para percorrer curtas distâncias, em razão das alterações cardiorrespiratórias.</w:t>
      </w:r>
      <w:r w:rsidRPr="00962C0C">
        <w:rPr>
          <w:rFonts w:ascii="Arial" w:hAnsi="Arial" w:cs="Arial"/>
          <w:sz w:val="24"/>
          <w:szCs w:val="24"/>
        </w:rPr>
        <w:fldChar w:fldCharType="begin" w:fldLock="1"/>
      </w:r>
      <w:r w:rsidRPr="00962C0C">
        <w:rPr>
          <w:rFonts w:ascii="Arial" w:hAnsi="Arial" w:cs="Arial"/>
          <w:sz w:val="24"/>
          <w:szCs w:val="24"/>
        </w:rPr>
        <w:instrText>ADDIN CSL_CITATION { "citationItems" : [ { "id" : "ITEM-1", "itemData" : { "DOI" : "10.1186/1750-1172-9-32", "ISBN" : "1750-1172", "ISSN" : "1750-1172", "PMID" : "24602160", "abstract" : "BACKGROUND: Morquio A syndrome (or mucopolysaccharidosis IVa) is an ultra-rare multi-organ disease, resulting in significantly impaired functional capacity, mobility and quality of life (QoL). METHODS: This patient-reported outcomes survey evaluated the global burden of Morquio A among adults (\u226518 years, N = 27) and children (7-17 years, N = 36), including the impact on mobility, QoL, pain and fatigue. QoL was assessed using the general Health-Related Quality of Life (HRQoL) questionnaire (the EuroQol [EQ]-5D-5L). Pain and pain interference with daily activities were assessed using the Brief Pain Inventory Short Form (BPI-SF) in adults and the Adolescent Pediatric Pain Tool (APPT) in children. Fatigue was assessed by questioning the patients on the number of evenings in a week they felt extremely tired. RESULTS: The clinical data showed a wide heterogeneity in clinical manifestations between patients, with the majority of patients showing differing levels of endurance, short stature, bone and joint abnormalities, abnormal gait and eye problems. Mobility was considerably impaired: 44.4% of children and 85.2% of adult patients were using a wheelchair. High wheelchair reliance significantly reduced QoL. This was mainly driven by reduced scores in the Mobility, Self-care, and Usual Activity domains. The HRQoL utility values were 0.846, 0.582 and 0.057 respectively in adults not using a wheelchair, using a wheelchair only when needed and always using a wheelchair; values were 0.534, 0.664 and -0.180 respectively in children. Employed adult patients had a better HRQoL than unemployed patients (HRQoL utility value 0.640 vs. 0.275, respectively).64% of children and 74% of adult patients had joint pain; fatigue was reported by 69% of children and 63% of adults. Overall, increased mobility was associated with more severe and widespread pain and more fatigue. CONCLUSIONS: The HRQoL of Morquio A patients is mainly driven by the ability to remain independently mobile without becoming wheelchair dependent. Their QoL reduces dramatically if they always have to use their wheelchair. Even a slightly better mobility (wheelchair use only when needed) greatly improves QoL. Maintenance of functional capacity and mobility paired with better pain management are likely to improve QoL.", "author" : [ { "dropping-particle" : "", "family" : "Hendriksz", "given" : "Christian J", "non-dropping-particle" : "", "parse-names" : false, "suffix" : "" }, { "dropping-particle" : "", "family" : "Lavery", "given" : "Christine", "non-dropping-particle" : "", "parse-names" : false, "suffix" : "" }, { "dropping-particle" : "", "family" : "Coker", "given" : "Mahmut", "non-dropping-particle" : "", "parse-names" : false, "suffix" : "" }, { "dropping-particle" : "", "family" : "Ucar", "given" : "Sema Kalkan", "non-dropping-particle" : "", "parse-names" : false, "suffix" : "" }, { "dropping-particle" : "", "family" : "Jain", "given" : "Mohit", "non-dropping-particle" : "", "parse-names" : false, "suffix" : "" }, { "dropping-particle" : "", "family" : "Bell", "given" : "Lisa", "non-dropping-particle" : "", "parse-names" : false, "suffix" : "" }, { "dropping-particle" : "", "family" : "Lampe", "given" : "Christina", "non-dropping-particle" : "", "parse-names" : false, "suffix" : "" } ], "container-title" : "Orphanet journal of rare diseases", "id" : "ITEM-1", "issue" : "32", "issued" : { "date-parts" : [ [ "2014" ] ] }, "page" : "1-8", "title" : "Burden of disease in patients with Morquio A syndrome: results from an international patient-reported outcomes survey.", "type" : "article-journal", "volume" : "9" }, "uris" : [ "http://www.mendeley.com/documents/?uuid=9e5b3f66-7f49-457d-a29a-86df55c5bc6a" ] } ], "mendeley" : { "formattedCitation" : "&lt;sup&gt;19&lt;/sup&gt;", "plainTextFormattedCitation" : "19", "previouslyFormattedCitation" : "&lt;sup&gt;20&lt;/sup&gt;" }, "properties" : { "noteIndex" : 0 }, "schema" : "https://github.com/citation-style-language/schema/raw/master/csl-citation.json" }</w:instrText>
      </w:r>
      <w:r w:rsidRPr="00962C0C">
        <w:rPr>
          <w:rFonts w:ascii="Arial" w:hAnsi="Arial" w:cs="Arial"/>
          <w:sz w:val="24"/>
          <w:szCs w:val="24"/>
        </w:rPr>
        <w:fldChar w:fldCharType="separate"/>
      </w:r>
      <w:r w:rsidRPr="00962C0C">
        <w:rPr>
          <w:rFonts w:ascii="Arial" w:hAnsi="Arial" w:cs="Arial"/>
          <w:noProof/>
          <w:sz w:val="24"/>
          <w:szCs w:val="24"/>
          <w:vertAlign w:val="superscript"/>
        </w:rPr>
        <w:t>19</w:t>
      </w:r>
      <w:r w:rsidRPr="00962C0C">
        <w:rPr>
          <w:rFonts w:ascii="Arial" w:hAnsi="Arial" w:cs="Arial"/>
          <w:sz w:val="24"/>
          <w:szCs w:val="24"/>
        </w:rPr>
        <w:fldChar w:fldCharType="end"/>
      </w:r>
    </w:p>
    <w:p w:rsidR="00374865" w:rsidRPr="00962C0C" w:rsidRDefault="00374865" w:rsidP="00374865">
      <w:pPr>
        <w:spacing w:after="0" w:line="360" w:lineRule="auto"/>
        <w:jc w:val="both"/>
        <w:rPr>
          <w:rFonts w:ascii="Arial" w:hAnsi="Arial" w:cs="Arial"/>
          <w:sz w:val="24"/>
          <w:szCs w:val="24"/>
        </w:rPr>
      </w:pP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 xml:space="preserve">Acreditamos, então, que esta condição restringe as crianças e adolescentes em suas atividades e os impossibilita de acompanhar outros indivíduos da mesma faixa etária, interferindo no convívio social e na interação entre os mesmos. Além disso, a dificuldade para comunicação, secundária a alterações da fala ou redução da acuidade auditiva, também pode interferir nas relações interpessoais desses indivíduos.  </w:t>
      </w:r>
    </w:p>
    <w:p w:rsidR="00374865" w:rsidRPr="00962C0C" w:rsidRDefault="00374865" w:rsidP="00374865">
      <w:pPr>
        <w:spacing w:after="0" w:line="360" w:lineRule="auto"/>
        <w:jc w:val="both"/>
        <w:rPr>
          <w:rFonts w:ascii="Arial" w:hAnsi="Arial" w:cs="Arial"/>
          <w:sz w:val="24"/>
          <w:szCs w:val="24"/>
        </w:rPr>
      </w:pP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lastRenderedPageBreak/>
        <w:t>As principais limitações do presente estudo são concernentes ao tamanho reduzido da amostra, o que impossibilitou a comparação das medidas de independência funcional entre os diferentes tipos de MPS; e, a utilização de um instrumento genérico de avaliação, o qual não abrange fatores ou sintomas específicos da doença em questão. Entretanto, a mucopolissacaridose é uma doença rara e a maior parte dos estudos sobre esta enfermidade não contempla elevado tamanho amostral. Em relação ao instrumento utilizado, justifica-se a aplicação da MIF neste estudo pela inexistência de escala específica, validada no Brasil, para avaliar a independência funcional de pacientes com esta doença. Todavia, esperamos, através do nosso estudo, contribuir para o melhor entendimento dos impactos gerados pela mucopolissacaridose sobre a funcionalidade dos sujeitos acometidos.</w:t>
      </w:r>
    </w:p>
    <w:p w:rsidR="00374865" w:rsidRPr="00962C0C" w:rsidRDefault="00374865" w:rsidP="00374865">
      <w:pPr>
        <w:spacing w:after="0" w:line="360" w:lineRule="auto"/>
        <w:jc w:val="both"/>
        <w:rPr>
          <w:rFonts w:ascii="Arial" w:hAnsi="Arial" w:cs="Arial"/>
          <w:sz w:val="24"/>
          <w:szCs w:val="24"/>
        </w:rPr>
      </w:pPr>
    </w:p>
    <w:p w:rsidR="003C2695" w:rsidRPr="00080A59" w:rsidRDefault="00374865" w:rsidP="00374865">
      <w:pPr>
        <w:spacing w:after="0" w:line="360" w:lineRule="auto"/>
        <w:jc w:val="both"/>
        <w:rPr>
          <w:rFonts w:ascii="Arial" w:hAnsi="Arial" w:cs="Arial"/>
          <w:sz w:val="24"/>
        </w:rPr>
      </w:pPr>
      <w:r w:rsidRPr="00962C0C">
        <w:rPr>
          <w:rFonts w:ascii="Arial" w:hAnsi="Arial" w:cs="Arial"/>
          <w:sz w:val="24"/>
          <w:szCs w:val="24"/>
        </w:rPr>
        <w:t>Diante do exposto, observa-se que as terapias de suporte para condução de pacientes diagnosticados com MPS não devem estar empenhadas somente na correção de alterações anatômicas e/ou clínicas propriamente ditas, mas na possibilidade de aprimorar as habilidades funcionais dos indivíduos, de acordo às suas necessidades específicas. Os programas de reabilitação deverão proporcionar intervenção direta sobre a condição de incapacidade e/ou limitação física para realização de atividades diárias, principalmente àquelas relacionadas ao autocuidado; mobilidade/transferências; locomoção; e cognição social – aspectos comprometidos nesses pacientes, como indicam os achados deste estudo.</w:t>
      </w:r>
    </w:p>
    <w:p w:rsidR="003C2695" w:rsidRPr="00080A59" w:rsidRDefault="003C2695" w:rsidP="003C2695">
      <w:pPr>
        <w:spacing w:after="0" w:line="360" w:lineRule="auto"/>
        <w:jc w:val="both"/>
        <w:rPr>
          <w:rFonts w:ascii="Arial" w:hAnsi="Arial" w:cs="Arial"/>
          <w:sz w:val="24"/>
        </w:rPr>
      </w:pPr>
      <w:r w:rsidRPr="00080A59">
        <w:rPr>
          <w:rFonts w:ascii="Arial" w:hAnsi="Arial" w:cs="Arial"/>
          <w:sz w:val="24"/>
        </w:rPr>
        <w:t xml:space="preserve"> </w:t>
      </w:r>
    </w:p>
    <w:p w:rsidR="003C2695" w:rsidRPr="00080A59" w:rsidRDefault="003C2695" w:rsidP="003C2695">
      <w:pPr>
        <w:spacing w:after="0" w:line="360" w:lineRule="auto"/>
        <w:jc w:val="both"/>
        <w:rPr>
          <w:rFonts w:ascii="Arial" w:hAnsi="Arial" w:cs="Arial"/>
          <w:b/>
          <w:sz w:val="24"/>
        </w:rPr>
      </w:pPr>
      <w:r w:rsidRPr="00080A59">
        <w:rPr>
          <w:rFonts w:ascii="Arial" w:hAnsi="Arial" w:cs="Arial"/>
          <w:b/>
          <w:sz w:val="24"/>
        </w:rPr>
        <w:t xml:space="preserve">CONCLUSÃO </w:t>
      </w:r>
    </w:p>
    <w:p w:rsidR="00374865" w:rsidRPr="00962C0C" w:rsidRDefault="00374865" w:rsidP="00374865">
      <w:pPr>
        <w:spacing w:after="0" w:line="360" w:lineRule="auto"/>
        <w:jc w:val="both"/>
        <w:rPr>
          <w:rFonts w:ascii="Arial" w:hAnsi="Arial" w:cs="Arial"/>
          <w:sz w:val="24"/>
          <w:szCs w:val="24"/>
        </w:rPr>
      </w:pPr>
      <w:r w:rsidRPr="00962C0C">
        <w:rPr>
          <w:rFonts w:ascii="Arial" w:hAnsi="Arial" w:cs="Arial"/>
          <w:sz w:val="24"/>
          <w:szCs w:val="24"/>
        </w:rPr>
        <w:t>A independência funcional de crianças e adolescentes diagnosticados com mucopolissacaridoses encontra-se comprometida. Na população estudada, foi observado necessidade de assistência, principalmente, para realização de atividades referentes ao autocuidado e cognição social. Tarefas relacionadas ao vestuário, utilização do vaso sanitário, banho, resolução de problemas e interação social foram as que demandaram maior assistência e/ou supervisão.</w:t>
      </w:r>
    </w:p>
    <w:p w:rsidR="003C2695" w:rsidRDefault="003C2695" w:rsidP="003C2695">
      <w:pPr>
        <w:tabs>
          <w:tab w:val="left" w:pos="2729"/>
        </w:tabs>
        <w:spacing w:after="0" w:line="360" w:lineRule="auto"/>
        <w:jc w:val="both"/>
        <w:rPr>
          <w:rFonts w:ascii="Arial" w:hAnsi="Arial" w:cs="Arial"/>
          <w:sz w:val="24"/>
        </w:rPr>
      </w:pPr>
    </w:p>
    <w:p w:rsidR="003C2695" w:rsidRDefault="003C2695" w:rsidP="003C2695">
      <w:pPr>
        <w:tabs>
          <w:tab w:val="left" w:pos="2729"/>
        </w:tabs>
        <w:spacing w:after="0" w:line="360" w:lineRule="auto"/>
        <w:jc w:val="both"/>
        <w:rPr>
          <w:rFonts w:ascii="Arial" w:hAnsi="Arial" w:cs="Arial"/>
          <w:sz w:val="24"/>
        </w:rPr>
      </w:pPr>
    </w:p>
    <w:p w:rsidR="00374865" w:rsidRDefault="00374865" w:rsidP="003C2695">
      <w:pPr>
        <w:tabs>
          <w:tab w:val="left" w:pos="2729"/>
        </w:tabs>
        <w:spacing w:after="0" w:line="360" w:lineRule="auto"/>
        <w:jc w:val="both"/>
        <w:rPr>
          <w:rFonts w:ascii="Arial" w:hAnsi="Arial" w:cs="Arial"/>
          <w:sz w:val="24"/>
        </w:rPr>
      </w:pPr>
    </w:p>
    <w:p w:rsidR="00374865" w:rsidRDefault="00374865" w:rsidP="003C2695">
      <w:pPr>
        <w:tabs>
          <w:tab w:val="left" w:pos="2729"/>
        </w:tabs>
        <w:spacing w:after="0" w:line="360" w:lineRule="auto"/>
        <w:jc w:val="both"/>
        <w:rPr>
          <w:rFonts w:ascii="Arial" w:hAnsi="Arial" w:cs="Arial"/>
          <w:sz w:val="24"/>
        </w:rPr>
      </w:pPr>
    </w:p>
    <w:p w:rsidR="00374865" w:rsidRDefault="00374865" w:rsidP="003C2695">
      <w:pPr>
        <w:tabs>
          <w:tab w:val="left" w:pos="2729"/>
        </w:tabs>
        <w:spacing w:after="0" w:line="360" w:lineRule="auto"/>
        <w:jc w:val="both"/>
        <w:rPr>
          <w:rFonts w:ascii="Arial" w:hAnsi="Arial" w:cs="Arial"/>
          <w:sz w:val="24"/>
        </w:rPr>
      </w:pPr>
    </w:p>
    <w:p w:rsidR="003C2695" w:rsidRPr="003C2695" w:rsidRDefault="003C2695" w:rsidP="003C2695">
      <w:pPr>
        <w:spacing w:after="0" w:line="360" w:lineRule="auto"/>
        <w:jc w:val="both"/>
        <w:rPr>
          <w:rFonts w:ascii="Arial" w:hAnsi="Arial" w:cs="Arial"/>
          <w:b/>
          <w:sz w:val="24"/>
          <w:lang w:val="en-US"/>
        </w:rPr>
      </w:pPr>
      <w:r w:rsidRPr="003C2695">
        <w:rPr>
          <w:rFonts w:ascii="Arial" w:hAnsi="Arial" w:cs="Arial"/>
          <w:b/>
          <w:sz w:val="24"/>
          <w:lang w:val="en-US"/>
        </w:rPr>
        <w:lastRenderedPageBreak/>
        <w:t>REFERÊNCIAS</w:t>
      </w:r>
    </w:p>
    <w:p w:rsidR="003C2695" w:rsidRPr="003C2695" w:rsidRDefault="003C2695" w:rsidP="003C2695">
      <w:pPr>
        <w:widowControl w:val="0"/>
        <w:autoSpaceDE w:val="0"/>
        <w:autoSpaceDN w:val="0"/>
        <w:adjustRightInd w:val="0"/>
        <w:spacing w:after="0" w:line="240" w:lineRule="auto"/>
        <w:ind w:left="641" w:hanging="641"/>
        <w:jc w:val="both"/>
        <w:rPr>
          <w:rFonts w:ascii="Arial" w:hAnsi="Arial" w:cs="Arial"/>
          <w:sz w:val="24"/>
          <w:szCs w:val="24"/>
          <w:shd w:val="clear" w:color="auto" w:fill="FFFFFF"/>
          <w:lang w:val="en-US"/>
        </w:rPr>
      </w:pPr>
      <w:r w:rsidRPr="003C2695">
        <w:rPr>
          <w:rFonts w:ascii="Arial" w:hAnsi="Arial" w:cs="Arial"/>
          <w:sz w:val="24"/>
          <w:szCs w:val="24"/>
        </w:rPr>
        <w:fldChar w:fldCharType="begin" w:fldLock="1"/>
      </w:r>
      <w:r w:rsidRPr="003C2695">
        <w:rPr>
          <w:rFonts w:ascii="Arial" w:hAnsi="Arial" w:cs="Arial"/>
          <w:sz w:val="24"/>
          <w:szCs w:val="24"/>
          <w:lang w:val="en-US"/>
        </w:rPr>
        <w:instrText xml:space="preserve">ADDIN Mendeley Bibliography CSL_BIBLIOGRAPHY </w:instrText>
      </w:r>
      <w:r w:rsidRPr="003C2695">
        <w:rPr>
          <w:rFonts w:ascii="Arial" w:hAnsi="Arial" w:cs="Arial"/>
          <w:sz w:val="24"/>
          <w:szCs w:val="24"/>
        </w:rPr>
        <w:fldChar w:fldCharType="separate"/>
      </w:r>
      <w:r w:rsidRPr="003C2695">
        <w:rPr>
          <w:rFonts w:ascii="Arial" w:hAnsi="Arial" w:cs="Arial"/>
          <w:noProof/>
          <w:sz w:val="24"/>
          <w:szCs w:val="24"/>
          <w:lang w:val="en-US"/>
        </w:rPr>
        <w:t xml:space="preserve">1. </w:t>
      </w:r>
      <w:r w:rsidRPr="003C2695">
        <w:rPr>
          <w:rFonts w:ascii="Arial" w:hAnsi="Arial" w:cs="Arial"/>
          <w:noProof/>
          <w:sz w:val="24"/>
          <w:szCs w:val="24"/>
          <w:lang w:val="en-US"/>
        </w:rPr>
        <w:tab/>
        <w:t xml:space="preserve">Muenzer J. Overview of the mucopolysaccharidoses. Rheumatology (Oxford). 2011;50(Suppl. 5):4–12. DOI: </w:t>
      </w:r>
      <w:r w:rsidRPr="003C2695">
        <w:rPr>
          <w:rFonts w:ascii="Arial" w:hAnsi="Arial" w:cs="Arial"/>
          <w:sz w:val="24"/>
          <w:szCs w:val="24"/>
          <w:shd w:val="clear" w:color="auto" w:fill="FFFFFF"/>
          <w:lang w:val="en-US"/>
        </w:rPr>
        <w:t>10.1093/rheumatology/ker394.</w:t>
      </w:r>
    </w:p>
    <w:p w:rsidR="003C2695" w:rsidRPr="003C2695" w:rsidRDefault="003C2695" w:rsidP="003C2695">
      <w:pPr>
        <w:widowControl w:val="0"/>
        <w:autoSpaceDE w:val="0"/>
        <w:autoSpaceDN w:val="0"/>
        <w:adjustRightInd w:val="0"/>
        <w:spacing w:after="0" w:line="240" w:lineRule="auto"/>
        <w:ind w:left="641" w:hanging="641"/>
        <w:jc w:val="both"/>
        <w:rPr>
          <w:rFonts w:ascii="Arial" w:hAnsi="Arial" w:cs="Arial"/>
          <w:noProof/>
          <w:sz w:val="24"/>
          <w:szCs w:val="24"/>
          <w:lang w:val="en-US"/>
        </w:rPr>
      </w:pPr>
    </w:p>
    <w:p w:rsidR="003C2695" w:rsidRPr="003C2695" w:rsidRDefault="003C2695" w:rsidP="003C2695">
      <w:pPr>
        <w:widowControl w:val="0"/>
        <w:autoSpaceDE w:val="0"/>
        <w:autoSpaceDN w:val="0"/>
        <w:adjustRightInd w:val="0"/>
        <w:spacing w:after="0" w:line="240" w:lineRule="auto"/>
        <w:ind w:left="641" w:hanging="641"/>
        <w:jc w:val="both"/>
        <w:rPr>
          <w:rFonts w:ascii="Arial" w:hAnsi="Arial" w:cs="Arial"/>
          <w:sz w:val="24"/>
          <w:szCs w:val="24"/>
          <w:shd w:val="clear" w:color="auto" w:fill="FFFFFF"/>
          <w:lang w:val="en-US"/>
        </w:rPr>
      </w:pPr>
      <w:r w:rsidRPr="003C2695">
        <w:rPr>
          <w:rFonts w:ascii="Arial" w:hAnsi="Arial" w:cs="Arial"/>
          <w:noProof/>
          <w:sz w:val="24"/>
          <w:szCs w:val="24"/>
          <w:lang w:val="en-US"/>
        </w:rPr>
        <w:t xml:space="preserve">2. </w:t>
      </w:r>
      <w:r w:rsidRPr="003C2695">
        <w:rPr>
          <w:rFonts w:ascii="Arial" w:hAnsi="Arial" w:cs="Arial"/>
          <w:noProof/>
          <w:sz w:val="24"/>
          <w:szCs w:val="24"/>
          <w:lang w:val="en-US"/>
        </w:rPr>
        <w:tab/>
        <w:t xml:space="preserve">Brands MM, Güngör D, van den Hout JM, Karstens FP, Oussoren E, Plug I, et al. Pain: a prevalent feature in patients with mucopolysaccharidosis. Results of a cross-sectional national survey. J Inherit Metab Dis. 2015;38(2):323–31. DOI: </w:t>
      </w:r>
      <w:r w:rsidRPr="003C2695">
        <w:rPr>
          <w:rFonts w:ascii="Arial" w:hAnsi="Arial" w:cs="Arial"/>
          <w:sz w:val="24"/>
          <w:szCs w:val="24"/>
          <w:shd w:val="clear" w:color="auto" w:fill="FFFFFF"/>
          <w:lang w:val="en-US"/>
        </w:rPr>
        <w:t>10.1007/s10545-014-9737-0.</w:t>
      </w:r>
    </w:p>
    <w:p w:rsidR="003C2695" w:rsidRPr="003C2695" w:rsidRDefault="003C2695" w:rsidP="003C2695">
      <w:pPr>
        <w:widowControl w:val="0"/>
        <w:autoSpaceDE w:val="0"/>
        <w:autoSpaceDN w:val="0"/>
        <w:adjustRightInd w:val="0"/>
        <w:spacing w:after="0" w:line="240" w:lineRule="auto"/>
        <w:ind w:left="641" w:hanging="641"/>
        <w:jc w:val="both"/>
        <w:rPr>
          <w:rFonts w:ascii="Arial" w:hAnsi="Arial" w:cs="Arial"/>
          <w:noProof/>
          <w:sz w:val="24"/>
          <w:szCs w:val="24"/>
          <w:lang w:val="en-US"/>
        </w:rPr>
      </w:pPr>
    </w:p>
    <w:p w:rsidR="003C2695" w:rsidRDefault="003C2695" w:rsidP="003C2695">
      <w:pPr>
        <w:widowControl w:val="0"/>
        <w:autoSpaceDE w:val="0"/>
        <w:autoSpaceDN w:val="0"/>
        <w:adjustRightInd w:val="0"/>
        <w:spacing w:after="0" w:line="240" w:lineRule="auto"/>
        <w:ind w:left="641" w:hanging="641"/>
        <w:jc w:val="both"/>
        <w:rPr>
          <w:rFonts w:ascii="Arial" w:hAnsi="Arial" w:cs="Arial"/>
          <w:sz w:val="24"/>
          <w:szCs w:val="24"/>
          <w:shd w:val="clear" w:color="auto" w:fill="FFFFFF"/>
          <w:lang w:val="en-US"/>
        </w:rPr>
      </w:pPr>
      <w:r w:rsidRPr="003C2695">
        <w:rPr>
          <w:rFonts w:ascii="Arial" w:hAnsi="Arial" w:cs="Arial"/>
          <w:noProof/>
          <w:sz w:val="24"/>
          <w:szCs w:val="24"/>
          <w:lang w:val="en-US"/>
        </w:rPr>
        <w:t xml:space="preserve">3. </w:t>
      </w:r>
      <w:r w:rsidRPr="003C2695">
        <w:rPr>
          <w:rFonts w:ascii="Arial" w:hAnsi="Arial" w:cs="Arial"/>
          <w:noProof/>
          <w:sz w:val="24"/>
          <w:szCs w:val="24"/>
          <w:lang w:val="en-US"/>
        </w:rPr>
        <w:tab/>
        <w:t xml:space="preserve">Guffon N, Heron B, Chabrol B, Feillet F, Montauban V, Valayannopoulos V. Diagnosis, quality of life, and treatment of patients with Hunter syndrome in the French healthcare system: a retrospective observational study. Orphanet J Rare Dis. 2015;10(43):1–13. DOI: </w:t>
      </w:r>
      <w:r w:rsidRPr="003C2695">
        <w:rPr>
          <w:rFonts w:ascii="Arial" w:hAnsi="Arial" w:cs="Arial"/>
          <w:sz w:val="24"/>
          <w:szCs w:val="24"/>
          <w:shd w:val="clear" w:color="auto" w:fill="FFFFFF"/>
          <w:lang w:val="en-US"/>
        </w:rPr>
        <w:t>10.1186/s13023-015-0259-0. </w:t>
      </w:r>
    </w:p>
    <w:p w:rsidR="00C858DD" w:rsidRPr="003C2695" w:rsidRDefault="00C858DD" w:rsidP="003C2695">
      <w:pPr>
        <w:widowControl w:val="0"/>
        <w:autoSpaceDE w:val="0"/>
        <w:autoSpaceDN w:val="0"/>
        <w:adjustRightInd w:val="0"/>
        <w:spacing w:after="0" w:line="240" w:lineRule="auto"/>
        <w:ind w:left="641" w:hanging="641"/>
        <w:jc w:val="both"/>
        <w:rPr>
          <w:rFonts w:ascii="Arial" w:hAnsi="Arial" w:cs="Arial"/>
          <w:noProof/>
          <w:sz w:val="24"/>
          <w:szCs w:val="24"/>
          <w:lang w:val="en-US"/>
        </w:rPr>
      </w:pPr>
    </w:p>
    <w:p w:rsidR="003C2695" w:rsidRPr="003C2695" w:rsidRDefault="003C2695" w:rsidP="003C2695">
      <w:pPr>
        <w:widowControl w:val="0"/>
        <w:autoSpaceDE w:val="0"/>
        <w:autoSpaceDN w:val="0"/>
        <w:adjustRightInd w:val="0"/>
        <w:spacing w:after="0" w:line="240" w:lineRule="auto"/>
        <w:ind w:left="641" w:hanging="641"/>
        <w:jc w:val="both"/>
        <w:rPr>
          <w:rFonts w:ascii="Arial" w:hAnsi="Arial" w:cs="Arial"/>
          <w:noProof/>
          <w:sz w:val="24"/>
          <w:szCs w:val="24"/>
          <w:lang w:val="en-US"/>
        </w:rPr>
      </w:pPr>
      <w:r w:rsidRPr="003C2695">
        <w:rPr>
          <w:rFonts w:ascii="Arial" w:hAnsi="Arial" w:cs="Arial"/>
          <w:noProof/>
          <w:sz w:val="24"/>
          <w:szCs w:val="24"/>
          <w:lang w:val="en-US"/>
        </w:rPr>
        <w:t xml:space="preserve">4. </w:t>
      </w:r>
      <w:r w:rsidRPr="003C2695">
        <w:rPr>
          <w:rFonts w:ascii="Arial" w:hAnsi="Arial" w:cs="Arial"/>
          <w:noProof/>
          <w:sz w:val="24"/>
          <w:szCs w:val="24"/>
          <w:lang w:val="en-US"/>
        </w:rPr>
        <w:tab/>
        <w:t xml:space="preserve">Chan MO, Sen ES, Hardy E, Hensman P, Wraith E, Jones S, et al. Assessment of musculoskeletal abnormalities in children with mucopolysaccharidoses using pGALS. Pediatr Rheumatol Online J. 2014;12(32):1–9. DOI: </w:t>
      </w:r>
      <w:r w:rsidRPr="003C2695">
        <w:rPr>
          <w:rFonts w:ascii="Arial" w:hAnsi="Arial" w:cs="Arial"/>
          <w:sz w:val="24"/>
          <w:szCs w:val="24"/>
          <w:shd w:val="clear" w:color="auto" w:fill="FFFFFF"/>
          <w:lang w:val="en-US"/>
        </w:rPr>
        <w:t>10.1186/1546-0096-12-32.</w:t>
      </w:r>
    </w:p>
    <w:p w:rsidR="003C2695" w:rsidRPr="003C2695" w:rsidRDefault="003C2695" w:rsidP="003C2695">
      <w:pPr>
        <w:widowControl w:val="0"/>
        <w:autoSpaceDE w:val="0"/>
        <w:autoSpaceDN w:val="0"/>
        <w:adjustRightInd w:val="0"/>
        <w:spacing w:after="0" w:line="240" w:lineRule="auto"/>
        <w:ind w:left="640" w:hanging="640"/>
        <w:jc w:val="both"/>
        <w:rPr>
          <w:rFonts w:ascii="Arial" w:hAnsi="Arial" w:cs="Arial"/>
          <w:noProof/>
          <w:sz w:val="24"/>
          <w:szCs w:val="24"/>
          <w:lang w:val="en-US"/>
        </w:rPr>
      </w:pPr>
    </w:p>
    <w:p w:rsidR="003C2695" w:rsidRPr="003C2695" w:rsidRDefault="003C2695" w:rsidP="003C2695">
      <w:pPr>
        <w:widowControl w:val="0"/>
        <w:autoSpaceDE w:val="0"/>
        <w:autoSpaceDN w:val="0"/>
        <w:adjustRightInd w:val="0"/>
        <w:spacing w:after="0" w:line="240" w:lineRule="auto"/>
        <w:ind w:left="641" w:hanging="641"/>
        <w:jc w:val="both"/>
        <w:rPr>
          <w:rFonts w:ascii="Arial" w:hAnsi="Arial" w:cs="Arial"/>
          <w:noProof/>
          <w:sz w:val="24"/>
          <w:szCs w:val="24"/>
          <w:lang w:val="en-US"/>
        </w:rPr>
      </w:pPr>
      <w:r w:rsidRPr="003C2695">
        <w:rPr>
          <w:rFonts w:ascii="Arial" w:hAnsi="Arial" w:cs="Arial"/>
          <w:noProof/>
          <w:sz w:val="24"/>
          <w:szCs w:val="24"/>
          <w:lang w:val="en-US"/>
        </w:rPr>
        <w:t xml:space="preserve">5. </w:t>
      </w:r>
      <w:r w:rsidRPr="003C2695">
        <w:rPr>
          <w:rFonts w:ascii="Arial" w:hAnsi="Arial" w:cs="Arial"/>
          <w:noProof/>
          <w:sz w:val="24"/>
          <w:szCs w:val="24"/>
          <w:lang w:val="en-US"/>
        </w:rPr>
        <w:tab/>
        <w:t xml:space="preserve">Lehman TJ, Miller N, Norquist B, Underhill L, Keutzer J. Diagnosis of the mucopolysaccharidoses. Rheumatology (Oxford). 2011;50(Suppl. 5):41–8. DOI: </w:t>
      </w:r>
      <w:r w:rsidRPr="003C2695">
        <w:rPr>
          <w:rFonts w:ascii="Arial" w:hAnsi="Arial" w:cs="Arial"/>
          <w:sz w:val="24"/>
          <w:szCs w:val="24"/>
          <w:shd w:val="clear" w:color="auto" w:fill="FFFFFF"/>
          <w:lang w:val="en-US"/>
        </w:rPr>
        <w:t>10.1093/rheumatology/ker390.</w:t>
      </w:r>
      <w:r w:rsidRPr="003C2695">
        <w:rPr>
          <w:rFonts w:ascii="Arial" w:hAnsi="Arial" w:cs="Arial"/>
          <w:noProof/>
          <w:sz w:val="24"/>
          <w:szCs w:val="24"/>
          <w:lang w:val="en-US"/>
        </w:rPr>
        <w:t xml:space="preserve"> </w:t>
      </w:r>
    </w:p>
    <w:p w:rsidR="003C2695" w:rsidRPr="003C2695" w:rsidRDefault="003C2695" w:rsidP="003C2695">
      <w:pPr>
        <w:widowControl w:val="0"/>
        <w:autoSpaceDE w:val="0"/>
        <w:autoSpaceDN w:val="0"/>
        <w:adjustRightInd w:val="0"/>
        <w:spacing w:after="0" w:line="240" w:lineRule="auto"/>
        <w:ind w:left="640" w:hanging="640"/>
        <w:jc w:val="both"/>
        <w:rPr>
          <w:rFonts w:ascii="Arial" w:hAnsi="Arial" w:cs="Arial"/>
          <w:noProof/>
          <w:sz w:val="24"/>
          <w:szCs w:val="24"/>
          <w:lang w:val="en-US"/>
        </w:rPr>
      </w:pPr>
    </w:p>
    <w:p w:rsidR="003C2695" w:rsidRPr="003C2695" w:rsidRDefault="003C2695" w:rsidP="003C2695">
      <w:pPr>
        <w:widowControl w:val="0"/>
        <w:autoSpaceDE w:val="0"/>
        <w:autoSpaceDN w:val="0"/>
        <w:adjustRightInd w:val="0"/>
        <w:spacing w:after="0" w:line="240" w:lineRule="auto"/>
        <w:ind w:left="641" w:hanging="641"/>
        <w:jc w:val="both"/>
        <w:rPr>
          <w:rFonts w:ascii="Arial" w:hAnsi="Arial" w:cs="Arial"/>
          <w:noProof/>
          <w:sz w:val="24"/>
          <w:szCs w:val="24"/>
          <w:lang w:val="en-US"/>
        </w:rPr>
      </w:pPr>
      <w:r w:rsidRPr="003C2695">
        <w:rPr>
          <w:rFonts w:ascii="Arial" w:hAnsi="Arial" w:cs="Arial"/>
          <w:noProof/>
          <w:sz w:val="24"/>
          <w:szCs w:val="24"/>
          <w:lang w:val="en-US"/>
        </w:rPr>
        <w:t xml:space="preserve">6. </w:t>
      </w:r>
      <w:r w:rsidRPr="003C2695">
        <w:rPr>
          <w:rFonts w:ascii="Arial" w:hAnsi="Arial" w:cs="Arial"/>
          <w:noProof/>
          <w:sz w:val="24"/>
          <w:szCs w:val="24"/>
          <w:lang w:val="en-US"/>
        </w:rPr>
        <w:tab/>
        <w:t>White KK. Orthopaedic aspects of mucopolysaccharidoses. Rheumatology (Oxford). 2011;50(Suppl. 5):26–33. DOI</w:t>
      </w:r>
      <w:r w:rsidRPr="003C2695">
        <w:rPr>
          <w:rFonts w:ascii="Arial" w:hAnsi="Arial" w:cs="Arial"/>
          <w:sz w:val="24"/>
          <w:szCs w:val="24"/>
          <w:shd w:val="clear" w:color="auto" w:fill="FFFFFF"/>
          <w:lang w:val="en-US"/>
        </w:rPr>
        <w:t>: 10.1093/rheumatology/ker393.</w:t>
      </w:r>
      <w:r w:rsidRPr="003C2695">
        <w:rPr>
          <w:rFonts w:ascii="Arial" w:hAnsi="Arial" w:cs="Arial"/>
          <w:noProof/>
          <w:sz w:val="24"/>
          <w:szCs w:val="24"/>
          <w:lang w:val="en-US"/>
        </w:rPr>
        <w:t xml:space="preserve"> </w:t>
      </w:r>
    </w:p>
    <w:p w:rsidR="003C2695" w:rsidRPr="003C2695" w:rsidRDefault="003C2695" w:rsidP="003C2695">
      <w:pPr>
        <w:widowControl w:val="0"/>
        <w:autoSpaceDE w:val="0"/>
        <w:autoSpaceDN w:val="0"/>
        <w:adjustRightInd w:val="0"/>
        <w:spacing w:after="0" w:line="240" w:lineRule="auto"/>
        <w:ind w:left="640" w:hanging="640"/>
        <w:jc w:val="both"/>
        <w:rPr>
          <w:rFonts w:ascii="Arial" w:hAnsi="Arial" w:cs="Arial"/>
          <w:noProof/>
          <w:sz w:val="24"/>
          <w:szCs w:val="24"/>
          <w:lang w:val="en-US"/>
        </w:rPr>
      </w:pPr>
    </w:p>
    <w:p w:rsidR="003C2695" w:rsidRDefault="003C2695" w:rsidP="003C2695">
      <w:pPr>
        <w:widowControl w:val="0"/>
        <w:autoSpaceDE w:val="0"/>
        <w:autoSpaceDN w:val="0"/>
        <w:adjustRightInd w:val="0"/>
        <w:spacing w:after="0" w:line="240" w:lineRule="auto"/>
        <w:ind w:left="641" w:hanging="641"/>
        <w:jc w:val="both"/>
        <w:rPr>
          <w:rFonts w:ascii="Arial" w:hAnsi="Arial" w:cs="Arial"/>
          <w:noProof/>
          <w:sz w:val="24"/>
          <w:szCs w:val="24"/>
          <w:lang w:val="en-US"/>
        </w:rPr>
      </w:pPr>
      <w:r w:rsidRPr="003C2695">
        <w:rPr>
          <w:rFonts w:ascii="Arial" w:hAnsi="Arial" w:cs="Arial"/>
          <w:noProof/>
          <w:sz w:val="24"/>
          <w:szCs w:val="24"/>
        </w:rPr>
        <w:t xml:space="preserve">7. </w:t>
      </w:r>
      <w:r w:rsidRPr="003C2695">
        <w:rPr>
          <w:rFonts w:ascii="Arial" w:hAnsi="Arial" w:cs="Arial"/>
          <w:noProof/>
          <w:sz w:val="24"/>
          <w:szCs w:val="24"/>
        </w:rPr>
        <w:tab/>
        <w:t xml:space="preserve">Giugliani R, Federhen A, Rojas MV, Vieira TA, Artigalás O, Pinto LL, et al. </w:t>
      </w:r>
      <w:r w:rsidRPr="003C2695">
        <w:rPr>
          <w:rFonts w:ascii="Arial" w:hAnsi="Arial" w:cs="Arial"/>
          <w:noProof/>
          <w:sz w:val="24"/>
          <w:szCs w:val="24"/>
          <w:lang w:val="en-US"/>
        </w:rPr>
        <w:t xml:space="preserve">Mucopolysaccharidosis I, II, and VI: brief review and guidelines for treatment. Genet Mol Biol. 2010;33(4):589–604. DOI: 10.1590/S1415-47572010005000093. </w:t>
      </w:r>
    </w:p>
    <w:p w:rsidR="00C858DD" w:rsidRPr="003C2695" w:rsidRDefault="00C858DD" w:rsidP="003C2695">
      <w:pPr>
        <w:widowControl w:val="0"/>
        <w:autoSpaceDE w:val="0"/>
        <w:autoSpaceDN w:val="0"/>
        <w:adjustRightInd w:val="0"/>
        <w:spacing w:after="0" w:line="240" w:lineRule="auto"/>
        <w:ind w:left="641" w:hanging="641"/>
        <w:jc w:val="both"/>
        <w:rPr>
          <w:rFonts w:ascii="Arial" w:hAnsi="Arial" w:cs="Arial"/>
          <w:noProof/>
          <w:sz w:val="24"/>
          <w:szCs w:val="24"/>
          <w:lang w:val="en-US"/>
        </w:rPr>
      </w:pPr>
    </w:p>
    <w:p w:rsidR="003C2695" w:rsidRPr="003C2695" w:rsidRDefault="003C2695" w:rsidP="003C2695">
      <w:pPr>
        <w:widowControl w:val="0"/>
        <w:autoSpaceDE w:val="0"/>
        <w:autoSpaceDN w:val="0"/>
        <w:adjustRightInd w:val="0"/>
        <w:spacing w:after="0" w:line="240" w:lineRule="auto"/>
        <w:ind w:left="641" w:hanging="641"/>
        <w:jc w:val="both"/>
        <w:rPr>
          <w:rFonts w:ascii="Arial" w:hAnsi="Arial" w:cs="Arial"/>
          <w:noProof/>
          <w:sz w:val="24"/>
          <w:szCs w:val="24"/>
        </w:rPr>
      </w:pPr>
      <w:r w:rsidRPr="003C2695">
        <w:rPr>
          <w:rFonts w:ascii="Arial" w:hAnsi="Arial" w:cs="Arial"/>
          <w:noProof/>
          <w:sz w:val="24"/>
          <w:szCs w:val="24"/>
          <w:lang w:val="en-US"/>
        </w:rPr>
        <w:t xml:space="preserve">8. </w:t>
      </w:r>
      <w:r w:rsidRPr="003C2695">
        <w:rPr>
          <w:rFonts w:ascii="Arial" w:hAnsi="Arial" w:cs="Arial"/>
          <w:noProof/>
          <w:sz w:val="24"/>
          <w:szCs w:val="24"/>
          <w:lang w:val="en-US"/>
        </w:rPr>
        <w:tab/>
        <w:t xml:space="preserve">Ru MH, Teunissen QG, van der Lee JH, Beck M, Bodamer OA, Clarke LA, et al. Capturing phenotypic heterogeneity in MPS I: results of an international consensus procedure. </w:t>
      </w:r>
      <w:r w:rsidRPr="003C2695">
        <w:rPr>
          <w:rFonts w:ascii="Arial" w:hAnsi="Arial" w:cs="Arial"/>
          <w:noProof/>
          <w:sz w:val="24"/>
          <w:szCs w:val="24"/>
        </w:rPr>
        <w:t xml:space="preserve">Orphanet J Rare Dis. 2012;7(1):22. DOI: </w:t>
      </w:r>
      <w:r w:rsidRPr="003C2695">
        <w:rPr>
          <w:rFonts w:ascii="Arial" w:hAnsi="Arial" w:cs="Arial"/>
          <w:sz w:val="24"/>
          <w:szCs w:val="24"/>
          <w:shd w:val="clear" w:color="auto" w:fill="FFFFFF"/>
        </w:rPr>
        <w:t>10.1186/1750-1172-7-22.</w:t>
      </w:r>
    </w:p>
    <w:p w:rsidR="003C2695" w:rsidRPr="003C2695" w:rsidRDefault="003C2695" w:rsidP="003C2695">
      <w:pPr>
        <w:widowControl w:val="0"/>
        <w:autoSpaceDE w:val="0"/>
        <w:autoSpaceDN w:val="0"/>
        <w:adjustRightInd w:val="0"/>
        <w:spacing w:after="0" w:line="240" w:lineRule="auto"/>
        <w:ind w:left="640" w:hanging="640"/>
        <w:jc w:val="both"/>
        <w:rPr>
          <w:rFonts w:ascii="Arial" w:hAnsi="Arial" w:cs="Arial"/>
          <w:noProof/>
          <w:sz w:val="24"/>
          <w:szCs w:val="24"/>
        </w:rPr>
      </w:pPr>
    </w:p>
    <w:p w:rsidR="003C2695" w:rsidRPr="003C2695" w:rsidRDefault="003C2695" w:rsidP="003C2695">
      <w:pPr>
        <w:widowControl w:val="0"/>
        <w:autoSpaceDE w:val="0"/>
        <w:autoSpaceDN w:val="0"/>
        <w:adjustRightInd w:val="0"/>
        <w:spacing w:after="0" w:line="240" w:lineRule="auto"/>
        <w:ind w:left="641" w:hanging="641"/>
        <w:jc w:val="both"/>
        <w:rPr>
          <w:rFonts w:ascii="Arial" w:hAnsi="Arial" w:cs="Arial"/>
          <w:noProof/>
          <w:sz w:val="24"/>
          <w:szCs w:val="24"/>
        </w:rPr>
      </w:pPr>
      <w:r w:rsidRPr="003C2695">
        <w:rPr>
          <w:rFonts w:ascii="Arial" w:hAnsi="Arial" w:cs="Arial"/>
          <w:noProof/>
          <w:sz w:val="24"/>
          <w:szCs w:val="24"/>
        </w:rPr>
        <w:t xml:space="preserve">9. </w:t>
      </w:r>
      <w:r w:rsidRPr="003C2695">
        <w:rPr>
          <w:rFonts w:ascii="Arial" w:hAnsi="Arial" w:cs="Arial"/>
          <w:noProof/>
          <w:sz w:val="24"/>
          <w:szCs w:val="24"/>
        </w:rPr>
        <w:tab/>
        <w:t xml:space="preserve">Peck SH, Casal ML, Malhotra NR, Ficicioglu C, Smith LJ. </w:t>
      </w:r>
      <w:r w:rsidRPr="003C2695">
        <w:rPr>
          <w:rFonts w:ascii="Arial" w:hAnsi="Arial" w:cs="Arial"/>
          <w:noProof/>
          <w:sz w:val="24"/>
          <w:szCs w:val="24"/>
          <w:lang w:val="en-US"/>
        </w:rPr>
        <w:t xml:space="preserve">Pathogenesis and treatment of spine disease in the mucopolysaccharidoses. </w:t>
      </w:r>
      <w:r w:rsidRPr="003C2695">
        <w:rPr>
          <w:rFonts w:ascii="Arial" w:hAnsi="Arial" w:cs="Arial"/>
          <w:noProof/>
          <w:sz w:val="24"/>
          <w:szCs w:val="24"/>
        </w:rPr>
        <w:t xml:space="preserve">Mol Genet Metab. 2016;118(4):232–43. DOI: </w:t>
      </w:r>
      <w:hyperlink r:id="rId77" w:history="1">
        <w:r w:rsidRPr="003C2695">
          <w:rPr>
            <w:rStyle w:val="Hyperlink"/>
            <w:rFonts w:ascii="Arial" w:hAnsi="Arial" w:cs="Arial"/>
            <w:color w:val="auto"/>
            <w:sz w:val="24"/>
            <w:szCs w:val="24"/>
            <w:u w:val="none"/>
            <w:shd w:val="clear" w:color="auto" w:fill="FFFFFF"/>
          </w:rPr>
          <w:t>10.1016/j.ymgme.2016.06.002</w:t>
        </w:r>
      </w:hyperlink>
      <w:r w:rsidRPr="003C2695">
        <w:rPr>
          <w:rFonts w:ascii="Arial" w:hAnsi="Arial" w:cs="Arial"/>
          <w:sz w:val="24"/>
          <w:szCs w:val="24"/>
        </w:rPr>
        <w:t>.</w:t>
      </w:r>
    </w:p>
    <w:p w:rsidR="003C2695" w:rsidRPr="003C2695" w:rsidRDefault="003C2695" w:rsidP="003C2695">
      <w:pPr>
        <w:widowControl w:val="0"/>
        <w:autoSpaceDE w:val="0"/>
        <w:autoSpaceDN w:val="0"/>
        <w:adjustRightInd w:val="0"/>
        <w:spacing w:after="0" w:line="240" w:lineRule="auto"/>
        <w:ind w:left="640" w:hanging="640"/>
        <w:jc w:val="both"/>
        <w:rPr>
          <w:rFonts w:ascii="Arial" w:hAnsi="Arial" w:cs="Arial"/>
          <w:noProof/>
          <w:sz w:val="24"/>
          <w:szCs w:val="24"/>
        </w:rPr>
      </w:pPr>
    </w:p>
    <w:p w:rsidR="003C2695" w:rsidRPr="003C2695" w:rsidRDefault="003C2695" w:rsidP="003C2695">
      <w:pPr>
        <w:widowControl w:val="0"/>
        <w:autoSpaceDE w:val="0"/>
        <w:autoSpaceDN w:val="0"/>
        <w:adjustRightInd w:val="0"/>
        <w:spacing w:after="0" w:line="240" w:lineRule="auto"/>
        <w:ind w:left="641" w:hanging="641"/>
        <w:jc w:val="both"/>
        <w:rPr>
          <w:rFonts w:ascii="Arial" w:hAnsi="Arial" w:cs="Arial"/>
          <w:noProof/>
          <w:sz w:val="24"/>
          <w:szCs w:val="24"/>
        </w:rPr>
      </w:pPr>
      <w:r w:rsidRPr="003C2695">
        <w:rPr>
          <w:rFonts w:ascii="Arial" w:hAnsi="Arial" w:cs="Arial"/>
          <w:noProof/>
          <w:sz w:val="24"/>
          <w:szCs w:val="24"/>
        </w:rPr>
        <w:t xml:space="preserve">10. </w:t>
      </w:r>
      <w:r w:rsidRPr="003C2695">
        <w:rPr>
          <w:rFonts w:ascii="Arial" w:hAnsi="Arial" w:cs="Arial"/>
          <w:noProof/>
          <w:sz w:val="24"/>
          <w:szCs w:val="24"/>
        </w:rPr>
        <w:tab/>
        <w:t xml:space="preserve">Matos MA, Prado A, Schenkel G, Barreto R, Acosta AX. </w:t>
      </w:r>
      <w:r w:rsidRPr="003C2695">
        <w:rPr>
          <w:rFonts w:ascii="Arial" w:hAnsi="Arial" w:cs="Arial"/>
          <w:noProof/>
          <w:sz w:val="24"/>
          <w:szCs w:val="24"/>
          <w:lang w:val="en-US"/>
        </w:rPr>
        <w:t xml:space="preserve">Energy expenditure during gait in patients with mucopolysaccharidosis. </w:t>
      </w:r>
      <w:r w:rsidRPr="003C2695">
        <w:rPr>
          <w:rFonts w:ascii="Arial" w:hAnsi="Arial" w:cs="Arial"/>
          <w:noProof/>
          <w:sz w:val="24"/>
          <w:szCs w:val="24"/>
        </w:rPr>
        <w:t xml:space="preserve">Acta Ortop Bras. 2013;21(2):116–9. DOI: </w:t>
      </w:r>
      <w:hyperlink r:id="rId78" w:tgtFrame="pmc_ext" w:history="1">
        <w:r w:rsidRPr="003C2695">
          <w:rPr>
            <w:rStyle w:val="Hyperlink"/>
            <w:rFonts w:ascii="Arial" w:hAnsi="Arial" w:cs="Arial"/>
            <w:color w:val="auto"/>
            <w:sz w:val="24"/>
            <w:szCs w:val="24"/>
            <w:u w:val="none"/>
            <w:shd w:val="clear" w:color="auto" w:fill="FFFFFF"/>
          </w:rPr>
          <w:t>10.1590/S1413-78522013000200009</w:t>
        </w:r>
      </w:hyperlink>
      <w:r w:rsidRPr="003C2695">
        <w:rPr>
          <w:rFonts w:ascii="Arial" w:hAnsi="Arial" w:cs="Arial"/>
          <w:sz w:val="24"/>
          <w:szCs w:val="24"/>
        </w:rPr>
        <w:t>.</w:t>
      </w:r>
      <w:r w:rsidRPr="003C2695">
        <w:rPr>
          <w:rFonts w:ascii="Arial" w:hAnsi="Arial" w:cs="Arial"/>
          <w:noProof/>
          <w:sz w:val="24"/>
          <w:szCs w:val="24"/>
        </w:rPr>
        <w:t xml:space="preserve"> </w:t>
      </w:r>
    </w:p>
    <w:p w:rsidR="003C2695" w:rsidRPr="003C2695" w:rsidRDefault="003C2695" w:rsidP="003C2695">
      <w:pPr>
        <w:widowControl w:val="0"/>
        <w:autoSpaceDE w:val="0"/>
        <w:autoSpaceDN w:val="0"/>
        <w:adjustRightInd w:val="0"/>
        <w:spacing w:after="0" w:line="240" w:lineRule="auto"/>
        <w:ind w:left="641" w:hanging="641"/>
        <w:jc w:val="both"/>
        <w:rPr>
          <w:rFonts w:ascii="Arial" w:hAnsi="Arial" w:cs="Arial"/>
          <w:noProof/>
          <w:sz w:val="24"/>
          <w:szCs w:val="24"/>
        </w:rPr>
      </w:pPr>
    </w:p>
    <w:p w:rsidR="003C2695" w:rsidRPr="003C2695" w:rsidRDefault="003C2695" w:rsidP="003C2695">
      <w:pPr>
        <w:widowControl w:val="0"/>
        <w:autoSpaceDE w:val="0"/>
        <w:autoSpaceDN w:val="0"/>
        <w:adjustRightInd w:val="0"/>
        <w:spacing w:after="0" w:line="240" w:lineRule="auto"/>
        <w:ind w:left="641" w:hanging="641"/>
        <w:jc w:val="both"/>
        <w:rPr>
          <w:rFonts w:ascii="Arial" w:hAnsi="Arial" w:cs="Arial"/>
          <w:noProof/>
          <w:sz w:val="24"/>
          <w:szCs w:val="24"/>
          <w:lang w:val="en-US"/>
        </w:rPr>
      </w:pPr>
      <w:r w:rsidRPr="003C2695">
        <w:rPr>
          <w:rFonts w:ascii="Arial" w:hAnsi="Arial" w:cs="Arial"/>
          <w:noProof/>
          <w:sz w:val="24"/>
          <w:szCs w:val="24"/>
        </w:rPr>
        <w:t xml:space="preserve">11. </w:t>
      </w:r>
      <w:r w:rsidRPr="003C2695">
        <w:rPr>
          <w:rFonts w:ascii="Arial" w:hAnsi="Arial" w:cs="Arial"/>
          <w:noProof/>
          <w:sz w:val="24"/>
          <w:szCs w:val="24"/>
        </w:rPr>
        <w:tab/>
        <w:t xml:space="preserve">Kato T, Kato Z, Kuratsubo I, Ota T, Orii T, Kondo N, et al. </w:t>
      </w:r>
      <w:r w:rsidRPr="003C2695">
        <w:rPr>
          <w:rFonts w:ascii="Arial" w:hAnsi="Arial" w:cs="Arial"/>
          <w:noProof/>
          <w:sz w:val="24"/>
          <w:szCs w:val="24"/>
          <w:lang w:val="en-US"/>
        </w:rPr>
        <w:t xml:space="preserve">Evaluation of ADL in patients with Hunter disease using FIM score. Brain Dev. 2007;29(5):298–305. DOI: </w:t>
      </w:r>
      <w:hyperlink r:id="rId79" w:history="1">
        <w:r w:rsidRPr="003C2695">
          <w:rPr>
            <w:rStyle w:val="Hyperlink"/>
            <w:rFonts w:ascii="Arial" w:hAnsi="Arial" w:cs="Arial"/>
            <w:color w:val="auto"/>
            <w:sz w:val="24"/>
            <w:szCs w:val="24"/>
            <w:u w:val="none"/>
            <w:shd w:val="clear" w:color="auto" w:fill="FFFFFF"/>
            <w:lang w:val="en-US"/>
          </w:rPr>
          <w:t>10.1016/j.braindev.2006.08.015</w:t>
        </w:r>
      </w:hyperlink>
      <w:r w:rsidRPr="003C2695">
        <w:rPr>
          <w:rFonts w:ascii="Arial" w:hAnsi="Arial" w:cs="Arial"/>
          <w:noProof/>
          <w:sz w:val="24"/>
          <w:szCs w:val="24"/>
          <w:lang w:val="en-US"/>
        </w:rPr>
        <w:t xml:space="preserve">. </w:t>
      </w:r>
    </w:p>
    <w:p w:rsidR="003C2695" w:rsidRPr="003C2695" w:rsidRDefault="003C2695" w:rsidP="003C2695">
      <w:pPr>
        <w:widowControl w:val="0"/>
        <w:autoSpaceDE w:val="0"/>
        <w:autoSpaceDN w:val="0"/>
        <w:adjustRightInd w:val="0"/>
        <w:spacing w:after="0" w:line="240" w:lineRule="auto"/>
        <w:ind w:left="640" w:hanging="640"/>
        <w:jc w:val="both"/>
        <w:rPr>
          <w:rFonts w:ascii="Arial" w:hAnsi="Arial" w:cs="Arial"/>
          <w:noProof/>
          <w:sz w:val="24"/>
          <w:szCs w:val="24"/>
          <w:lang w:val="en-US"/>
        </w:rPr>
      </w:pPr>
    </w:p>
    <w:p w:rsidR="003C2695" w:rsidRDefault="003C2695" w:rsidP="003C2695">
      <w:pPr>
        <w:widowControl w:val="0"/>
        <w:autoSpaceDE w:val="0"/>
        <w:autoSpaceDN w:val="0"/>
        <w:adjustRightInd w:val="0"/>
        <w:spacing w:after="0" w:line="240" w:lineRule="auto"/>
        <w:ind w:left="641" w:hanging="641"/>
        <w:jc w:val="both"/>
        <w:rPr>
          <w:rFonts w:ascii="Arial" w:hAnsi="Arial" w:cs="Arial"/>
          <w:noProof/>
          <w:sz w:val="24"/>
          <w:szCs w:val="24"/>
        </w:rPr>
      </w:pPr>
      <w:r w:rsidRPr="003C2695">
        <w:rPr>
          <w:rFonts w:ascii="Arial" w:hAnsi="Arial" w:cs="Arial"/>
          <w:noProof/>
          <w:sz w:val="24"/>
          <w:szCs w:val="24"/>
          <w:lang w:val="en-US"/>
        </w:rPr>
        <w:t xml:space="preserve">12. </w:t>
      </w:r>
      <w:r w:rsidRPr="003C2695">
        <w:rPr>
          <w:rFonts w:ascii="Arial" w:hAnsi="Arial" w:cs="Arial"/>
          <w:noProof/>
          <w:sz w:val="24"/>
          <w:szCs w:val="24"/>
          <w:lang w:val="en-US"/>
        </w:rPr>
        <w:tab/>
        <w:t xml:space="preserve">Yasuda E, Suzuki Y, Shimada T, Sawamoto K, Mackenzie WG, Theroux MC, et al. Activity of daily living for Morquio A syndrome. Mol Genet Metab. </w:t>
      </w:r>
      <w:r w:rsidRPr="003C2695">
        <w:rPr>
          <w:rFonts w:ascii="Arial" w:hAnsi="Arial" w:cs="Arial"/>
          <w:noProof/>
          <w:sz w:val="24"/>
          <w:szCs w:val="24"/>
        </w:rPr>
        <w:lastRenderedPageBreak/>
        <w:t xml:space="preserve">2016;118(2):111–22. DOI: </w:t>
      </w:r>
      <w:r w:rsidRPr="003C2695">
        <w:rPr>
          <w:rFonts w:ascii="Arial" w:hAnsi="Arial" w:cs="Arial"/>
          <w:sz w:val="24"/>
          <w:szCs w:val="24"/>
          <w:shd w:val="clear" w:color="auto" w:fill="FFFFFF"/>
        </w:rPr>
        <w:t>10.1016/j.ymgme.2016.04.005.</w:t>
      </w:r>
      <w:r w:rsidRPr="003C2695">
        <w:rPr>
          <w:rFonts w:ascii="Arial" w:hAnsi="Arial" w:cs="Arial"/>
          <w:noProof/>
          <w:sz w:val="24"/>
          <w:szCs w:val="24"/>
        </w:rPr>
        <w:t xml:space="preserve"> </w:t>
      </w:r>
    </w:p>
    <w:p w:rsidR="00C858DD" w:rsidRPr="003C2695" w:rsidRDefault="00C858DD" w:rsidP="003C2695">
      <w:pPr>
        <w:widowControl w:val="0"/>
        <w:autoSpaceDE w:val="0"/>
        <w:autoSpaceDN w:val="0"/>
        <w:adjustRightInd w:val="0"/>
        <w:spacing w:after="0" w:line="240" w:lineRule="auto"/>
        <w:ind w:left="641" w:hanging="641"/>
        <w:jc w:val="both"/>
        <w:rPr>
          <w:rFonts w:ascii="Arial" w:hAnsi="Arial" w:cs="Arial"/>
          <w:noProof/>
          <w:sz w:val="24"/>
          <w:szCs w:val="24"/>
        </w:rPr>
      </w:pPr>
    </w:p>
    <w:p w:rsidR="003C2695" w:rsidRPr="003C2695" w:rsidRDefault="003C2695" w:rsidP="003C2695">
      <w:pPr>
        <w:widowControl w:val="0"/>
        <w:autoSpaceDE w:val="0"/>
        <w:autoSpaceDN w:val="0"/>
        <w:adjustRightInd w:val="0"/>
        <w:spacing w:after="0" w:line="240" w:lineRule="auto"/>
        <w:ind w:left="641" w:hanging="641"/>
        <w:jc w:val="both"/>
        <w:rPr>
          <w:rFonts w:ascii="Arial" w:hAnsi="Arial" w:cs="Arial"/>
          <w:noProof/>
          <w:sz w:val="24"/>
          <w:szCs w:val="24"/>
        </w:rPr>
      </w:pPr>
      <w:r w:rsidRPr="003C2695">
        <w:rPr>
          <w:rFonts w:ascii="Arial" w:hAnsi="Arial" w:cs="Arial"/>
          <w:noProof/>
          <w:sz w:val="24"/>
          <w:szCs w:val="24"/>
        </w:rPr>
        <w:t xml:space="preserve">13. </w:t>
      </w:r>
      <w:r w:rsidRPr="003C2695">
        <w:rPr>
          <w:rFonts w:ascii="Arial" w:hAnsi="Arial" w:cs="Arial"/>
          <w:noProof/>
          <w:sz w:val="24"/>
          <w:szCs w:val="24"/>
        </w:rPr>
        <w:tab/>
        <w:t xml:space="preserve">Riberto M. Orientação funcional para utilização da MIF - Medida de Independência Funcional. 2004. [acesso em 26 mar 2016]. Disponível em: https://toneurologiaufpr.files.wordpress.com/2013/03/manual-mif.pdf </w:t>
      </w:r>
    </w:p>
    <w:p w:rsidR="003C2695" w:rsidRPr="003C2695" w:rsidRDefault="003C2695" w:rsidP="003C2695">
      <w:pPr>
        <w:widowControl w:val="0"/>
        <w:autoSpaceDE w:val="0"/>
        <w:autoSpaceDN w:val="0"/>
        <w:adjustRightInd w:val="0"/>
        <w:spacing w:after="0" w:line="240" w:lineRule="auto"/>
        <w:ind w:left="640" w:hanging="640"/>
        <w:jc w:val="both"/>
        <w:rPr>
          <w:rFonts w:ascii="Arial" w:hAnsi="Arial" w:cs="Arial"/>
          <w:noProof/>
          <w:sz w:val="24"/>
          <w:szCs w:val="24"/>
        </w:rPr>
      </w:pPr>
    </w:p>
    <w:p w:rsidR="003C2695" w:rsidRPr="003C2695" w:rsidRDefault="003C2695" w:rsidP="003C2695">
      <w:pPr>
        <w:widowControl w:val="0"/>
        <w:autoSpaceDE w:val="0"/>
        <w:autoSpaceDN w:val="0"/>
        <w:adjustRightInd w:val="0"/>
        <w:spacing w:after="0" w:line="240" w:lineRule="auto"/>
        <w:ind w:left="641" w:hanging="641"/>
        <w:jc w:val="both"/>
        <w:rPr>
          <w:rFonts w:ascii="Arial" w:hAnsi="Arial" w:cs="Arial"/>
          <w:noProof/>
          <w:sz w:val="24"/>
          <w:szCs w:val="24"/>
        </w:rPr>
      </w:pPr>
      <w:r w:rsidRPr="003C2695">
        <w:rPr>
          <w:rFonts w:ascii="Arial" w:hAnsi="Arial" w:cs="Arial"/>
          <w:noProof/>
          <w:sz w:val="24"/>
          <w:szCs w:val="24"/>
        </w:rPr>
        <w:t xml:space="preserve">14. </w:t>
      </w:r>
      <w:r w:rsidRPr="003C2695">
        <w:rPr>
          <w:rFonts w:ascii="Arial" w:hAnsi="Arial" w:cs="Arial"/>
          <w:noProof/>
          <w:sz w:val="24"/>
          <w:szCs w:val="24"/>
        </w:rPr>
        <w:tab/>
        <w:t xml:space="preserve">Riberto M, Miyazaki MH, Jucá SS, Sakamoto H, Potiguara P, Pinto N, et al. Validação da Versão Brasileira da Medida de Independência Funcional. Acta Fisiatr. 2004;11(2):72–6. DOI: </w:t>
      </w:r>
      <w:hyperlink r:id="rId80" w:history="1">
        <w:r w:rsidRPr="003C2695">
          <w:rPr>
            <w:rStyle w:val="Hyperlink"/>
            <w:rFonts w:ascii="Arial" w:hAnsi="Arial" w:cs="Arial"/>
            <w:color w:val="auto"/>
            <w:sz w:val="24"/>
            <w:szCs w:val="24"/>
            <w:u w:val="none"/>
            <w:shd w:val="clear" w:color="auto" w:fill="FFFFFF"/>
          </w:rPr>
          <w:t>10.5935/0104-7795.20040003</w:t>
        </w:r>
      </w:hyperlink>
      <w:r w:rsidRPr="003C2695">
        <w:rPr>
          <w:rFonts w:ascii="Arial" w:hAnsi="Arial" w:cs="Arial"/>
          <w:sz w:val="24"/>
          <w:szCs w:val="24"/>
        </w:rPr>
        <w:t>.</w:t>
      </w:r>
      <w:r w:rsidRPr="003C2695">
        <w:rPr>
          <w:rFonts w:ascii="Arial" w:hAnsi="Arial" w:cs="Arial"/>
          <w:noProof/>
          <w:sz w:val="24"/>
          <w:szCs w:val="24"/>
        </w:rPr>
        <w:t xml:space="preserve"> </w:t>
      </w:r>
    </w:p>
    <w:p w:rsidR="003C2695" w:rsidRPr="003C2695" w:rsidRDefault="003C2695" w:rsidP="003C2695">
      <w:pPr>
        <w:widowControl w:val="0"/>
        <w:autoSpaceDE w:val="0"/>
        <w:autoSpaceDN w:val="0"/>
        <w:adjustRightInd w:val="0"/>
        <w:spacing w:after="0" w:line="240" w:lineRule="auto"/>
        <w:ind w:left="640" w:hanging="640"/>
        <w:jc w:val="both"/>
        <w:rPr>
          <w:rFonts w:ascii="Arial" w:hAnsi="Arial" w:cs="Arial"/>
          <w:noProof/>
          <w:sz w:val="24"/>
          <w:szCs w:val="24"/>
        </w:rPr>
      </w:pPr>
    </w:p>
    <w:p w:rsidR="003C2695" w:rsidRPr="003C2695" w:rsidRDefault="003C2695" w:rsidP="003C2695">
      <w:pPr>
        <w:widowControl w:val="0"/>
        <w:autoSpaceDE w:val="0"/>
        <w:autoSpaceDN w:val="0"/>
        <w:adjustRightInd w:val="0"/>
        <w:spacing w:after="0" w:line="240" w:lineRule="auto"/>
        <w:ind w:left="641" w:hanging="641"/>
        <w:jc w:val="both"/>
        <w:rPr>
          <w:rFonts w:ascii="Arial" w:hAnsi="Arial" w:cs="Arial"/>
          <w:noProof/>
          <w:sz w:val="24"/>
          <w:szCs w:val="24"/>
          <w:lang w:val="en-US"/>
        </w:rPr>
      </w:pPr>
      <w:r w:rsidRPr="003C2695">
        <w:rPr>
          <w:rFonts w:ascii="Arial" w:hAnsi="Arial" w:cs="Arial"/>
          <w:noProof/>
          <w:sz w:val="24"/>
          <w:szCs w:val="24"/>
        </w:rPr>
        <w:t xml:space="preserve">15. </w:t>
      </w:r>
      <w:r w:rsidRPr="003C2695">
        <w:rPr>
          <w:rFonts w:ascii="Arial" w:hAnsi="Arial" w:cs="Arial"/>
          <w:noProof/>
          <w:sz w:val="24"/>
          <w:szCs w:val="24"/>
        </w:rPr>
        <w:tab/>
        <w:t xml:space="preserve">Valayannopoulos V, Nicely H, Harmatz P, Tuberville S. Mucopolysaccharidosis VI. Orphanet J Rare Dis. 2010;5(5). </w:t>
      </w:r>
      <w:r w:rsidRPr="003C2695">
        <w:rPr>
          <w:rFonts w:ascii="Arial" w:hAnsi="Arial" w:cs="Arial"/>
          <w:noProof/>
          <w:sz w:val="24"/>
          <w:szCs w:val="24"/>
          <w:lang w:val="en-US"/>
        </w:rPr>
        <w:t xml:space="preserve">DOI: </w:t>
      </w:r>
      <w:r w:rsidRPr="003C2695">
        <w:rPr>
          <w:rFonts w:ascii="Arial" w:hAnsi="Arial" w:cs="Arial"/>
          <w:sz w:val="24"/>
          <w:szCs w:val="24"/>
          <w:shd w:val="clear" w:color="auto" w:fill="FFFFFF"/>
          <w:lang w:val="en-US"/>
        </w:rPr>
        <w:t> </w:t>
      </w:r>
      <w:hyperlink r:id="rId81" w:tgtFrame="pmc_ext" w:history="1">
        <w:r w:rsidRPr="003C2695">
          <w:rPr>
            <w:rStyle w:val="Hyperlink"/>
            <w:rFonts w:ascii="Arial" w:hAnsi="Arial" w:cs="Arial"/>
            <w:color w:val="auto"/>
            <w:sz w:val="24"/>
            <w:szCs w:val="24"/>
            <w:u w:val="none"/>
            <w:shd w:val="clear" w:color="auto" w:fill="FFFFFF"/>
            <w:lang w:val="en-US"/>
          </w:rPr>
          <w:t>10.1186/1750-1172-5-5</w:t>
        </w:r>
      </w:hyperlink>
      <w:r w:rsidRPr="003C2695">
        <w:rPr>
          <w:rFonts w:ascii="Arial" w:hAnsi="Arial" w:cs="Arial"/>
          <w:sz w:val="24"/>
          <w:szCs w:val="24"/>
          <w:lang w:val="en-US"/>
        </w:rPr>
        <w:t>.</w:t>
      </w:r>
    </w:p>
    <w:p w:rsidR="003C2695" w:rsidRPr="003C2695" w:rsidRDefault="003C2695" w:rsidP="003C2695">
      <w:pPr>
        <w:widowControl w:val="0"/>
        <w:autoSpaceDE w:val="0"/>
        <w:autoSpaceDN w:val="0"/>
        <w:adjustRightInd w:val="0"/>
        <w:spacing w:after="0" w:line="240" w:lineRule="auto"/>
        <w:ind w:left="640" w:hanging="640"/>
        <w:jc w:val="both"/>
        <w:rPr>
          <w:rFonts w:ascii="Arial" w:hAnsi="Arial" w:cs="Arial"/>
          <w:noProof/>
          <w:sz w:val="24"/>
          <w:szCs w:val="24"/>
          <w:lang w:val="en-US"/>
        </w:rPr>
      </w:pPr>
    </w:p>
    <w:p w:rsidR="003C2695" w:rsidRPr="003C2695" w:rsidRDefault="003C2695" w:rsidP="003C2695">
      <w:pPr>
        <w:widowControl w:val="0"/>
        <w:autoSpaceDE w:val="0"/>
        <w:autoSpaceDN w:val="0"/>
        <w:adjustRightInd w:val="0"/>
        <w:spacing w:after="0" w:line="240" w:lineRule="auto"/>
        <w:ind w:left="640" w:hanging="640"/>
        <w:jc w:val="both"/>
        <w:rPr>
          <w:rFonts w:ascii="Arial" w:hAnsi="Arial" w:cs="Arial"/>
          <w:noProof/>
          <w:sz w:val="24"/>
          <w:szCs w:val="24"/>
        </w:rPr>
      </w:pPr>
      <w:r w:rsidRPr="003C2695">
        <w:rPr>
          <w:rFonts w:ascii="Arial" w:hAnsi="Arial" w:cs="Arial"/>
          <w:noProof/>
          <w:sz w:val="24"/>
          <w:szCs w:val="24"/>
          <w:lang w:val="en-US"/>
        </w:rPr>
        <w:t xml:space="preserve">16. </w:t>
      </w:r>
      <w:r w:rsidRPr="003C2695">
        <w:rPr>
          <w:rFonts w:ascii="Arial" w:hAnsi="Arial" w:cs="Arial"/>
          <w:noProof/>
          <w:sz w:val="24"/>
          <w:szCs w:val="24"/>
          <w:lang w:val="en-US"/>
        </w:rPr>
        <w:tab/>
        <w:t xml:space="preserve">Kwon JY, Ko K, Sohn YB, Kim SJ, Park SW, Kim SH, et al. High prevalence of carpal tunnel syndrome in children with mucopolysaccharidosis type II (Hunter syndrome). </w:t>
      </w:r>
      <w:r w:rsidRPr="003C2695">
        <w:rPr>
          <w:rFonts w:ascii="Arial" w:hAnsi="Arial" w:cs="Arial"/>
          <w:noProof/>
          <w:sz w:val="24"/>
          <w:szCs w:val="24"/>
        </w:rPr>
        <w:t xml:space="preserve">Am J Med Genet A. 2011;155A(6):1329–35. DOI: </w:t>
      </w:r>
      <w:hyperlink r:id="rId82" w:history="1">
        <w:r w:rsidRPr="003C2695">
          <w:rPr>
            <w:rStyle w:val="Hyperlink"/>
            <w:rFonts w:ascii="Arial" w:hAnsi="Arial" w:cs="Arial"/>
            <w:color w:val="auto"/>
            <w:sz w:val="24"/>
            <w:szCs w:val="24"/>
            <w:u w:val="none"/>
            <w:shd w:val="clear" w:color="auto" w:fill="FFFFFF"/>
          </w:rPr>
          <w:t>10.1002/ajmg.a.34013</w:t>
        </w:r>
      </w:hyperlink>
      <w:r w:rsidRPr="003C2695">
        <w:rPr>
          <w:rFonts w:ascii="Arial" w:hAnsi="Arial" w:cs="Arial"/>
          <w:sz w:val="24"/>
          <w:szCs w:val="24"/>
        </w:rPr>
        <w:t>.</w:t>
      </w:r>
    </w:p>
    <w:p w:rsidR="003C2695" w:rsidRPr="003C2695" w:rsidRDefault="003C2695" w:rsidP="003C2695">
      <w:pPr>
        <w:widowControl w:val="0"/>
        <w:autoSpaceDE w:val="0"/>
        <w:autoSpaceDN w:val="0"/>
        <w:adjustRightInd w:val="0"/>
        <w:spacing w:after="0" w:line="240" w:lineRule="auto"/>
        <w:ind w:left="640" w:hanging="640"/>
        <w:jc w:val="both"/>
        <w:rPr>
          <w:rFonts w:ascii="Arial" w:hAnsi="Arial" w:cs="Arial"/>
          <w:noProof/>
          <w:sz w:val="24"/>
          <w:szCs w:val="24"/>
        </w:rPr>
      </w:pPr>
    </w:p>
    <w:p w:rsidR="003C2695" w:rsidRPr="003C2695" w:rsidRDefault="003C2695" w:rsidP="003C2695">
      <w:pPr>
        <w:widowControl w:val="0"/>
        <w:autoSpaceDE w:val="0"/>
        <w:autoSpaceDN w:val="0"/>
        <w:adjustRightInd w:val="0"/>
        <w:spacing w:after="0" w:line="240" w:lineRule="auto"/>
        <w:ind w:left="641" w:hanging="641"/>
        <w:jc w:val="both"/>
        <w:rPr>
          <w:rFonts w:ascii="Arial" w:hAnsi="Arial" w:cs="Arial"/>
          <w:sz w:val="24"/>
          <w:szCs w:val="24"/>
        </w:rPr>
      </w:pPr>
      <w:r w:rsidRPr="003C2695">
        <w:rPr>
          <w:rFonts w:ascii="Arial" w:hAnsi="Arial" w:cs="Arial"/>
          <w:noProof/>
          <w:sz w:val="24"/>
          <w:szCs w:val="24"/>
        </w:rPr>
        <w:t xml:space="preserve">17. </w:t>
      </w:r>
      <w:r w:rsidRPr="003C2695">
        <w:rPr>
          <w:rFonts w:ascii="Arial" w:hAnsi="Arial" w:cs="Arial"/>
          <w:noProof/>
          <w:sz w:val="24"/>
          <w:szCs w:val="24"/>
        </w:rPr>
        <w:tab/>
        <w:t xml:space="preserve">Amaral IA, Omena Filho RL, Reis Neto JA, Reis MC. Avaliação da capacidade funcional de adolescentes portadores de Mucopolissacaridose do tipo II. Cad Bras Ter Ocup. 2017;25(2):297–303. DOI: </w:t>
      </w:r>
      <w:r w:rsidRPr="003C2695">
        <w:rPr>
          <w:rFonts w:ascii="Arial" w:hAnsi="Arial" w:cs="Arial"/>
          <w:sz w:val="24"/>
          <w:szCs w:val="24"/>
        </w:rPr>
        <w:t>10.4322/0104-4931.ctoAO0799.</w:t>
      </w:r>
    </w:p>
    <w:p w:rsidR="003C2695" w:rsidRPr="003C2695" w:rsidRDefault="003C2695" w:rsidP="003C2695">
      <w:pPr>
        <w:widowControl w:val="0"/>
        <w:autoSpaceDE w:val="0"/>
        <w:autoSpaceDN w:val="0"/>
        <w:adjustRightInd w:val="0"/>
        <w:spacing w:after="0" w:line="240" w:lineRule="auto"/>
        <w:ind w:left="640" w:hanging="640"/>
        <w:jc w:val="both"/>
        <w:rPr>
          <w:rFonts w:ascii="Arial" w:hAnsi="Arial" w:cs="Arial"/>
          <w:noProof/>
          <w:sz w:val="24"/>
          <w:szCs w:val="24"/>
        </w:rPr>
      </w:pPr>
    </w:p>
    <w:p w:rsidR="003C2695" w:rsidRPr="003C2695" w:rsidRDefault="003C2695" w:rsidP="003C2695">
      <w:pPr>
        <w:widowControl w:val="0"/>
        <w:autoSpaceDE w:val="0"/>
        <w:autoSpaceDN w:val="0"/>
        <w:adjustRightInd w:val="0"/>
        <w:spacing w:after="0" w:line="240" w:lineRule="auto"/>
        <w:ind w:left="640" w:hanging="640"/>
        <w:jc w:val="both"/>
        <w:rPr>
          <w:rFonts w:ascii="Arial" w:hAnsi="Arial" w:cs="Arial"/>
          <w:noProof/>
          <w:sz w:val="24"/>
          <w:szCs w:val="24"/>
          <w:lang w:val="en-US"/>
        </w:rPr>
      </w:pPr>
      <w:r w:rsidRPr="003C2695">
        <w:rPr>
          <w:rFonts w:ascii="Arial" w:hAnsi="Arial" w:cs="Arial"/>
          <w:noProof/>
          <w:sz w:val="24"/>
          <w:szCs w:val="24"/>
        </w:rPr>
        <w:t xml:space="preserve">18. </w:t>
      </w:r>
      <w:r w:rsidRPr="003C2695">
        <w:rPr>
          <w:rFonts w:ascii="Arial" w:hAnsi="Arial" w:cs="Arial"/>
          <w:noProof/>
          <w:sz w:val="24"/>
          <w:szCs w:val="24"/>
        </w:rPr>
        <w:tab/>
        <w:t xml:space="preserve">Berger KI, Fagondes SC, Giugliani R, Hardy KA, Lee KS, McArdle C, et al. </w:t>
      </w:r>
      <w:r w:rsidRPr="003C2695">
        <w:rPr>
          <w:rFonts w:ascii="Arial" w:hAnsi="Arial" w:cs="Arial"/>
          <w:noProof/>
          <w:sz w:val="24"/>
          <w:szCs w:val="24"/>
          <w:lang w:val="en-US"/>
        </w:rPr>
        <w:t xml:space="preserve">Respiratory and sleep disorders in mucopolysaccharidosis. J Inherit Metab Dis. 2013;36(2):201–10. DOI: </w:t>
      </w:r>
      <w:r w:rsidRPr="003C2695">
        <w:rPr>
          <w:rFonts w:ascii="Arial" w:hAnsi="Arial" w:cs="Arial"/>
          <w:sz w:val="24"/>
          <w:szCs w:val="24"/>
          <w:shd w:val="clear" w:color="auto" w:fill="FFFFFF"/>
          <w:lang w:val="en-US"/>
        </w:rPr>
        <w:t>10.1007/s10545-012-9555-1.</w:t>
      </w:r>
    </w:p>
    <w:p w:rsidR="003C2695" w:rsidRPr="003C2695" w:rsidRDefault="003C2695" w:rsidP="003C2695">
      <w:pPr>
        <w:widowControl w:val="0"/>
        <w:autoSpaceDE w:val="0"/>
        <w:autoSpaceDN w:val="0"/>
        <w:adjustRightInd w:val="0"/>
        <w:spacing w:after="0" w:line="240" w:lineRule="auto"/>
        <w:ind w:left="640" w:hanging="640"/>
        <w:jc w:val="both"/>
        <w:rPr>
          <w:rFonts w:ascii="Arial" w:hAnsi="Arial" w:cs="Arial"/>
          <w:noProof/>
          <w:sz w:val="24"/>
          <w:szCs w:val="24"/>
          <w:lang w:val="en-US"/>
        </w:rPr>
      </w:pPr>
    </w:p>
    <w:p w:rsidR="003C2695" w:rsidRPr="007015CE" w:rsidRDefault="003C2695" w:rsidP="003C2695">
      <w:pPr>
        <w:widowControl w:val="0"/>
        <w:autoSpaceDE w:val="0"/>
        <w:autoSpaceDN w:val="0"/>
        <w:adjustRightInd w:val="0"/>
        <w:spacing w:after="0" w:line="240" w:lineRule="auto"/>
        <w:ind w:left="640" w:hanging="640"/>
        <w:jc w:val="both"/>
        <w:rPr>
          <w:rFonts w:ascii="Arial" w:hAnsi="Arial" w:cs="Arial"/>
          <w:sz w:val="24"/>
          <w:szCs w:val="24"/>
        </w:rPr>
      </w:pPr>
      <w:r w:rsidRPr="003C2695">
        <w:rPr>
          <w:rFonts w:ascii="Arial" w:hAnsi="Arial" w:cs="Arial"/>
          <w:noProof/>
          <w:sz w:val="24"/>
          <w:szCs w:val="24"/>
          <w:lang w:val="en-US"/>
        </w:rPr>
        <w:t xml:space="preserve">19. </w:t>
      </w:r>
      <w:r w:rsidRPr="003C2695">
        <w:rPr>
          <w:rFonts w:ascii="Arial" w:hAnsi="Arial" w:cs="Arial"/>
          <w:noProof/>
          <w:sz w:val="24"/>
          <w:szCs w:val="24"/>
          <w:lang w:val="en-US"/>
        </w:rPr>
        <w:tab/>
        <w:t xml:space="preserve">Hendriksz CJ, Lavery C, Coker M, Ucar SK, Jain M, Bell L, et al. Burden of disease in patients with Morquio A syndrome: results from an international patient-reported outcomes survey. </w:t>
      </w:r>
      <w:r w:rsidRPr="007015CE">
        <w:rPr>
          <w:rFonts w:ascii="Arial" w:hAnsi="Arial" w:cs="Arial"/>
          <w:noProof/>
          <w:sz w:val="24"/>
          <w:szCs w:val="24"/>
        </w:rPr>
        <w:t xml:space="preserve">Orphanet J Rare Dis. 2014;9(32):1–8. DOI: </w:t>
      </w:r>
      <w:hyperlink r:id="rId83" w:tgtFrame="pmc_ext" w:history="1">
        <w:r w:rsidRPr="007015CE">
          <w:rPr>
            <w:rStyle w:val="Hyperlink"/>
            <w:rFonts w:ascii="Arial" w:hAnsi="Arial" w:cs="Arial"/>
            <w:color w:val="auto"/>
            <w:sz w:val="24"/>
            <w:szCs w:val="24"/>
            <w:u w:val="none"/>
            <w:shd w:val="clear" w:color="auto" w:fill="FFFFFF"/>
          </w:rPr>
          <w:t>10.1186/1750-1172-9-32</w:t>
        </w:r>
      </w:hyperlink>
      <w:r w:rsidRPr="007015CE">
        <w:rPr>
          <w:rFonts w:ascii="Arial" w:hAnsi="Arial" w:cs="Arial"/>
          <w:sz w:val="24"/>
          <w:szCs w:val="24"/>
        </w:rPr>
        <w:t>.</w:t>
      </w:r>
      <w:r w:rsidRPr="003C2695">
        <w:rPr>
          <w:rFonts w:ascii="Arial" w:hAnsi="Arial" w:cs="Arial"/>
          <w:sz w:val="24"/>
          <w:szCs w:val="24"/>
        </w:rPr>
        <w:fldChar w:fldCharType="end"/>
      </w:r>
    </w:p>
    <w:p w:rsidR="003C2695" w:rsidRPr="007015CE" w:rsidRDefault="003C2695" w:rsidP="003C2695">
      <w:pPr>
        <w:jc w:val="both"/>
      </w:pPr>
    </w:p>
    <w:p w:rsidR="00354961" w:rsidRPr="007015CE" w:rsidRDefault="00354961" w:rsidP="003C2695">
      <w:pPr>
        <w:jc w:val="both"/>
      </w:pPr>
    </w:p>
    <w:p w:rsidR="00354961" w:rsidRPr="007015CE" w:rsidRDefault="00354961" w:rsidP="003C2695">
      <w:pPr>
        <w:jc w:val="both"/>
      </w:pPr>
    </w:p>
    <w:p w:rsidR="00354961" w:rsidRPr="007015CE" w:rsidRDefault="00354961" w:rsidP="003C2695">
      <w:pPr>
        <w:jc w:val="both"/>
      </w:pPr>
    </w:p>
    <w:p w:rsidR="00354961" w:rsidRPr="007015CE" w:rsidRDefault="00354961" w:rsidP="003C2695">
      <w:pPr>
        <w:jc w:val="both"/>
      </w:pPr>
    </w:p>
    <w:p w:rsidR="00354961" w:rsidRPr="007015CE" w:rsidRDefault="00354961" w:rsidP="003C2695">
      <w:pPr>
        <w:jc w:val="both"/>
      </w:pPr>
    </w:p>
    <w:p w:rsidR="00354961" w:rsidRPr="007015CE" w:rsidRDefault="00354961" w:rsidP="003C2695">
      <w:pPr>
        <w:jc w:val="both"/>
      </w:pPr>
    </w:p>
    <w:p w:rsidR="00354961" w:rsidRPr="007015CE" w:rsidRDefault="00354961" w:rsidP="003C2695">
      <w:pPr>
        <w:jc w:val="both"/>
      </w:pPr>
    </w:p>
    <w:p w:rsidR="00354961" w:rsidRPr="007015CE" w:rsidRDefault="00354961" w:rsidP="003C2695">
      <w:pPr>
        <w:jc w:val="both"/>
      </w:pPr>
    </w:p>
    <w:p w:rsidR="00354961" w:rsidRPr="007015CE" w:rsidRDefault="00354961" w:rsidP="003C2695">
      <w:pPr>
        <w:jc w:val="both"/>
      </w:pPr>
    </w:p>
    <w:p w:rsidR="00354961" w:rsidRPr="007015CE" w:rsidRDefault="00354961" w:rsidP="003C2695">
      <w:pPr>
        <w:jc w:val="both"/>
      </w:pPr>
    </w:p>
    <w:p w:rsidR="003C2695" w:rsidRPr="00190308" w:rsidRDefault="003C2695" w:rsidP="00190308">
      <w:pPr>
        <w:spacing w:after="0" w:line="240" w:lineRule="auto"/>
        <w:ind w:left="567" w:right="1274"/>
        <w:jc w:val="both"/>
        <w:rPr>
          <w:rFonts w:ascii="Arial" w:hAnsi="Arial" w:cs="Arial"/>
          <w:sz w:val="24"/>
        </w:rPr>
      </w:pPr>
      <w:r w:rsidRPr="00190308">
        <w:rPr>
          <w:rFonts w:ascii="Arial" w:hAnsi="Arial" w:cs="Arial"/>
          <w:b/>
          <w:sz w:val="24"/>
        </w:rPr>
        <w:lastRenderedPageBreak/>
        <w:t xml:space="preserve">Tabela </w:t>
      </w:r>
      <w:r w:rsidR="00190308">
        <w:rPr>
          <w:rFonts w:ascii="Arial" w:hAnsi="Arial" w:cs="Arial"/>
          <w:b/>
          <w:sz w:val="24"/>
        </w:rPr>
        <w:t>1</w:t>
      </w:r>
      <w:r w:rsidRPr="00190308">
        <w:rPr>
          <w:rFonts w:ascii="Arial" w:hAnsi="Arial" w:cs="Arial"/>
          <w:b/>
          <w:sz w:val="24"/>
        </w:rPr>
        <w:t xml:space="preserve"> –</w:t>
      </w:r>
      <w:r w:rsidRPr="00190308">
        <w:rPr>
          <w:rFonts w:ascii="Arial" w:hAnsi="Arial" w:cs="Arial"/>
          <w:sz w:val="24"/>
        </w:rPr>
        <w:t xml:space="preserve"> Características sociodemográficas e clínica das crianças e adolescentes com MPS acompanhados em um ambulatório de Ortopedia na cidade de Salvador-BA, no período de janeiro de 2012 a outubro de 2014.</w:t>
      </w:r>
    </w:p>
    <w:tbl>
      <w:tblPr>
        <w:tblStyle w:val="Tabelacomgrade"/>
        <w:tblW w:w="0" w:type="auto"/>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859"/>
      </w:tblGrid>
      <w:tr w:rsidR="003C2695" w:rsidRPr="00255063" w:rsidTr="008A5A8F">
        <w:tc>
          <w:tcPr>
            <w:tcW w:w="3402" w:type="dxa"/>
            <w:tcBorders>
              <w:top w:val="single" w:sz="4" w:space="0" w:color="auto"/>
              <w:bottom w:val="single" w:sz="4" w:space="0" w:color="auto"/>
            </w:tcBorders>
          </w:tcPr>
          <w:p w:rsidR="003C2695" w:rsidRPr="00255063" w:rsidRDefault="003C2695" w:rsidP="008A5A8F">
            <w:pPr>
              <w:tabs>
                <w:tab w:val="left" w:pos="3332"/>
              </w:tabs>
              <w:spacing w:line="360" w:lineRule="auto"/>
              <w:jc w:val="center"/>
              <w:rPr>
                <w:rFonts w:ascii="Arial" w:hAnsi="Arial" w:cs="Arial"/>
                <w:b/>
                <w:sz w:val="20"/>
              </w:rPr>
            </w:pPr>
            <w:r w:rsidRPr="00255063">
              <w:rPr>
                <w:rFonts w:ascii="Arial" w:hAnsi="Arial" w:cs="Arial"/>
                <w:b/>
                <w:sz w:val="20"/>
              </w:rPr>
              <w:t>Variáveis</w:t>
            </w:r>
          </w:p>
        </w:tc>
        <w:tc>
          <w:tcPr>
            <w:tcW w:w="3859" w:type="dxa"/>
            <w:tcBorders>
              <w:top w:val="single" w:sz="4" w:space="0" w:color="auto"/>
              <w:bottom w:val="single" w:sz="4" w:space="0" w:color="auto"/>
            </w:tcBorders>
          </w:tcPr>
          <w:p w:rsidR="003C2695" w:rsidRPr="00255063" w:rsidRDefault="003C2695" w:rsidP="008A5A8F">
            <w:pPr>
              <w:spacing w:line="360" w:lineRule="auto"/>
              <w:jc w:val="center"/>
              <w:rPr>
                <w:rFonts w:ascii="Arial" w:hAnsi="Arial" w:cs="Arial"/>
                <w:b/>
                <w:sz w:val="20"/>
              </w:rPr>
            </w:pPr>
            <w:r w:rsidRPr="00255063">
              <w:rPr>
                <w:rFonts w:ascii="Arial" w:hAnsi="Arial" w:cs="Arial"/>
                <w:b/>
                <w:sz w:val="20"/>
              </w:rPr>
              <w:t xml:space="preserve">N (%) ou Média±DP </w:t>
            </w:r>
          </w:p>
        </w:tc>
      </w:tr>
      <w:tr w:rsidR="003C2695" w:rsidRPr="00255063" w:rsidTr="008A5A8F">
        <w:tc>
          <w:tcPr>
            <w:tcW w:w="3402" w:type="dxa"/>
            <w:tcBorders>
              <w:top w:val="single" w:sz="4" w:space="0" w:color="auto"/>
            </w:tcBorders>
          </w:tcPr>
          <w:p w:rsidR="003C2695" w:rsidRPr="00255063" w:rsidRDefault="003C2695" w:rsidP="008A5A8F">
            <w:pPr>
              <w:spacing w:line="360" w:lineRule="auto"/>
              <w:jc w:val="both"/>
              <w:rPr>
                <w:rFonts w:ascii="Arial" w:hAnsi="Arial" w:cs="Arial"/>
                <w:b/>
                <w:sz w:val="20"/>
              </w:rPr>
            </w:pPr>
            <w:r w:rsidRPr="00255063">
              <w:rPr>
                <w:rFonts w:ascii="Arial" w:hAnsi="Arial" w:cs="Arial"/>
                <w:b/>
                <w:sz w:val="20"/>
              </w:rPr>
              <w:t>Sexo</w:t>
            </w:r>
          </w:p>
        </w:tc>
        <w:tc>
          <w:tcPr>
            <w:tcW w:w="3859" w:type="dxa"/>
            <w:tcBorders>
              <w:top w:val="single" w:sz="4" w:space="0" w:color="auto"/>
            </w:tcBorders>
          </w:tcPr>
          <w:p w:rsidR="003C2695" w:rsidRPr="00255063" w:rsidRDefault="003C2695" w:rsidP="008A5A8F">
            <w:pPr>
              <w:spacing w:line="360" w:lineRule="auto"/>
              <w:jc w:val="both"/>
              <w:rPr>
                <w:rFonts w:ascii="Arial" w:hAnsi="Arial" w:cs="Arial"/>
                <w:sz w:val="20"/>
              </w:rPr>
            </w:pPr>
          </w:p>
        </w:tc>
      </w:tr>
      <w:tr w:rsidR="003C2695" w:rsidRPr="00255063" w:rsidTr="008A5A8F">
        <w:tc>
          <w:tcPr>
            <w:tcW w:w="3402" w:type="dxa"/>
          </w:tcPr>
          <w:p w:rsidR="003C2695" w:rsidRPr="00255063" w:rsidRDefault="003C2695" w:rsidP="008A5A8F">
            <w:pPr>
              <w:spacing w:line="360" w:lineRule="auto"/>
              <w:ind w:left="490"/>
              <w:jc w:val="both"/>
              <w:rPr>
                <w:rFonts w:ascii="Arial" w:hAnsi="Arial" w:cs="Arial"/>
                <w:sz w:val="20"/>
              </w:rPr>
            </w:pPr>
            <w:r w:rsidRPr="00255063">
              <w:rPr>
                <w:rFonts w:ascii="Arial" w:hAnsi="Arial" w:cs="Arial"/>
                <w:sz w:val="20"/>
              </w:rPr>
              <w:t>Feminino</w:t>
            </w:r>
          </w:p>
        </w:tc>
        <w:tc>
          <w:tcPr>
            <w:tcW w:w="3859" w:type="dxa"/>
          </w:tcPr>
          <w:p w:rsidR="003C2695" w:rsidRPr="00255063" w:rsidRDefault="003C2695" w:rsidP="008A5A8F">
            <w:pPr>
              <w:spacing w:line="360" w:lineRule="auto"/>
              <w:jc w:val="center"/>
              <w:rPr>
                <w:rFonts w:ascii="Arial" w:hAnsi="Arial" w:cs="Arial"/>
                <w:sz w:val="20"/>
              </w:rPr>
            </w:pPr>
            <w:r w:rsidRPr="00255063">
              <w:rPr>
                <w:rFonts w:ascii="Arial" w:hAnsi="Arial" w:cs="Arial"/>
                <w:sz w:val="20"/>
              </w:rPr>
              <w:t>10 (38,5%)</w:t>
            </w:r>
          </w:p>
        </w:tc>
      </w:tr>
      <w:tr w:rsidR="003C2695" w:rsidRPr="00255063" w:rsidTr="008A5A8F">
        <w:tc>
          <w:tcPr>
            <w:tcW w:w="3402" w:type="dxa"/>
          </w:tcPr>
          <w:p w:rsidR="003C2695" w:rsidRPr="00255063" w:rsidRDefault="003C2695" w:rsidP="008A5A8F">
            <w:pPr>
              <w:spacing w:line="360" w:lineRule="auto"/>
              <w:ind w:left="490"/>
              <w:jc w:val="both"/>
              <w:rPr>
                <w:rFonts w:ascii="Arial" w:hAnsi="Arial" w:cs="Arial"/>
                <w:sz w:val="20"/>
              </w:rPr>
            </w:pPr>
            <w:r w:rsidRPr="00255063">
              <w:rPr>
                <w:rFonts w:ascii="Arial" w:hAnsi="Arial" w:cs="Arial"/>
                <w:sz w:val="20"/>
              </w:rPr>
              <w:t>Masculino</w:t>
            </w:r>
          </w:p>
        </w:tc>
        <w:tc>
          <w:tcPr>
            <w:tcW w:w="3859" w:type="dxa"/>
          </w:tcPr>
          <w:p w:rsidR="003C2695" w:rsidRPr="00255063" w:rsidRDefault="003C2695" w:rsidP="008A5A8F">
            <w:pPr>
              <w:spacing w:line="360" w:lineRule="auto"/>
              <w:jc w:val="center"/>
              <w:rPr>
                <w:rFonts w:ascii="Arial" w:hAnsi="Arial" w:cs="Arial"/>
                <w:sz w:val="20"/>
              </w:rPr>
            </w:pPr>
            <w:r w:rsidRPr="00255063">
              <w:rPr>
                <w:rFonts w:ascii="Arial" w:hAnsi="Arial" w:cs="Arial"/>
                <w:sz w:val="20"/>
              </w:rPr>
              <w:t>16 (61,5%)</w:t>
            </w:r>
          </w:p>
        </w:tc>
      </w:tr>
      <w:tr w:rsidR="003C2695" w:rsidRPr="00255063" w:rsidTr="008A5A8F">
        <w:tc>
          <w:tcPr>
            <w:tcW w:w="3402" w:type="dxa"/>
          </w:tcPr>
          <w:p w:rsidR="003C2695" w:rsidRPr="00255063" w:rsidRDefault="003C2695" w:rsidP="008A5A8F">
            <w:pPr>
              <w:spacing w:line="360" w:lineRule="auto"/>
              <w:jc w:val="both"/>
              <w:rPr>
                <w:rFonts w:ascii="Arial" w:hAnsi="Arial" w:cs="Arial"/>
                <w:b/>
                <w:sz w:val="20"/>
              </w:rPr>
            </w:pPr>
            <w:r w:rsidRPr="00255063">
              <w:rPr>
                <w:rFonts w:ascii="Arial" w:hAnsi="Arial" w:cs="Arial"/>
                <w:b/>
                <w:sz w:val="20"/>
              </w:rPr>
              <w:t>Idade (em anos)</w:t>
            </w:r>
          </w:p>
        </w:tc>
        <w:tc>
          <w:tcPr>
            <w:tcW w:w="3859" w:type="dxa"/>
          </w:tcPr>
          <w:p w:rsidR="003C2695" w:rsidRPr="00255063" w:rsidRDefault="003C2695" w:rsidP="008A5A8F">
            <w:pPr>
              <w:spacing w:line="360" w:lineRule="auto"/>
              <w:jc w:val="center"/>
              <w:rPr>
                <w:rFonts w:ascii="Arial" w:hAnsi="Arial" w:cs="Arial"/>
                <w:sz w:val="20"/>
              </w:rPr>
            </w:pPr>
            <w:r w:rsidRPr="00255063">
              <w:rPr>
                <w:rFonts w:ascii="Arial" w:hAnsi="Arial" w:cs="Arial"/>
                <w:sz w:val="20"/>
              </w:rPr>
              <w:t>10±4,5</w:t>
            </w:r>
          </w:p>
        </w:tc>
      </w:tr>
      <w:tr w:rsidR="003C2695" w:rsidRPr="00255063" w:rsidTr="008A5A8F">
        <w:tc>
          <w:tcPr>
            <w:tcW w:w="3402" w:type="dxa"/>
          </w:tcPr>
          <w:p w:rsidR="003C2695" w:rsidRPr="00255063" w:rsidRDefault="003C2695" w:rsidP="008A5A8F">
            <w:pPr>
              <w:spacing w:line="360" w:lineRule="auto"/>
              <w:jc w:val="both"/>
              <w:rPr>
                <w:rFonts w:ascii="Arial" w:hAnsi="Arial" w:cs="Arial"/>
                <w:b/>
                <w:sz w:val="20"/>
              </w:rPr>
            </w:pPr>
            <w:r w:rsidRPr="00255063">
              <w:rPr>
                <w:rFonts w:ascii="Arial" w:hAnsi="Arial" w:cs="Arial"/>
                <w:b/>
                <w:sz w:val="20"/>
              </w:rPr>
              <w:t>Tipo de MPS</w:t>
            </w:r>
          </w:p>
        </w:tc>
        <w:tc>
          <w:tcPr>
            <w:tcW w:w="3859" w:type="dxa"/>
          </w:tcPr>
          <w:p w:rsidR="003C2695" w:rsidRPr="00255063" w:rsidRDefault="003C2695" w:rsidP="008A5A8F">
            <w:pPr>
              <w:spacing w:line="360" w:lineRule="auto"/>
              <w:jc w:val="center"/>
              <w:rPr>
                <w:rFonts w:ascii="Arial" w:hAnsi="Arial" w:cs="Arial"/>
                <w:sz w:val="20"/>
              </w:rPr>
            </w:pPr>
          </w:p>
        </w:tc>
      </w:tr>
      <w:tr w:rsidR="003C2695" w:rsidRPr="00255063" w:rsidTr="008A5A8F">
        <w:tc>
          <w:tcPr>
            <w:tcW w:w="3402" w:type="dxa"/>
          </w:tcPr>
          <w:p w:rsidR="003C2695" w:rsidRPr="00255063" w:rsidRDefault="003C2695" w:rsidP="008A5A8F">
            <w:pPr>
              <w:spacing w:line="360" w:lineRule="auto"/>
              <w:ind w:left="490"/>
              <w:jc w:val="both"/>
              <w:rPr>
                <w:rFonts w:ascii="Arial" w:hAnsi="Arial" w:cs="Arial"/>
                <w:sz w:val="20"/>
              </w:rPr>
            </w:pPr>
            <w:r w:rsidRPr="00255063">
              <w:rPr>
                <w:rFonts w:ascii="Arial" w:hAnsi="Arial" w:cs="Arial"/>
                <w:sz w:val="20"/>
              </w:rPr>
              <w:t>I</w:t>
            </w:r>
          </w:p>
        </w:tc>
        <w:tc>
          <w:tcPr>
            <w:tcW w:w="3859" w:type="dxa"/>
          </w:tcPr>
          <w:p w:rsidR="003C2695" w:rsidRPr="00255063" w:rsidRDefault="003C2695" w:rsidP="008A5A8F">
            <w:pPr>
              <w:spacing w:line="360" w:lineRule="auto"/>
              <w:jc w:val="center"/>
              <w:rPr>
                <w:rFonts w:ascii="Arial" w:hAnsi="Arial" w:cs="Arial"/>
                <w:sz w:val="20"/>
              </w:rPr>
            </w:pPr>
            <w:r w:rsidRPr="00255063">
              <w:rPr>
                <w:rFonts w:ascii="Arial" w:hAnsi="Arial" w:cs="Arial"/>
                <w:sz w:val="20"/>
              </w:rPr>
              <w:t xml:space="preserve">  1   (3,8%)</w:t>
            </w:r>
          </w:p>
        </w:tc>
      </w:tr>
      <w:tr w:rsidR="003C2695" w:rsidRPr="00255063" w:rsidTr="008A5A8F">
        <w:tc>
          <w:tcPr>
            <w:tcW w:w="3402" w:type="dxa"/>
          </w:tcPr>
          <w:p w:rsidR="003C2695" w:rsidRPr="00255063" w:rsidRDefault="003C2695" w:rsidP="008A5A8F">
            <w:pPr>
              <w:spacing w:line="360" w:lineRule="auto"/>
              <w:ind w:left="490"/>
              <w:jc w:val="both"/>
              <w:rPr>
                <w:rFonts w:ascii="Arial" w:hAnsi="Arial" w:cs="Arial"/>
                <w:sz w:val="20"/>
              </w:rPr>
            </w:pPr>
            <w:r w:rsidRPr="00255063">
              <w:rPr>
                <w:rFonts w:ascii="Arial" w:hAnsi="Arial" w:cs="Arial"/>
                <w:sz w:val="20"/>
              </w:rPr>
              <w:t>II</w:t>
            </w:r>
          </w:p>
        </w:tc>
        <w:tc>
          <w:tcPr>
            <w:tcW w:w="3859" w:type="dxa"/>
          </w:tcPr>
          <w:p w:rsidR="003C2695" w:rsidRPr="00255063" w:rsidRDefault="003C2695" w:rsidP="008A5A8F">
            <w:pPr>
              <w:spacing w:line="360" w:lineRule="auto"/>
              <w:jc w:val="center"/>
              <w:rPr>
                <w:rFonts w:ascii="Arial" w:hAnsi="Arial" w:cs="Arial"/>
                <w:sz w:val="20"/>
              </w:rPr>
            </w:pPr>
            <w:r w:rsidRPr="00255063">
              <w:rPr>
                <w:rFonts w:ascii="Arial" w:hAnsi="Arial" w:cs="Arial"/>
                <w:sz w:val="20"/>
              </w:rPr>
              <w:t xml:space="preserve">  4 (15,4%)</w:t>
            </w:r>
          </w:p>
        </w:tc>
      </w:tr>
      <w:tr w:rsidR="003C2695" w:rsidRPr="00255063" w:rsidTr="008A5A8F">
        <w:tc>
          <w:tcPr>
            <w:tcW w:w="3402" w:type="dxa"/>
          </w:tcPr>
          <w:p w:rsidR="003C2695" w:rsidRPr="00255063" w:rsidRDefault="003C2695" w:rsidP="008A5A8F">
            <w:pPr>
              <w:spacing w:line="360" w:lineRule="auto"/>
              <w:ind w:left="490"/>
              <w:jc w:val="both"/>
              <w:rPr>
                <w:rFonts w:ascii="Arial" w:hAnsi="Arial" w:cs="Arial"/>
                <w:sz w:val="20"/>
              </w:rPr>
            </w:pPr>
            <w:r w:rsidRPr="00255063">
              <w:rPr>
                <w:rFonts w:ascii="Arial" w:hAnsi="Arial" w:cs="Arial"/>
                <w:sz w:val="20"/>
              </w:rPr>
              <w:t>IV</w:t>
            </w:r>
          </w:p>
        </w:tc>
        <w:tc>
          <w:tcPr>
            <w:tcW w:w="3859" w:type="dxa"/>
          </w:tcPr>
          <w:p w:rsidR="003C2695" w:rsidRPr="00255063" w:rsidRDefault="003C2695" w:rsidP="008A5A8F">
            <w:pPr>
              <w:spacing w:line="360" w:lineRule="auto"/>
              <w:jc w:val="center"/>
              <w:rPr>
                <w:rFonts w:ascii="Arial" w:hAnsi="Arial" w:cs="Arial"/>
                <w:sz w:val="20"/>
              </w:rPr>
            </w:pPr>
            <w:r w:rsidRPr="00255063">
              <w:rPr>
                <w:rFonts w:ascii="Arial" w:hAnsi="Arial" w:cs="Arial"/>
                <w:sz w:val="20"/>
              </w:rPr>
              <w:t xml:space="preserve">   2   (7,7%)</w:t>
            </w:r>
          </w:p>
        </w:tc>
      </w:tr>
      <w:tr w:rsidR="003C2695" w:rsidRPr="00255063" w:rsidTr="008A5A8F">
        <w:tc>
          <w:tcPr>
            <w:tcW w:w="3402" w:type="dxa"/>
            <w:tcBorders>
              <w:bottom w:val="single" w:sz="4" w:space="0" w:color="auto"/>
            </w:tcBorders>
          </w:tcPr>
          <w:p w:rsidR="003C2695" w:rsidRPr="00255063" w:rsidRDefault="003C2695" w:rsidP="008A5A8F">
            <w:pPr>
              <w:spacing w:line="360" w:lineRule="auto"/>
              <w:ind w:left="490"/>
              <w:jc w:val="both"/>
              <w:rPr>
                <w:rFonts w:ascii="Arial" w:hAnsi="Arial" w:cs="Arial"/>
                <w:sz w:val="20"/>
              </w:rPr>
            </w:pPr>
            <w:r w:rsidRPr="00255063">
              <w:rPr>
                <w:rFonts w:ascii="Arial" w:hAnsi="Arial" w:cs="Arial"/>
                <w:sz w:val="20"/>
              </w:rPr>
              <w:t>VI</w:t>
            </w:r>
          </w:p>
        </w:tc>
        <w:tc>
          <w:tcPr>
            <w:tcW w:w="3859" w:type="dxa"/>
            <w:tcBorders>
              <w:bottom w:val="single" w:sz="4" w:space="0" w:color="auto"/>
            </w:tcBorders>
          </w:tcPr>
          <w:p w:rsidR="003C2695" w:rsidRPr="00255063" w:rsidRDefault="003C2695" w:rsidP="008A5A8F">
            <w:pPr>
              <w:spacing w:line="360" w:lineRule="auto"/>
              <w:jc w:val="center"/>
              <w:rPr>
                <w:rFonts w:ascii="Arial" w:hAnsi="Arial" w:cs="Arial"/>
                <w:sz w:val="20"/>
              </w:rPr>
            </w:pPr>
            <w:r w:rsidRPr="00255063">
              <w:rPr>
                <w:rFonts w:ascii="Arial" w:hAnsi="Arial" w:cs="Arial"/>
                <w:sz w:val="20"/>
              </w:rPr>
              <w:t xml:space="preserve"> 19 (73,1%)</w:t>
            </w:r>
          </w:p>
        </w:tc>
      </w:tr>
    </w:tbl>
    <w:p w:rsidR="003C2695" w:rsidRPr="00255063" w:rsidRDefault="003C2695" w:rsidP="003C2695">
      <w:pPr>
        <w:tabs>
          <w:tab w:val="left" w:pos="6804"/>
        </w:tabs>
        <w:spacing w:after="0" w:line="240" w:lineRule="auto"/>
        <w:ind w:left="567"/>
        <w:jc w:val="both"/>
        <w:rPr>
          <w:rFonts w:ascii="Arial" w:hAnsi="Arial" w:cs="Arial"/>
          <w:sz w:val="20"/>
        </w:rPr>
      </w:pPr>
      <w:r w:rsidRPr="00255063">
        <w:rPr>
          <w:rFonts w:ascii="Arial" w:hAnsi="Arial" w:cs="Arial"/>
          <w:b/>
          <w:sz w:val="20"/>
        </w:rPr>
        <w:t>Legenda:</w:t>
      </w:r>
      <w:r w:rsidRPr="00255063">
        <w:rPr>
          <w:rFonts w:ascii="Arial" w:hAnsi="Arial" w:cs="Arial"/>
          <w:sz w:val="20"/>
        </w:rPr>
        <w:t xml:space="preserve"> MPS </w:t>
      </w:r>
      <w:r w:rsidRPr="00255063">
        <w:rPr>
          <w:rFonts w:ascii="Arial" w:hAnsi="Arial" w:cs="Arial"/>
          <w:sz w:val="20"/>
          <w:szCs w:val="24"/>
        </w:rPr>
        <w:t>–</w:t>
      </w:r>
      <w:r w:rsidRPr="00255063">
        <w:rPr>
          <w:rFonts w:ascii="Arial" w:hAnsi="Arial" w:cs="Arial"/>
          <w:sz w:val="20"/>
        </w:rPr>
        <w:t xml:space="preserve"> Mucopolissacaridose; DP </w:t>
      </w:r>
      <w:r w:rsidRPr="00255063">
        <w:rPr>
          <w:rFonts w:ascii="Arial" w:hAnsi="Arial" w:cs="Arial"/>
          <w:sz w:val="20"/>
          <w:szCs w:val="24"/>
        </w:rPr>
        <w:t>–</w:t>
      </w:r>
      <w:r w:rsidRPr="00255063">
        <w:rPr>
          <w:rFonts w:ascii="Arial" w:hAnsi="Arial" w:cs="Arial"/>
          <w:sz w:val="20"/>
        </w:rPr>
        <w:t xml:space="preserve"> Desvio-padrão.</w:t>
      </w:r>
    </w:p>
    <w:p w:rsidR="003C2695" w:rsidRPr="00255063" w:rsidRDefault="003C2695" w:rsidP="003C2695">
      <w:pPr>
        <w:tabs>
          <w:tab w:val="left" w:pos="6804"/>
        </w:tabs>
        <w:spacing w:after="0" w:line="240" w:lineRule="auto"/>
        <w:ind w:left="567"/>
        <w:jc w:val="both"/>
        <w:rPr>
          <w:rFonts w:ascii="Arial" w:hAnsi="Arial" w:cs="Arial"/>
          <w:sz w:val="20"/>
        </w:rPr>
      </w:pPr>
      <w:r w:rsidRPr="00255063">
        <w:rPr>
          <w:rFonts w:ascii="Arial" w:hAnsi="Arial" w:cs="Arial"/>
          <w:b/>
          <w:sz w:val="20"/>
        </w:rPr>
        <w:t>Fonte:</w:t>
      </w:r>
      <w:r w:rsidRPr="00255063">
        <w:rPr>
          <w:rFonts w:ascii="Arial" w:hAnsi="Arial" w:cs="Arial"/>
          <w:sz w:val="20"/>
        </w:rPr>
        <w:t xml:space="preserve"> Salvador-BA, 2017.</w:t>
      </w:r>
    </w:p>
    <w:p w:rsidR="003C2695" w:rsidRDefault="003C2695" w:rsidP="003C2695">
      <w:pPr>
        <w:tabs>
          <w:tab w:val="left" w:pos="6804"/>
        </w:tabs>
        <w:jc w:val="both"/>
        <w:rPr>
          <w:rFonts w:ascii="Arial" w:hAnsi="Arial" w:cs="Arial"/>
          <w:sz w:val="24"/>
        </w:rPr>
      </w:pPr>
    </w:p>
    <w:p w:rsidR="00354961" w:rsidRDefault="00354961" w:rsidP="003C2695">
      <w:pPr>
        <w:tabs>
          <w:tab w:val="left" w:pos="6804"/>
        </w:tabs>
        <w:jc w:val="both"/>
        <w:rPr>
          <w:rFonts w:ascii="Arial" w:hAnsi="Arial" w:cs="Arial"/>
          <w:sz w:val="24"/>
        </w:rPr>
      </w:pPr>
    </w:p>
    <w:p w:rsidR="00354961" w:rsidRDefault="00354961" w:rsidP="003C2695">
      <w:pPr>
        <w:tabs>
          <w:tab w:val="left" w:pos="6804"/>
        </w:tabs>
        <w:jc w:val="both"/>
        <w:rPr>
          <w:rFonts w:ascii="Arial" w:hAnsi="Arial" w:cs="Arial"/>
          <w:sz w:val="24"/>
        </w:rPr>
      </w:pPr>
    </w:p>
    <w:p w:rsidR="003C2695" w:rsidRPr="00190308" w:rsidRDefault="003C2695" w:rsidP="00190308">
      <w:pPr>
        <w:spacing w:after="0" w:line="240" w:lineRule="auto"/>
        <w:ind w:left="567" w:right="1274"/>
        <w:jc w:val="both"/>
        <w:rPr>
          <w:rFonts w:ascii="Arial" w:hAnsi="Arial" w:cs="Arial"/>
          <w:sz w:val="24"/>
        </w:rPr>
      </w:pPr>
      <w:r w:rsidRPr="00190308">
        <w:rPr>
          <w:rFonts w:ascii="Arial" w:hAnsi="Arial" w:cs="Arial"/>
          <w:b/>
          <w:sz w:val="24"/>
        </w:rPr>
        <w:t xml:space="preserve">Tabela </w:t>
      </w:r>
      <w:r w:rsidR="00190308">
        <w:rPr>
          <w:rFonts w:ascii="Arial" w:hAnsi="Arial" w:cs="Arial"/>
          <w:b/>
          <w:sz w:val="24"/>
        </w:rPr>
        <w:t>2</w:t>
      </w:r>
      <w:r w:rsidRPr="00190308">
        <w:rPr>
          <w:rFonts w:ascii="Arial" w:hAnsi="Arial" w:cs="Arial"/>
          <w:b/>
          <w:sz w:val="24"/>
        </w:rPr>
        <w:t xml:space="preserve"> –</w:t>
      </w:r>
      <w:r w:rsidRPr="00190308">
        <w:rPr>
          <w:rFonts w:ascii="Arial" w:hAnsi="Arial" w:cs="Arial"/>
          <w:sz w:val="24"/>
        </w:rPr>
        <w:t xml:space="preserve"> Escores das dimensões/domínios e total da escala MIF aplicada aos pais das crianças e adolescentes acompanhados em um ambulatório de Ortopedia na cidade de Salvador-BA, no período de janeiro de 2012 a outubro de 2014.</w:t>
      </w:r>
    </w:p>
    <w:tbl>
      <w:tblPr>
        <w:tblStyle w:val="Tabelacomgrade"/>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2082"/>
        <w:gridCol w:w="1407"/>
      </w:tblGrid>
      <w:tr w:rsidR="003C2695" w:rsidRPr="00255063" w:rsidTr="008A5A8F">
        <w:tc>
          <w:tcPr>
            <w:tcW w:w="3741" w:type="dxa"/>
            <w:tcBorders>
              <w:top w:val="single" w:sz="4" w:space="0" w:color="auto"/>
              <w:bottom w:val="single" w:sz="4" w:space="0" w:color="auto"/>
            </w:tcBorders>
          </w:tcPr>
          <w:p w:rsidR="003C2695" w:rsidRPr="00255063" w:rsidRDefault="003C2695" w:rsidP="008A5A8F">
            <w:pPr>
              <w:tabs>
                <w:tab w:val="left" w:pos="3332"/>
              </w:tabs>
              <w:spacing w:line="360" w:lineRule="auto"/>
              <w:jc w:val="center"/>
              <w:rPr>
                <w:rFonts w:ascii="Arial" w:hAnsi="Arial" w:cs="Arial"/>
                <w:b/>
                <w:sz w:val="20"/>
                <w:szCs w:val="24"/>
              </w:rPr>
            </w:pPr>
            <w:r w:rsidRPr="00255063">
              <w:rPr>
                <w:rFonts w:ascii="Arial" w:hAnsi="Arial" w:cs="Arial"/>
                <w:b/>
                <w:sz w:val="20"/>
                <w:szCs w:val="24"/>
              </w:rPr>
              <w:t>Dimensões da Escala MIF</w:t>
            </w:r>
          </w:p>
        </w:tc>
        <w:tc>
          <w:tcPr>
            <w:tcW w:w="2082" w:type="dxa"/>
            <w:tcBorders>
              <w:top w:val="single" w:sz="4" w:space="0" w:color="auto"/>
              <w:bottom w:val="single" w:sz="4" w:space="0" w:color="auto"/>
            </w:tcBorders>
          </w:tcPr>
          <w:p w:rsidR="003C2695" w:rsidRPr="00255063" w:rsidRDefault="003C2695" w:rsidP="008A5A8F">
            <w:pPr>
              <w:spacing w:line="360" w:lineRule="auto"/>
              <w:ind w:left="-481"/>
              <w:jc w:val="center"/>
              <w:rPr>
                <w:rFonts w:ascii="Arial" w:hAnsi="Arial" w:cs="Arial"/>
                <w:b/>
                <w:sz w:val="20"/>
                <w:szCs w:val="24"/>
              </w:rPr>
            </w:pPr>
            <w:r w:rsidRPr="00255063">
              <w:rPr>
                <w:rFonts w:ascii="Arial" w:hAnsi="Arial" w:cs="Arial"/>
                <w:b/>
                <w:sz w:val="20"/>
                <w:szCs w:val="24"/>
              </w:rPr>
              <w:t>Média±DP</w:t>
            </w:r>
          </w:p>
        </w:tc>
        <w:tc>
          <w:tcPr>
            <w:tcW w:w="1407" w:type="dxa"/>
            <w:tcBorders>
              <w:top w:val="single" w:sz="4" w:space="0" w:color="auto"/>
              <w:bottom w:val="single" w:sz="4" w:space="0" w:color="auto"/>
            </w:tcBorders>
          </w:tcPr>
          <w:p w:rsidR="003C2695" w:rsidRPr="00255063" w:rsidRDefault="003C2695" w:rsidP="008A5A8F">
            <w:pPr>
              <w:spacing w:line="360" w:lineRule="auto"/>
              <w:jc w:val="center"/>
              <w:rPr>
                <w:rFonts w:ascii="Arial" w:hAnsi="Arial" w:cs="Arial"/>
                <w:b/>
                <w:sz w:val="20"/>
                <w:szCs w:val="24"/>
              </w:rPr>
            </w:pPr>
            <w:r w:rsidRPr="00255063">
              <w:rPr>
                <w:rFonts w:ascii="Arial" w:hAnsi="Arial" w:cs="Arial"/>
                <w:b/>
                <w:sz w:val="20"/>
                <w:szCs w:val="24"/>
              </w:rPr>
              <w:t>(%)*</w:t>
            </w:r>
          </w:p>
        </w:tc>
      </w:tr>
      <w:tr w:rsidR="003C2695" w:rsidRPr="00255063" w:rsidTr="008A5A8F">
        <w:tc>
          <w:tcPr>
            <w:tcW w:w="3741" w:type="dxa"/>
            <w:tcBorders>
              <w:top w:val="single" w:sz="4" w:space="0" w:color="auto"/>
            </w:tcBorders>
          </w:tcPr>
          <w:p w:rsidR="003C2695" w:rsidRPr="00255063" w:rsidRDefault="003C2695" w:rsidP="008A5A8F">
            <w:pPr>
              <w:spacing w:line="360" w:lineRule="auto"/>
              <w:jc w:val="both"/>
              <w:rPr>
                <w:rFonts w:ascii="Arial" w:hAnsi="Arial" w:cs="Arial"/>
                <w:sz w:val="20"/>
                <w:szCs w:val="24"/>
              </w:rPr>
            </w:pPr>
            <w:r w:rsidRPr="00255063">
              <w:rPr>
                <w:rFonts w:ascii="Arial" w:hAnsi="Arial" w:cs="Arial"/>
                <w:b/>
                <w:sz w:val="20"/>
                <w:szCs w:val="24"/>
              </w:rPr>
              <w:t>Domínio Motor</w:t>
            </w:r>
          </w:p>
        </w:tc>
        <w:tc>
          <w:tcPr>
            <w:tcW w:w="2082" w:type="dxa"/>
            <w:tcBorders>
              <w:top w:val="single" w:sz="4" w:space="0" w:color="auto"/>
            </w:tcBorders>
          </w:tcPr>
          <w:p w:rsidR="003C2695" w:rsidRPr="00255063" w:rsidRDefault="003C2695" w:rsidP="008A5A8F">
            <w:pPr>
              <w:spacing w:line="360" w:lineRule="auto"/>
              <w:jc w:val="center"/>
              <w:rPr>
                <w:rFonts w:ascii="Arial" w:hAnsi="Arial" w:cs="Arial"/>
                <w:sz w:val="20"/>
                <w:szCs w:val="24"/>
              </w:rPr>
            </w:pPr>
            <w:r w:rsidRPr="00255063">
              <w:rPr>
                <w:rFonts w:ascii="Arial" w:hAnsi="Arial" w:cs="Arial"/>
                <w:sz w:val="20"/>
                <w:szCs w:val="24"/>
              </w:rPr>
              <w:t>65±19,9</w:t>
            </w:r>
          </w:p>
        </w:tc>
        <w:tc>
          <w:tcPr>
            <w:tcW w:w="1407" w:type="dxa"/>
            <w:tcBorders>
              <w:top w:val="single" w:sz="4" w:space="0" w:color="auto"/>
            </w:tcBorders>
          </w:tcPr>
          <w:p w:rsidR="003C2695" w:rsidRPr="00255063" w:rsidRDefault="003C2695" w:rsidP="008A5A8F">
            <w:pPr>
              <w:spacing w:line="360" w:lineRule="auto"/>
              <w:jc w:val="center"/>
              <w:rPr>
                <w:rFonts w:ascii="Arial" w:hAnsi="Arial" w:cs="Arial"/>
                <w:sz w:val="20"/>
                <w:szCs w:val="24"/>
              </w:rPr>
            </w:pPr>
            <w:r w:rsidRPr="00255063">
              <w:rPr>
                <w:rFonts w:ascii="Arial" w:hAnsi="Arial" w:cs="Arial"/>
                <w:sz w:val="20"/>
                <w:szCs w:val="24"/>
              </w:rPr>
              <w:t>71%</w:t>
            </w:r>
          </w:p>
        </w:tc>
      </w:tr>
      <w:tr w:rsidR="003C2695" w:rsidRPr="00255063" w:rsidTr="008A5A8F">
        <w:tc>
          <w:tcPr>
            <w:tcW w:w="3741" w:type="dxa"/>
          </w:tcPr>
          <w:p w:rsidR="003C2695" w:rsidRPr="00255063" w:rsidRDefault="003C2695" w:rsidP="008A5A8F">
            <w:pPr>
              <w:spacing w:line="360" w:lineRule="auto"/>
              <w:ind w:left="433"/>
              <w:jc w:val="both"/>
              <w:rPr>
                <w:rFonts w:ascii="Arial" w:hAnsi="Arial" w:cs="Arial"/>
                <w:sz w:val="20"/>
                <w:szCs w:val="24"/>
              </w:rPr>
            </w:pPr>
            <w:r w:rsidRPr="00255063">
              <w:rPr>
                <w:rFonts w:ascii="Arial" w:hAnsi="Arial" w:cs="Arial"/>
                <w:sz w:val="20"/>
                <w:szCs w:val="24"/>
              </w:rPr>
              <w:t>Autocuidado</w:t>
            </w:r>
          </w:p>
        </w:tc>
        <w:tc>
          <w:tcPr>
            <w:tcW w:w="2082" w:type="dxa"/>
          </w:tcPr>
          <w:p w:rsidR="003C2695" w:rsidRPr="00255063" w:rsidRDefault="003C2695" w:rsidP="008A5A8F">
            <w:pPr>
              <w:spacing w:line="360" w:lineRule="auto"/>
              <w:jc w:val="center"/>
              <w:rPr>
                <w:rFonts w:ascii="Arial" w:hAnsi="Arial" w:cs="Arial"/>
                <w:sz w:val="20"/>
                <w:szCs w:val="24"/>
              </w:rPr>
            </w:pPr>
            <w:r w:rsidRPr="00255063">
              <w:rPr>
                <w:rFonts w:ascii="Arial" w:hAnsi="Arial" w:cs="Arial"/>
                <w:sz w:val="20"/>
                <w:szCs w:val="24"/>
              </w:rPr>
              <w:t>26±8,3</w:t>
            </w:r>
          </w:p>
        </w:tc>
        <w:tc>
          <w:tcPr>
            <w:tcW w:w="1407" w:type="dxa"/>
          </w:tcPr>
          <w:p w:rsidR="003C2695" w:rsidRPr="00255063" w:rsidRDefault="003C2695" w:rsidP="008A5A8F">
            <w:pPr>
              <w:spacing w:line="360" w:lineRule="auto"/>
              <w:jc w:val="center"/>
              <w:rPr>
                <w:rFonts w:ascii="Arial" w:hAnsi="Arial" w:cs="Arial"/>
                <w:sz w:val="20"/>
                <w:szCs w:val="24"/>
              </w:rPr>
            </w:pPr>
            <w:r w:rsidRPr="00255063">
              <w:rPr>
                <w:rFonts w:ascii="Arial" w:hAnsi="Arial" w:cs="Arial"/>
                <w:sz w:val="20"/>
                <w:szCs w:val="24"/>
              </w:rPr>
              <w:t>62%</w:t>
            </w:r>
          </w:p>
        </w:tc>
      </w:tr>
      <w:tr w:rsidR="003C2695" w:rsidRPr="00255063" w:rsidTr="008A5A8F">
        <w:tc>
          <w:tcPr>
            <w:tcW w:w="3741" w:type="dxa"/>
          </w:tcPr>
          <w:p w:rsidR="003C2695" w:rsidRPr="00255063" w:rsidRDefault="003C2695" w:rsidP="008A5A8F">
            <w:pPr>
              <w:spacing w:line="360" w:lineRule="auto"/>
              <w:ind w:left="433"/>
              <w:jc w:val="both"/>
              <w:rPr>
                <w:rFonts w:ascii="Arial" w:hAnsi="Arial" w:cs="Arial"/>
                <w:sz w:val="20"/>
                <w:szCs w:val="24"/>
              </w:rPr>
            </w:pPr>
            <w:r w:rsidRPr="00255063">
              <w:rPr>
                <w:rFonts w:ascii="Arial" w:hAnsi="Arial" w:cs="Arial"/>
                <w:sz w:val="20"/>
                <w:szCs w:val="24"/>
              </w:rPr>
              <w:t>Controle esfincteriano</w:t>
            </w:r>
          </w:p>
        </w:tc>
        <w:tc>
          <w:tcPr>
            <w:tcW w:w="2082" w:type="dxa"/>
          </w:tcPr>
          <w:p w:rsidR="003C2695" w:rsidRPr="00255063" w:rsidRDefault="003C2695" w:rsidP="008A5A8F">
            <w:pPr>
              <w:spacing w:line="360" w:lineRule="auto"/>
              <w:jc w:val="center"/>
              <w:rPr>
                <w:rFonts w:ascii="Arial" w:hAnsi="Arial" w:cs="Arial"/>
                <w:sz w:val="20"/>
                <w:szCs w:val="24"/>
              </w:rPr>
            </w:pPr>
            <w:r w:rsidRPr="00255063">
              <w:rPr>
                <w:rFonts w:ascii="Arial" w:hAnsi="Arial" w:cs="Arial"/>
                <w:sz w:val="20"/>
                <w:szCs w:val="24"/>
              </w:rPr>
              <w:t>12±3,5</w:t>
            </w:r>
          </w:p>
        </w:tc>
        <w:tc>
          <w:tcPr>
            <w:tcW w:w="1407" w:type="dxa"/>
          </w:tcPr>
          <w:p w:rsidR="003C2695" w:rsidRPr="00255063" w:rsidRDefault="003C2695" w:rsidP="008A5A8F">
            <w:pPr>
              <w:spacing w:line="360" w:lineRule="auto"/>
              <w:jc w:val="center"/>
              <w:rPr>
                <w:rFonts w:ascii="Arial" w:hAnsi="Arial" w:cs="Arial"/>
                <w:sz w:val="20"/>
                <w:szCs w:val="24"/>
              </w:rPr>
            </w:pPr>
            <w:r w:rsidRPr="00255063">
              <w:rPr>
                <w:rFonts w:ascii="Arial" w:hAnsi="Arial" w:cs="Arial"/>
                <w:sz w:val="20"/>
                <w:szCs w:val="24"/>
              </w:rPr>
              <w:t>86%</w:t>
            </w:r>
          </w:p>
        </w:tc>
      </w:tr>
      <w:tr w:rsidR="003C2695" w:rsidRPr="00255063" w:rsidTr="008A5A8F">
        <w:tc>
          <w:tcPr>
            <w:tcW w:w="3741" w:type="dxa"/>
          </w:tcPr>
          <w:p w:rsidR="003C2695" w:rsidRPr="00255063" w:rsidRDefault="003C2695" w:rsidP="008A5A8F">
            <w:pPr>
              <w:spacing w:line="360" w:lineRule="auto"/>
              <w:ind w:left="433"/>
              <w:jc w:val="both"/>
              <w:rPr>
                <w:rFonts w:ascii="Arial" w:hAnsi="Arial" w:cs="Arial"/>
                <w:sz w:val="20"/>
                <w:szCs w:val="24"/>
              </w:rPr>
            </w:pPr>
            <w:r w:rsidRPr="00255063">
              <w:rPr>
                <w:rFonts w:ascii="Arial" w:hAnsi="Arial" w:cs="Arial"/>
                <w:sz w:val="20"/>
                <w:szCs w:val="24"/>
              </w:rPr>
              <w:t>Transferências</w:t>
            </w:r>
          </w:p>
        </w:tc>
        <w:tc>
          <w:tcPr>
            <w:tcW w:w="2082" w:type="dxa"/>
          </w:tcPr>
          <w:p w:rsidR="003C2695" w:rsidRPr="00255063" w:rsidRDefault="003C2695" w:rsidP="008A5A8F">
            <w:pPr>
              <w:spacing w:line="360" w:lineRule="auto"/>
              <w:jc w:val="center"/>
              <w:rPr>
                <w:rFonts w:ascii="Arial" w:hAnsi="Arial" w:cs="Arial"/>
                <w:sz w:val="20"/>
                <w:szCs w:val="24"/>
              </w:rPr>
            </w:pPr>
            <w:r w:rsidRPr="00255063">
              <w:rPr>
                <w:rFonts w:ascii="Arial" w:hAnsi="Arial" w:cs="Arial"/>
                <w:sz w:val="20"/>
                <w:szCs w:val="24"/>
              </w:rPr>
              <w:t>17±6,6</w:t>
            </w:r>
          </w:p>
        </w:tc>
        <w:tc>
          <w:tcPr>
            <w:tcW w:w="1407" w:type="dxa"/>
          </w:tcPr>
          <w:p w:rsidR="003C2695" w:rsidRPr="00255063" w:rsidRDefault="003C2695" w:rsidP="008A5A8F">
            <w:pPr>
              <w:spacing w:line="360" w:lineRule="auto"/>
              <w:jc w:val="center"/>
              <w:rPr>
                <w:rFonts w:ascii="Arial" w:hAnsi="Arial" w:cs="Arial"/>
                <w:sz w:val="20"/>
                <w:szCs w:val="24"/>
              </w:rPr>
            </w:pPr>
            <w:r w:rsidRPr="00255063">
              <w:rPr>
                <w:rFonts w:ascii="Arial" w:hAnsi="Arial" w:cs="Arial"/>
                <w:sz w:val="20"/>
                <w:szCs w:val="24"/>
              </w:rPr>
              <w:t>81%</w:t>
            </w:r>
          </w:p>
        </w:tc>
      </w:tr>
      <w:tr w:rsidR="003C2695" w:rsidRPr="00255063" w:rsidTr="008A5A8F">
        <w:tc>
          <w:tcPr>
            <w:tcW w:w="3741" w:type="dxa"/>
          </w:tcPr>
          <w:p w:rsidR="003C2695" w:rsidRPr="00255063" w:rsidRDefault="003C2695" w:rsidP="008A5A8F">
            <w:pPr>
              <w:spacing w:line="360" w:lineRule="auto"/>
              <w:ind w:left="433"/>
              <w:jc w:val="both"/>
              <w:rPr>
                <w:rFonts w:ascii="Arial" w:hAnsi="Arial" w:cs="Arial"/>
                <w:sz w:val="20"/>
                <w:szCs w:val="24"/>
              </w:rPr>
            </w:pPr>
            <w:r w:rsidRPr="00255063">
              <w:rPr>
                <w:rFonts w:ascii="Arial" w:hAnsi="Arial" w:cs="Arial"/>
                <w:sz w:val="20"/>
                <w:szCs w:val="24"/>
              </w:rPr>
              <w:t>Locomoção</w:t>
            </w:r>
          </w:p>
        </w:tc>
        <w:tc>
          <w:tcPr>
            <w:tcW w:w="2082" w:type="dxa"/>
          </w:tcPr>
          <w:p w:rsidR="003C2695" w:rsidRPr="00255063" w:rsidRDefault="003C2695" w:rsidP="008A5A8F">
            <w:pPr>
              <w:spacing w:line="360" w:lineRule="auto"/>
              <w:jc w:val="center"/>
              <w:rPr>
                <w:rFonts w:ascii="Arial" w:hAnsi="Arial" w:cs="Arial"/>
                <w:sz w:val="20"/>
                <w:szCs w:val="24"/>
              </w:rPr>
            </w:pPr>
            <w:r w:rsidRPr="00255063">
              <w:rPr>
                <w:rFonts w:ascii="Arial" w:hAnsi="Arial" w:cs="Arial"/>
                <w:sz w:val="20"/>
                <w:szCs w:val="24"/>
              </w:rPr>
              <w:t>10±4,8</w:t>
            </w:r>
          </w:p>
        </w:tc>
        <w:tc>
          <w:tcPr>
            <w:tcW w:w="1407" w:type="dxa"/>
          </w:tcPr>
          <w:p w:rsidR="003C2695" w:rsidRPr="00255063" w:rsidRDefault="003C2695" w:rsidP="008A5A8F">
            <w:pPr>
              <w:spacing w:line="360" w:lineRule="auto"/>
              <w:jc w:val="center"/>
              <w:rPr>
                <w:rFonts w:ascii="Arial" w:hAnsi="Arial" w:cs="Arial"/>
                <w:sz w:val="20"/>
                <w:szCs w:val="24"/>
              </w:rPr>
            </w:pPr>
            <w:r w:rsidRPr="00255063">
              <w:rPr>
                <w:rFonts w:ascii="Arial" w:hAnsi="Arial" w:cs="Arial"/>
                <w:sz w:val="20"/>
                <w:szCs w:val="24"/>
              </w:rPr>
              <w:t>71%</w:t>
            </w:r>
          </w:p>
        </w:tc>
      </w:tr>
      <w:tr w:rsidR="003C2695" w:rsidRPr="00255063" w:rsidTr="008A5A8F">
        <w:tc>
          <w:tcPr>
            <w:tcW w:w="3741" w:type="dxa"/>
          </w:tcPr>
          <w:p w:rsidR="003C2695" w:rsidRPr="00255063" w:rsidRDefault="003C2695" w:rsidP="008A5A8F">
            <w:pPr>
              <w:spacing w:line="360" w:lineRule="auto"/>
              <w:jc w:val="both"/>
              <w:rPr>
                <w:rFonts w:ascii="Arial" w:hAnsi="Arial" w:cs="Arial"/>
                <w:b/>
                <w:sz w:val="20"/>
                <w:szCs w:val="24"/>
              </w:rPr>
            </w:pPr>
            <w:r w:rsidRPr="00255063">
              <w:rPr>
                <w:rFonts w:ascii="Arial" w:hAnsi="Arial" w:cs="Arial"/>
                <w:b/>
                <w:sz w:val="20"/>
                <w:szCs w:val="24"/>
              </w:rPr>
              <w:t>Domínio Cognitivo</w:t>
            </w:r>
          </w:p>
        </w:tc>
        <w:tc>
          <w:tcPr>
            <w:tcW w:w="2082" w:type="dxa"/>
          </w:tcPr>
          <w:p w:rsidR="003C2695" w:rsidRPr="00255063" w:rsidRDefault="003C2695" w:rsidP="008A5A8F">
            <w:pPr>
              <w:spacing w:line="360" w:lineRule="auto"/>
              <w:jc w:val="center"/>
              <w:rPr>
                <w:rFonts w:ascii="Arial" w:hAnsi="Arial" w:cs="Arial"/>
                <w:sz w:val="20"/>
                <w:szCs w:val="24"/>
              </w:rPr>
            </w:pPr>
            <w:r w:rsidRPr="00255063">
              <w:rPr>
                <w:rFonts w:ascii="Arial" w:hAnsi="Arial" w:cs="Arial"/>
                <w:sz w:val="20"/>
                <w:szCs w:val="24"/>
              </w:rPr>
              <w:t>28±8,2</w:t>
            </w:r>
          </w:p>
        </w:tc>
        <w:tc>
          <w:tcPr>
            <w:tcW w:w="1407" w:type="dxa"/>
          </w:tcPr>
          <w:p w:rsidR="003C2695" w:rsidRPr="00255063" w:rsidRDefault="003C2695" w:rsidP="008A5A8F">
            <w:pPr>
              <w:spacing w:line="360" w:lineRule="auto"/>
              <w:jc w:val="center"/>
              <w:rPr>
                <w:rFonts w:ascii="Arial" w:hAnsi="Arial" w:cs="Arial"/>
                <w:sz w:val="20"/>
                <w:szCs w:val="24"/>
              </w:rPr>
            </w:pPr>
            <w:r w:rsidRPr="00255063">
              <w:rPr>
                <w:rFonts w:ascii="Arial" w:hAnsi="Arial" w:cs="Arial"/>
                <w:sz w:val="20"/>
                <w:szCs w:val="24"/>
              </w:rPr>
              <w:t>80%</w:t>
            </w:r>
          </w:p>
        </w:tc>
      </w:tr>
      <w:tr w:rsidR="003C2695" w:rsidRPr="00255063" w:rsidTr="008A5A8F">
        <w:tc>
          <w:tcPr>
            <w:tcW w:w="3741" w:type="dxa"/>
          </w:tcPr>
          <w:p w:rsidR="003C2695" w:rsidRPr="00255063" w:rsidRDefault="003C2695" w:rsidP="008A5A8F">
            <w:pPr>
              <w:spacing w:line="360" w:lineRule="auto"/>
              <w:ind w:left="433"/>
              <w:jc w:val="both"/>
              <w:rPr>
                <w:rFonts w:ascii="Arial" w:hAnsi="Arial" w:cs="Arial"/>
                <w:sz w:val="20"/>
                <w:szCs w:val="24"/>
              </w:rPr>
            </w:pPr>
            <w:r w:rsidRPr="00255063">
              <w:rPr>
                <w:rFonts w:ascii="Arial" w:hAnsi="Arial" w:cs="Arial"/>
                <w:sz w:val="20"/>
                <w:szCs w:val="24"/>
              </w:rPr>
              <w:t>Comunicação</w:t>
            </w:r>
          </w:p>
        </w:tc>
        <w:tc>
          <w:tcPr>
            <w:tcW w:w="2082" w:type="dxa"/>
          </w:tcPr>
          <w:p w:rsidR="003C2695" w:rsidRPr="00255063" w:rsidRDefault="003C2695" w:rsidP="008A5A8F">
            <w:pPr>
              <w:spacing w:line="360" w:lineRule="auto"/>
              <w:jc w:val="center"/>
              <w:rPr>
                <w:rFonts w:ascii="Arial" w:hAnsi="Arial" w:cs="Arial"/>
                <w:sz w:val="20"/>
                <w:szCs w:val="24"/>
              </w:rPr>
            </w:pPr>
            <w:r w:rsidRPr="00255063">
              <w:rPr>
                <w:rFonts w:ascii="Arial" w:hAnsi="Arial" w:cs="Arial"/>
                <w:sz w:val="20"/>
                <w:szCs w:val="24"/>
              </w:rPr>
              <w:t>12±3,7</w:t>
            </w:r>
          </w:p>
        </w:tc>
        <w:tc>
          <w:tcPr>
            <w:tcW w:w="1407" w:type="dxa"/>
          </w:tcPr>
          <w:p w:rsidR="003C2695" w:rsidRPr="00255063" w:rsidRDefault="003C2695" w:rsidP="008A5A8F">
            <w:pPr>
              <w:spacing w:line="360" w:lineRule="auto"/>
              <w:jc w:val="center"/>
              <w:rPr>
                <w:rFonts w:ascii="Arial" w:hAnsi="Arial" w:cs="Arial"/>
                <w:sz w:val="20"/>
                <w:szCs w:val="24"/>
              </w:rPr>
            </w:pPr>
            <w:r w:rsidRPr="00255063">
              <w:rPr>
                <w:rFonts w:ascii="Arial" w:hAnsi="Arial" w:cs="Arial"/>
                <w:sz w:val="20"/>
                <w:szCs w:val="24"/>
              </w:rPr>
              <w:t>86%</w:t>
            </w:r>
          </w:p>
        </w:tc>
      </w:tr>
      <w:tr w:rsidR="003C2695" w:rsidRPr="00255063" w:rsidTr="008A5A8F">
        <w:tc>
          <w:tcPr>
            <w:tcW w:w="3741" w:type="dxa"/>
          </w:tcPr>
          <w:p w:rsidR="003C2695" w:rsidRPr="00255063" w:rsidRDefault="003C2695" w:rsidP="008A5A8F">
            <w:pPr>
              <w:spacing w:line="360" w:lineRule="auto"/>
              <w:ind w:left="433"/>
              <w:jc w:val="both"/>
              <w:rPr>
                <w:rFonts w:ascii="Arial" w:hAnsi="Arial" w:cs="Arial"/>
                <w:sz w:val="20"/>
                <w:szCs w:val="24"/>
              </w:rPr>
            </w:pPr>
            <w:r w:rsidRPr="00255063">
              <w:rPr>
                <w:rFonts w:ascii="Arial" w:hAnsi="Arial" w:cs="Arial"/>
                <w:sz w:val="20"/>
                <w:szCs w:val="24"/>
              </w:rPr>
              <w:t>Cognição social</w:t>
            </w:r>
          </w:p>
        </w:tc>
        <w:tc>
          <w:tcPr>
            <w:tcW w:w="2082" w:type="dxa"/>
          </w:tcPr>
          <w:p w:rsidR="003C2695" w:rsidRPr="00255063" w:rsidRDefault="003C2695" w:rsidP="008A5A8F">
            <w:pPr>
              <w:spacing w:line="360" w:lineRule="auto"/>
              <w:jc w:val="center"/>
              <w:rPr>
                <w:rFonts w:ascii="Arial" w:hAnsi="Arial" w:cs="Arial"/>
                <w:sz w:val="20"/>
                <w:szCs w:val="24"/>
              </w:rPr>
            </w:pPr>
            <w:r w:rsidRPr="00255063">
              <w:rPr>
                <w:rFonts w:ascii="Arial" w:hAnsi="Arial" w:cs="Arial"/>
                <w:sz w:val="20"/>
                <w:szCs w:val="24"/>
              </w:rPr>
              <w:t>16±4,9</w:t>
            </w:r>
          </w:p>
        </w:tc>
        <w:tc>
          <w:tcPr>
            <w:tcW w:w="1407" w:type="dxa"/>
          </w:tcPr>
          <w:p w:rsidR="003C2695" w:rsidRPr="00255063" w:rsidRDefault="003C2695" w:rsidP="008A5A8F">
            <w:pPr>
              <w:spacing w:line="360" w:lineRule="auto"/>
              <w:jc w:val="center"/>
              <w:rPr>
                <w:rFonts w:ascii="Arial" w:hAnsi="Arial" w:cs="Arial"/>
                <w:sz w:val="20"/>
                <w:szCs w:val="24"/>
              </w:rPr>
            </w:pPr>
            <w:r w:rsidRPr="00255063">
              <w:rPr>
                <w:rFonts w:ascii="Arial" w:hAnsi="Arial" w:cs="Arial"/>
                <w:sz w:val="20"/>
                <w:szCs w:val="24"/>
              </w:rPr>
              <w:t>76%</w:t>
            </w:r>
          </w:p>
        </w:tc>
      </w:tr>
      <w:tr w:rsidR="003C2695" w:rsidRPr="00255063" w:rsidTr="008A5A8F">
        <w:tc>
          <w:tcPr>
            <w:tcW w:w="3741" w:type="dxa"/>
            <w:tcBorders>
              <w:bottom w:val="single" w:sz="4" w:space="0" w:color="auto"/>
            </w:tcBorders>
          </w:tcPr>
          <w:p w:rsidR="003C2695" w:rsidRPr="00255063" w:rsidRDefault="003C2695" w:rsidP="008A5A8F">
            <w:pPr>
              <w:spacing w:line="360" w:lineRule="auto"/>
              <w:jc w:val="both"/>
              <w:rPr>
                <w:rFonts w:ascii="Arial" w:hAnsi="Arial" w:cs="Arial"/>
                <w:b/>
                <w:sz w:val="20"/>
                <w:szCs w:val="24"/>
              </w:rPr>
            </w:pPr>
            <w:r w:rsidRPr="00255063">
              <w:rPr>
                <w:rFonts w:ascii="Arial" w:hAnsi="Arial" w:cs="Arial"/>
                <w:b/>
                <w:sz w:val="20"/>
                <w:szCs w:val="24"/>
              </w:rPr>
              <w:t>Escore Total da MIF</w:t>
            </w:r>
          </w:p>
        </w:tc>
        <w:tc>
          <w:tcPr>
            <w:tcW w:w="2082" w:type="dxa"/>
            <w:tcBorders>
              <w:bottom w:val="single" w:sz="4" w:space="0" w:color="auto"/>
            </w:tcBorders>
          </w:tcPr>
          <w:p w:rsidR="003C2695" w:rsidRPr="00255063" w:rsidRDefault="003C2695" w:rsidP="008A5A8F">
            <w:pPr>
              <w:spacing w:line="360" w:lineRule="auto"/>
              <w:jc w:val="center"/>
              <w:rPr>
                <w:rFonts w:ascii="Arial" w:hAnsi="Arial" w:cs="Arial"/>
                <w:sz w:val="20"/>
                <w:szCs w:val="24"/>
              </w:rPr>
            </w:pPr>
            <w:r w:rsidRPr="00255063">
              <w:rPr>
                <w:rFonts w:ascii="Arial" w:hAnsi="Arial" w:cs="Arial"/>
                <w:sz w:val="20"/>
                <w:szCs w:val="24"/>
              </w:rPr>
              <w:t>93±26,5</w:t>
            </w:r>
          </w:p>
        </w:tc>
        <w:tc>
          <w:tcPr>
            <w:tcW w:w="1407" w:type="dxa"/>
            <w:tcBorders>
              <w:bottom w:val="single" w:sz="4" w:space="0" w:color="auto"/>
            </w:tcBorders>
          </w:tcPr>
          <w:p w:rsidR="003C2695" w:rsidRPr="00255063" w:rsidRDefault="003C2695" w:rsidP="008A5A8F">
            <w:pPr>
              <w:spacing w:line="360" w:lineRule="auto"/>
              <w:jc w:val="center"/>
              <w:rPr>
                <w:rFonts w:ascii="Arial" w:hAnsi="Arial" w:cs="Arial"/>
                <w:sz w:val="20"/>
                <w:szCs w:val="24"/>
              </w:rPr>
            </w:pPr>
            <w:r w:rsidRPr="00255063">
              <w:rPr>
                <w:rFonts w:ascii="Arial" w:hAnsi="Arial" w:cs="Arial"/>
                <w:sz w:val="20"/>
                <w:szCs w:val="24"/>
              </w:rPr>
              <w:t>74%</w:t>
            </w:r>
          </w:p>
        </w:tc>
      </w:tr>
    </w:tbl>
    <w:p w:rsidR="003C2695" w:rsidRPr="00255063" w:rsidRDefault="003C2695" w:rsidP="003C2695">
      <w:pPr>
        <w:tabs>
          <w:tab w:val="left" w:pos="7513"/>
        </w:tabs>
        <w:spacing w:after="0" w:line="240" w:lineRule="auto"/>
        <w:ind w:left="567" w:right="1276"/>
        <w:jc w:val="both"/>
        <w:rPr>
          <w:rFonts w:ascii="Arial" w:hAnsi="Arial" w:cs="Arial"/>
          <w:sz w:val="20"/>
          <w:szCs w:val="24"/>
        </w:rPr>
      </w:pPr>
      <w:r w:rsidRPr="00255063">
        <w:rPr>
          <w:rFonts w:ascii="Arial" w:hAnsi="Arial" w:cs="Arial"/>
          <w:b/>
          <w:sz w:val="20"/>
          <w:szCs w:val="24"/>
        </w:rPr>
        <w:t>Legenda:</w:t>
      </w:r>
      <w:r w:rsidRPr="00255063">
        <w:rPr>
          <w:rFonts w:ascii="Arial" w:hAnsi="Arial" w:cs="Arial"/>
          <w:sz w:val="20"/>
          <w:szCs w:val="24"/>
        </w:rPr>
        <w:t xml:space="preserve"> DP – Desvio-padrão; MIF – Medida de Independência Funcional; </w:t>
      </w:r>
      <w:r w:rsidRPr="00255063">
        <w:rPr>
          <w:rFonts w:ascii="Arial" w:hAnsi="Arial" w:cs="Arial"/>
          <w:b/>
          <w:sz w:val="20"/>
          <w:szCs w:val="24"/>
        </w:rPr>
        <w:t xml:space="preserve">* </w:t>
      </w:r>
      <w:r w:rsidRPr="00255063">
        <w:rPr>
          <w:rFonts w:ascii="Arial" w:hAnsi="Arial" w:cs="Arial"/>
          <w:sz w:val="20"/>
          <w:szCs w:val="24"/>
        </w:rPr>
        <w:t>–</w:t>
      </w:r>
      <w:r w:rsidRPr="00255063">
        <w:rPr>
          <w:rFonts w:ascii="Arial" w:hAnsi="Arial" w:cs="Arial"/>
          <w:b/>
          <w:sz w:val="20"/>
          <w:szCs w:val="24"/>
        </w:rPr>
        <w:t xml:space="preserve"> </w:t>
      </w:r>
      <w:r w:rsidRPr="00255063">
        <w:rPr>
          <w:rFonts w:ascii="Arial" w:hAnsi="Arial" w:cs="Arial"/>
          <w:sz w:val="20"/>
          <w:szCs w:val="24"/>
        </w:rPr>
        <w:t>Percentual da pontuação média obtida, em relação ao escore máximo possível da dimensão/domínio.</w:t>
      </w:r>
    </w:p>
    <w:p w:rsidR="003C2695" w:rsidRDefault="003C2695" w:rsidP="003C2695">
      <w:pPr>
        <w:tabs>
          <w:tab w:val="left" w:pos="2729"/>
        </w:tabs>
        <w:spacing w:after="0" w:line="360" w:lineRule="auto"/>
        <w:ind w:left="567"/>
        <w:jc w:val="both"/>
        <w:rPr>
          <w:rFonts w:ascii="Arial" w:hAnsi="Arial" w:cs="Arial"/>
          <w:sz w:val="20"/>
        </w:rPr>
      </w:pPr>
      <w:r w:rsidRPr="00255063">
        <w:rPr>
          <w:rFonts w:ascii="Arial" w:hAnsi="Arial" w:cs="Arial"/>
          <w:b/>
          <w:sz w:val="20"/>
        </w:rPr>
        <w:t>Fonte:</w:t>
      </w:r>
      <w:r w:rsidRPr="00255063">
        <w:rPr>
          <w:rFonts w:ascii="Arial" w:hAnsi="Arial" w:cs="Arial"/>
          <w:sz w:val="20"/>
        </w:rPr>
        <w:t xml:space="preserve"> Salvador-BA, 2017.</w:t>
      </w:r>
    </w:p>
    <w:p w:rsidR="003C2695" w:rsidRDefault="003C2695" w:rsidP="003C2695">
      <w:pPr>
        <w:tabs>
          <w:tab w:val="left" w:pos="2729"/>
        </w:tabs>
        <w:spacing w:after="0" w:line="360" w:lineRule="auto"/>
        <w:ind w:left="567"/>
        <w:jc w:val="both"/>
        <w:rPr>
          <w:rFonts w:ascii="Arial" w:hAnsi="Arial" w:cs="Arial"/>
          <w:sz w:val="24"/>
        </w:rPr>
      </w:pPr>
    </w:p>
    <w:p w:rsidR="003C2695" w:rsidRDefault="003C2695" w:rsidP="003C2695">
      <w:pPr>
        <w:tabs>
          <w:tab w:val="left" w:pos="2729"/>
        </w:tabs>
        <w:spacing w:after="0" w:line="360" w:lineRule="auto"/>
        <w:ind w:left="567"/>
        <w:jc w:val="both"/>
        <w:rPr>
          <w:rFonts w:ascii="Arial" w:hAnsi="Arial" w:cs="Arial"/>
          <w:sz w:val="24"/>
        </w:rPr>
      </w:pPr>
    </w:p>
    <w:p w:rsidR="003C2695" w:rsidRDefault="003C2695" w:rsidP="003C2695">
      <w:pPr>
        <w:tabs>
          <w:tab w:val="left" w:pos="2729"/>
        </w:tabs>
        <w:spacing w:after="0" w:line="360" w:lineRule="auto"/>
        <w:ind w:left="567"/>
        <w:jc w:val="both"/>
        <w:rPr>
          <w:rFonts w:ascii="Arial" w:hAnsi="Arial" w:cs="Arial"/>
          <w:sz w:val="24"/>
        </w:rPr>
        <w:sectPr w:rsidR="003C2695" w:rsidSect="00E36C35">
          <w:pgSz w:w="11906" w:h="16838" w:code="9"/>
          <w:pgMar w:top="1701" w:right="1134" w:bottom="1134" w:left="1701" w:header="1134" w:footer="709" w:gutter="0"/>
          <w:pgNumType w:start="55"/>
          <w:cols w:space="708"/>
          <w:docGrid w:linePitch="360"/>
        </w:sectPr>
      </w:pPr>
    </w:p>
    <w:p w:rsidR="003C2695" w:rsidRPr="00255063" w:rsidRDefault="008A5A8F" w:rsidP="00EA2F4E">
      <w:pPr>
        <w:pStyle w:val="EstiloDissertao"/>
        <w:tabs>
          <w:tab w:val="left" w:pos="7938"/>
          <w:tab w:val="left" w:pos="8364"/>
          <w:tab w:val="left" w:pos="13750"/>
        </w:tabs>
        <w:ind w:right="111"/>
        <w:rPr>
          <w:rFonts w:cs="Arial"/>
          <w:szCs w:val="24"/>
        </w:rPr>
      </w:pPr>
      <w:r w:rsidRPr="008A5A8F">
        <w:rPr>
          <w:rFonts w:cs="Arial"/>
          <w:noProof/>
          <w:lang w:eastAsia="pt-BR"/>
        </w:rPr>
        <w:lastRenderedPageBreak/>
        <mc:AlternateContent>
          <mc:Choice Requires="wps">
            <w:drawing>
              <wp:anchor distT="0" distB="0" distL="114300" distR="114300" simplePos="0" relativeHeight="251777024" behindDoc="0" locked="0" layoutInCell="1" allowOverlap="1" wp14:anchorId="776E8DAB" wp14:editId="673DCD69">
                <wp:simplePos x="0" y="0"/>
                <wp:positionH relativeFrom="column">
                  <wp:posOffset>8633593</wp:posOffset>
                </wp:positionH>
                <wp:positionV relativeFrom="paragraph">
                  <wp:posOffset>-513996</wp:posOffset>
                </wp:positionV>
                <wp:extent cx="509905" cy="478155"/>
                <wp:effectExtent l="0" t="0" r="4445"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478155"/>
                        </a:xfrm>
                        <a:prstGeom prst="rect">
                          <a:avLst/>
                        </a:prstGeom>
                        <a:solidFill>
                          <a:schemeClr val="bg1"/>
                        </a:solidFill>
                        <a:ln w="9525">
                          <a:noFill/>
                          <a:miter lim="800000"/>
                          <a:headEnd/>
                          <a:tailEnd/>
                        </a:ln>
                      </wps:spPr>
                      <wps:txbx>
                        <w:txbxContent>
                          <w:p w:rsidR="00B421DD" w:rsidRDefault="00B421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6E8DAB" id="_x0000_s1044" type="#_x0000_t202" style="position:absolute;left:0;text-align:left;margin-left:679.8pt;margin-top:-40.45pt;width:40.15pt;height:37.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" fillcolor="white [3212]" stroked="f">
                <v:textbox>
                  <w:txbxContent>
                    <w:p w:rsidR="00986394" w:rsidRDefault="00986394"/>
                  </w:txbxContent>
                </v:textbox>
              </v:shape>
            </w:pict>
          </mc:Fallback>
        </mc:AlternateContent>
      </w:r>
      <w:r w:rsidR="003C2695" w:rsidRPr="00255063">
        <w:rPr>
          <w:rFonts w:cs="Arial"/>
          <w:b/>
          <w:szCs w:val="24"/>
        </w:rPr>
        <w:t>Tabela 3 –</w:t>
      </w:r>
      <w:r w:rsidR="003C2695" w:rsidRPr="00255063">
        <w:rPr>
          <w:rFonts w:cs="Arial"/>
          <w:szCs w:val="24"/>
        </w:rPr>
        <w:t xml:space="preserve"> Distribuição das crianças e adolescentes com mucopolissacaridoses </w:t>
      </w:r>
      <w:r w:rsidR="003C2695" w:rsidRPr="00255063">
        <w:rPr>
          <w:rFonts w:cs="Arial"/>
        </w:rPr>
        <w:t>acompanhadas em um ambulatório de Ortopedia na cidade de Salvador-BA</w:t>
      </w:r>
      <w:r w:rsidR="003C2695" w:rsidRPr="00255063">
        <w:rPr>
          <w:rFonts w:cs="Arial"/>
          <w:szCs w:val="24"/>
        </w:rPr>
        <w:t>, no período de janeiro de 2012 a outubro de 2014, de acordo com os níveis de dependência da escala MIF.</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1403"/>
        <w:gridCol w:w="1403"/>
        <w:gridCol w:w="1403"/>
        <w:gridCol w:w="1403"/>
        <w:gridCol w:w="1403"/>
        <w:gridCol w:w="1403"/>
        <w:gridCol w:w="1403"/>
      </w:tblGrid>
      <w:tr w:rsidR="003C2695" w:rsidRPr="00255063" w:rsidTr="00EA2F4E">
        <w:trPr>
          <w:trHeight w:hRule="exact" w:val="252"/>
        </w:trPr>
        <w:tc>
          <w:tcPr>
            <w:tcW w:w="4082" w:type="dxa"/>
            <w:vMerge w:val="restart"/>
            <w:tcBorders>
              <w:top w:val="single" w:sz="4" w:space="0" w:color="auto"/>
            </w:tcBorders>
          </w:tcPr>
          <w:p w:rsidR="003C2695" w:rsidRPr="00255063" w:rsidRDefault="003C2695" w:rsidP="008A5A8F">
            <w:pPr>
              <w:tabs>
                <w:tab w:val="left" w:pos="3332"/>
              </w:tabs>
              <w:spacing w:line="360" w:lineRule="auto"/>
              <w:jc w:val="center"/>
              <w:rPr>
                <w:rFonts w:ascii="Arial" w:hAnsi="Arial" w:cs="Arial"/>
                <w:sz w:val="12"/>
                <w:szCs w:val="20"/>
              </w:rPr>
            </w:pPr>
          </w:p>
          <w:p w:rsidR="003C2695" w:rsidRPr="00255063" w:rsidRDefault="003C2695" w:rsidP="008A5A8F">
            <w:pPr>
              <w:tabs>
                <w:tab w:val="left" w:pos="3332"/>
              </w:tabs>
              <w:spacing w:line="360" w:lineRule="auto"/>
              <w:jc w:val="center"/>
              <w:rPr>
                <w:rFonts w:ascii="Arial" w:hAnsi="Arial" w:cs="Arial"/>
                <w:b/>
                <w:sz w:val="20"/>
                <w:szCs w:val="20"/>
              </w:rPr>
            </w:pPr>
            <w:r w:rsidRPr="00255063">
              <w:rPr>
                <w:rFonts w:ascii="Arial" w:hAnsi="Arial" w:cs="Arial"/>
                <w:b/>
                <w:sz w:val="20"/>
                <w:szCs w:val="20"/>
              </w:rPr>
              <w:t>Subdomínios da Escala MIF</w:t>
            </w:r>
          </w:p>
        </w:tc>
        <w:tc>
          <w:tcPr>
            <w:tcW w:w="9818" w:type="dxa"/>
            <w:gridSpan w:val="7"/>
            <w:tcBorders>
              <w:top w:val="single" w:sz="4" w:space="0" w:color="auto"/>
            </w:tcBorders>
          </w:tcPr>
          <w:p w:rsidR="003C2695" w:rsidRPr="00255063" w:rsidRDefault="003C2695" w:rsidP="008A5A8F">
            <w:pPr>
              <w:spacing w:line="360" w:lineRule="auto"/>
              <w:jc w:val="center"/>
              <w:rPr>
                <w:rFonts w:ascii="Arial" w:hAnsi="Arial" w:cs="Arial"/>
                <w:b/>
                <w:sz w:val="20"/>
                <w:szCs w:val="20"/>
              </w:rPr>
            </w:pPr>
            <w:r w:rsidRPr="00255063">
              <w:rPr>
                <w:rFonts w:ascii="Arial" w:hAnsi="Arial" w:cs="Arial"/>
                <w:b/>
                <w:sz w:val="20"/>
                <w:szCs w:val="20"/>
              </w:rPr>
              <w:t xml:space="preserve">PONTUAÇÕES† </w:t>
            </w:r>
          </w:p>
        </w:tc>
      </w:tr>
      <w:tr w:rsidR="003C2695" w:rsidRPr="00255063" w:rsidTr="00EA2F4E">
        <w:trPr>
          <w:trHeight w:hRule="exact" w:val="252"/>
        </w:trPr>
        <w:tc>
          <w:tcPr>
            <w:tcW w:w="4082" w:type="dxa"/>
            <w:vMerge/>
            <w:tcBorders>
              <w:bottom w:val="single" w:sz="4" w:space="0" w:color="auto"/>
            </w:tcBorders>
          </w:tcPr>
          <w:p w:rsidR="003C2695" w:rsidRPr="00255063" w:rsidRDefault="003C2695" w:rsidP="008A5A8F">
            <w:pPr>
              <w:tabs>
                <w:tab w:val="left" w:pos="3332"/>
              </w:tabs>
              <w:spacing w:line="360" w:lineRule="auto"/>
              <w:jc w:val="center"/>
              <w:rPr>
                <w:rFonts w:ascii="Arial" w:hAnsi="Arial" w:cs="Arial"/>
                <w:b/>
                <w:sz w:val="20"/>
                <w:szCs w:val="20"/>
              </w:rPr>
            </w:pPr>
          </w:p>
        </w:tc>
        <w:tc>
          <w:tcPr>
            <w:tcW w:w="1403" w:type="dxa"/>
            <w:tcBorders>
              <w:bottom w:val="single" w:sz="4" w:space="0" w:color="auto"/>
            </w:tcBorders>
          </w:tcPr>
          <w:p w:rsidR="003C2695" w:rsidRPr="00255063" w:rsidRDefault="003C2695" w:rsidP="008A5A8F">
            <w:pPr>
              <w:spacing w:line="360" w:lineRule="auto"/>
              <w:jc w:val="center"/>
              <w:rPr>
                <w:rFonts w:ascii="Arial" w:hAnsi="Arial" w:cs="Arial"/>
                <w:b/>
                <w:sz w:val="20"/>
                <w:szCs w:val="20"/>
              </w:rPr>
            </w:pPr>
            <w:r w:rsidRPr="00255063">
              <w:rPr>
                <w:rFonts w:ascii="Arial" w:hAnsi="Arial" w:cs="Arial"/>
                <w:b/>
                <w:sz w:val="20"/>
                <w:szCs w:val="20"/>
              </w:rPr>
              <w:t>1</w:t>
            </w:r>
          </w:p>
        </w:tc>
        <w:tc>
          <w:tcPr>
            <w:tcW w:w="1403" w:type="dxa"/>
            <w:tcBorders>
              <w:bottom w:val="single" w:sz="4" w:space="0" w:color="auto"/>
            </w:tcBorders>
          </w:tcPr>
          <w:p w:rsidR="003C2695" w:rsidRPr="00255063" w:rsidRDefault="003C2695" w:rsidP="008A5A8F">
            <w:pPr>
              <w:spacing w:line="360" w:lineRule="auto"/>
              <w:jc w:val="center"/>
              <w:rPr>
                <w:rFonts w:ascii="Arial" w:hAnsi="Arial" w:cs="Arial"/>
                <w:b/>
                <w:sz w:val="20"/>
                <w:szCs w:val="20"/>
              </w:rPr>
            </w:pPr>
            <w:r w:rsidRPr="00255063">
              <w:rPr>
                <w:rFonts w:ascii="Arial" w:hAnsi="Arial" w:cs="Arial"/>
                <w:b/>
                <w:sz w:val="20"/>
                <w:szCs w:val="20"/>
              </w:rPr>
              <w:t>2</w:t>
            </w:r>
          </w:p>
        </w:tc>
        <w:tc>
          <w:tcPr>
            <w:tcW w:w="1403" w:type="dxa"/>
            <w:tcBorders>
              <w:bottom w:val="single" w:sz="4" w:space="0" w:color="auto"/>
            </w:tcBorders>
          </w:tcPr>
          <w:p w:rsidR="003C2695" w:rsidRPr="00255063" w:rsidRDefault="003C2695" w:rsidP="008A5A8F">
            <w:pPr>
              <w:spacing w:line="360" w:lineRule="auto"/>
              <w:jc w:val="center"/>
              <w:rPr>
                <w:rFonts w:ascii="Arial" w:hAnsi="Arial" w:cs="Arial"/>
                <w:b/>
                <w:sz w:val="20"/>
                <w:szCs w:val="20"/>
              </w:rPr>
            </w:pPr>
            <w:r w:rsidRPr="00255063">
              <w:rPr>
                <w:rFonts w:ascii="Arial" w:hAnsi="Arial" w:cs="Arial"/>
                <w:b/>
                <w:sz w:val="20"/>
                <w:szCs w:val="20"/>
              </w:rPr>
              <w:t>3</w:t>
            </w:r>
          </w:p>
        </w:tc>
        <w:tc>
          <w:tcPr>
            <w:tcW w:w="1403" w:type="dxa"/>
            <w:tcBorders>
              <w:bottom w:val="single" w:sz="4" w:space="0" w:color="auto"/>
            </w:tcBorders>
          </w:tcPr>
          <w:p w:rsidR="003C2695" w:rsidRPr="00255063" w:rsidRDefault="003C2695" w:rsidP="008A5A8F">
            <w:pPr>
              <w:spacing w:line="360" w:lineRule="auto"/>
              <w:jc w:val="center"/>
              <w:rPr>
                <w:rFonts w:ascii="Arial" w:hAnsi="Arial" w:cs="Arial"/>
                <w:b/>
                <w:sz w:val="20"/>
                <w:szCs w:val="20"/>
              </w:rPr>
            </w:pPr>
            <w:r w:rsidRPr="00255063">
              <w:rPr>
                <w:rFonts w:ascii="Arial" w:hAnsi="Arial" w:cs="Arial"/>
                <w:b/>
                <w:sz w:val="20"/>
                <w:szCs w:val="20"/>
              </w:rPr>
              <w:t>4</w:t>
            </w:r>
          </w:p>
        </w:tc>
        <w:tc>
          <w:tcPr>
            <w:tcW w:w="1403" w:type="dxa"/>
            <w:tcBorders>
              <w:bottom w:val="single" w:sz="4" w:space="0" w:color="auto"/>
            </w:tcBorders>
          </w:tcPr>
          <w:p w:rsidR="003C2695" w:rsidRPr="00255063" w:rsidRDefault="003C2695" w:rsidP="008A5A8F">
            <w:pPr>
              <w:spacing w:line="360" w:lineRule="auto"/>
              <w:jc w:val="center"/>
              <w:rPr>
                <w:rFonts w:ascii="Arial" w:hAnsi="Arial" w:cs="Arial"/>
                <w:b/>
                <w:sz w:val="20"/>
                <w:szCs w:val="20"/>
              </w:rPr>
            </w:pPr>
            <w:r w:rsidRPr="00255063">
              <w:rPr>
                <w:rFonts w:ascii="Arial" w:hAnsi="Arial" w:cs="Arial"/>
                <w:b/>
                <w:sz w:val="20"/>
                <w:szCs w:val="20"/>
              </w:rPr>
              <w:t>5</w:t>
            </w:r>
          </w:p>
        </w:tc>
        <w:tc>
          <w:tcPr>
            <w:tcW w:w="1403" w:type="dxa"/>
            <w:tcBorders>
              <w:bottom w:val="single" w:sz="4" w:space="0" w:color="auto"/>
            </w:tcBorders>
          </w:tcPr>
          <w:p w:rsidR="003C2695" w:rsidRPr="00255063" w:rsidRDefault="003C2695" w:rsidP="008A5A8F">
            <w:pPr>
              <w:spacing w:line="360" w:lineRule="auto"/>
              <w:jc w:val="center"/>
              <w:rPr>
                <w:rFonts w:ascii="Arial" w:hAnsi="Arial" w:cs="Arial"/>
                <w:b/>
                <w:sz w:val="20"/>
                <w:szCs w:val="20"/>
              </w:rPr>
            </w:pPr>
            <w:r w:rsidRPr="00255063">
              <w:rPr>
                <w:rFonts w:ascii="Arial" w:hAnsi="Arial" w:cs="Arial"/>
                <w:b/>
                <w:sz w:val="20"/>
                <w:szCs w:val="20"/>
              </w:rPr>
              <w:t>6</w:t>
            </w:r>
          </w:p>
        </w:tc>
        <w:tc>
          <w:tcPr>
            <w:tcW w:w="1403" w:type="dxa"/>
            <w:tcBorders>
              <w:bottom w:val="single" w:sz="4" w:space="0" w:color="auto"/>
            </w:tcBorders>
          </w:tcPr>
          <w:p w:rsidR="003C2695" w:rsidRPr="00255063" w:rsidRDefault="003C2695" w:rsidP="008A5A8F">
            <w:pPr>
              <w:spacing w:line="360" w:lineRule="auto"/>
              <w:jc w:val="center"/>
              <w:rPr>
                <w:rFonts w:ascii="Arial" w:hAnsi="Arial" w:cs="Arial"/>
                <w:b/>
                <w:sz w:val="20"/>
                <w:szCs w:val="20"/>
              </w:rPr>
            </w:pPr>
            <w:r w:rsidRPr="00255063">
              <w:rPr>
                <w:rFonts w:ascii="Arial" w:hAnsi="Arial" w:cs="Arial"/>
                <w:b/>
                <w:sz w:val="20"/>
                <w:szCs w:val="20"/>
              </w:rPr>
              <w:t>7</w:t>
            </w:r>
          </w:p>
        </w:tc>
      </w:tr>
      <w:tr w:rsidR="003C2695" w:rsidRPr="00255063" w:rsidTr="00EA2F4E">
        <w:trPr>
          <w:trHeight w:hRule="exact" w:val="252"/>
        </w:trPr>
        <w:tc>
          <w:tcPr>
            <w:tcW w:w="4082" w:type="dxa"/>
            <w:tcBorders>
              <w:top w:val="single" w:sz="4" w:space="0" w:color="auto"/>
              <w:bottom w:val="single" w:sz="4" w:space="0" w:color="auto"/>
            </w:tcBorders>
          </w:tcPr>
          <w:p w:rsidR="003C2695" w:rsidRPr="00255063" w:rsidRDefault="003C2695" w:rsidP="008A5A8F">
            <w:pPr>
              <w:spacing w:line="360" w:lineRule="auto"/>
              <w:jc w:val="both"/>
              <w:rPr>
                <w:rFonts w:ascii="Arial" w:hAnsi="Arial" w:cs="Arial"/>
                <w:sz w:val="20"/>
                <w:szCs w:val="20"/>
              </w:rPr>
            </w:pPr>
          </w:p>
        </w:tc>
        <w:tc>
          <w:tcPr>
            <w:tcW w:w="9818" w:type="dxa"/>
            <w:gridSpan w:val="7"/>
            <w:tcBorders>
              <w:top w:val="single" w:sz="4" w:space="0" w:color="auto"/>
              <w:bottom w:val="single" w:sz="4" w:space="0" w:color="auto"/>
            </w:tcBorders>
          </w:tcPr>
          <w:p w:rsidR="003C2695" w:rsidRPr="00255063" w:rsidRDefault="003C2695" w:rsidP="008A5A8F">
            <w:pPr>
              <w:spacing w:line="360" w:lineRule="auto"/>
              <w:jc w:val="center"/>
              <w:rPr>
                <w:rFonts w:ascii="Arial" w:hAnsi="Arial" w:cs="Arial"/>
                <w:b/>
                <w:sz w:val="20"/>
                <w:szCs w:val="20"/>
              </w:rPr>
            </w:pPr>
            <w:r w:rsidRPr="00255063">
              <w:rPr>
                <w:rFonts w:ascii="Arial" w:hAnsi="Arial" w:cs="Arial"/>
                <w:b/>
                <w:sz w:val="20"/>
                <w:szCs w:val="20"/>
              </w:rPr>
              <w:t>N (%)</w:t>
            </w:r>
          </w:p>
        </w:tc>
      </w:tr>
      <w:tr w:rsidR="003C2695" w:rsidRPr="00255063" w:rsidTr="00EA2F4E">
        <w:trPr>
          <w:trHeight w:hRule="exact" w:val="252"/>
        </w:trPr>
        <w:tc>
          <w:tcPr>
            <w:tcW w:w="4082" w:type="dxa"/>
            <w:tcBorders>
              <w:top w:val="single" w:sz="4" w:space="0" w:color="auto"/>
            </w:tcBorders>
          </w:tcPr>
          <w:p w:rsidR="003C2695" w:rsidRPr="00255063" w:rsidRDefault="003C2695" w:rsidP="008A5A8F">
            <w:pPr>
              <w:spacing w:line="360" w:lineRule="auto"/>
              <w:jc w:val="both"/>
              <w:rPr>
                <w:rFonts w:ascii="Arial" w:hAnsi="Arial" w:cs="Arial"/>
                <w:b/>
                <w:sz w:val="20"/>
                <w:szCs w:val="20"/>
              </w:rPr>
            </w:pPr>
            <w:r w:rsidRPr="00255063">
              <w:rPr>
                <w:rFonts w:ascii="Arial" w:hAnsi="Arial" w:cs="Arial"/>
                <w:b/>
                <w:sz w:val="20"/>
                <w:szCs w:val="20"/>
              </w:rPr>
              <w:t>Autocuidado</w:t>
            </w:r>
          </w:p>
        </w:tc>
        <w:tc>
          <w:tcPr>
            <w:tcW w:w="9818" w:type="dxa"/>
            <w:gridSpan w:val="7"/>
            <w:tcBorders>
              <w:top w:val="single" w:sz="4" w:space="0" w:color="auto"/>
            </w:tcBorders>
          </w:tcPr>
          <w:p w:rsidR="003C2695" w:rsidRPr="00255063" w:rsidRDefault="003C2695" w:rsidP="008A5A8F">
            <w:pPr>
              <w:spacing w:line="360" w:lineRule="auto"/>
              <w:jc w:val="center"/>
              <w:rPr>
                <w:rFonts w:ascii="Arial" w:hAnsi="Arial" w:cs="Arial"/>
                <w:b/>
                <w:sz w:val="20"/>
                <w:szCs w:val="20"/>
              </w:rPr>
            </w:pPr>
          </w:p>
        </w:tc>
      </w:tr>
      <w:tr w:rsidR="003C2695" w:rsidRPr="00255063" w:rsidTr="00EA2F4E">
        <w:trPr>
          <w:trHeight w:hRule="exact" w:val="252"/>
        </w:trPr>
        <w:tc>
          <w:tcPr>
            <w:tcW w:w="4082" w:type="dxa"/>
          </w:tcPr>
          <w:p w:rsidR="003C2695" w:rsidRPr="00255063" w:rsidRDefault="003C2695" w:rsidP="008A5A8F">
            <w:pPr>
              <w:spacing w:line="360" w:lineRule="auto"/>
              <w:ind w:left="433"/>
              <w:jc w:val="both"/>
              <w:rPr>
                <w:rFonts w:ascii="Arial" w:hAnsi="Arial" w:cs="Arial"/>
                <w:sz w:val="20"/>
                <w:szCs w:val="20"/>
              </w:rPr>
            </w:pPr>
            <w:r w:rsidRPr="00255063">
              <w:rPr>
                <w:rFonts w:ascii="Arial" w:hAnsi="Arial" w:cs="Arial"/>
                <w:sz w:val="20"/>
                <w:szCs w:val="20"/>
              </w:rPr>
              <w:t>Alimentação</w:t>
            </w:r>
          </w:p>
        </w:tc>
        <w:tc>
          <w:tcPr>
            <w:tcW w:w="1403" w:type="dxa"/>
            <w:shd w:val="clear" w:color="auto" w:fill="auto"/>
          </w:tcPr>
          <w:p w:rsidR="003C2695" w:rsidRPr="00255063" w:rsidRDefault="003C2695" w:rsidP="008A5A8F">
            <w:pPr>
              <w:spacing w:line="360" w:lineRule="auto"/>
              <w:ind w:left="-481"/>
              <w:jc w:val="center"/>
              <w:rPr>
                <w:rFonts w:ascii="Arial" w:hAnsi="Arial" w:cs="Arial"/>
                <w:sz w:val="20"/>
                <w:szCs w:val="20"/>
              </w:rPr>
            </w:pPr>
            <w:r w:rsidRPr="00255063">
              <w:rPr>
                <w:rFonts w:ascii="Arial" w:hAnsi="Arial" w:cs="Arial"/>
                <w:sz w:val="20"/>
                <w:szCs w:val="20"/>
              </w:rPr>
              <w:t xml:space="preserve">        1 (3,8%)</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 (3,8%)</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4 (15,4%)</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11 (42,3%)</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7 (27%)</w:t>
            </w:r>
          </w:p>
        </w:tc>
      </w:tr>
      <w:tr w:rsidR="003C2695" w:rsidRPr="00255063" w:rsidTr="00EA2F4E">
        <w:trPr>
          <w:trHeight w:hRule="exact" w:val="252"/>
        </w:trPr>
        <w:tc>
          <w:tcPr>
            <w:tcW w:w="4082" w:type="dxa"/>
          </w:tcPr>
          <w:p w:rsidR="003C2695" w:rsidRPr="00255063" w:rsidRDefault="003C2695" w:rsidP="008A5A8F">
            <w:pPr>
              <w:spacing w:line="360" w:lineRule="auto"/>
              <w:ind w:left="433"/>
              <w:jc w:val="both"/>
              <w:rPr>
                <w:rFonts w:ascii="Arial" w:hAnsi="Arial" w:cs="Arial"/>
                <w:sz w:val="20"/>
                <w:szCs w:val="20"/>
              </w:rPr>
            </w:pPr>
            <w:r w:rsidRPr="00255063">
              <w:rPr>
                <w:rFonts w:ascii="Arial" w:hAnsi="Arial" w:cs="Arial"/>
                <w:sz w:val="20"/>
                <w:szCs w:val="20"/>
              </w:rPr>
              <w:t>Higiene pessoal</w:t>
            </w:r>
          </w:p>
        </w:tc>
        <w:tc>
          <w:tcPr>
            <w:tcW w:w="1403" w:type="dxa"/>
            <w:shd w:val="clear" w:color="auto" w:fill="auto"/>
          </w:tcPr>
          <w:p w:rsidR="003C2695" w:rsidRPr="00255063" w:rsidRDefault="003C2695" w:rsidP="008A5A8F">
            <w:pPr>
              <w:tabs>
                <w:tab w:val="left" w:pos="348"/>
              </w:tabs>
              <w:spacing w:line="360" w:lineRule="auto"/>
              <w:jc w:val="center"/>
              <w:rPr>
                <w:rFonts w:ascii="Arial" w:hAnsi="Arial" w:cs="Arial"/>
                <w:sz w:val="20"/>
                <w:szCs w:val="20"/>
              </w:rPr>
            </w:pPr>
            <w:r w:rsidRPr="00255063">
              <w:rPr>
                <w:rFonts w:ascii="Arial" w:hAnsi="Arial" w:cs="Arial"/>
                <w:sz w:val="20"/>
                <w:szCs w:val="20"/>
              </w:rPr>
              <w:t>3 (11,5%)</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3 (11,5%)</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7 (27%)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9 (34,6%)</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2 (7,7%)</w:t>
            </w:r>
          </w:p>
        </w:tc>
      </w:tr>
      <w:tr w:rsidR="003C2695" w:rsidRPr="00255063" w:rsidTr="00EA2F4E">
        <w:trPr>
          <w:trHeight w:hRule="exact" w:val="252"/>
        </w:trPr>
        <w:tc>
          <w:tcPr>
            <w:tcW w:w="4082" w:type="dxa"/>
          </w:tcPr>
          <w:p w:rsidR="003C2695" w:rsidRPr="00255063" w:rsidRDefault="003C2695" w:rsidP="008A5A8F">
            <w:pPr>
              <w:spacing w:line="360" w:lineRule="auto"/>
              <w:ind w:left="433"/>
              <w:jc w:val="both"/>
              <w:rPr>
                <w:rFonts w:ascii="Arial" w:hAnsi="Arial" w:cs="Arial"/>
                <w:sz w:val="20"/>
                <w:szCs w:val="20"/>
              </w:rPr>
            </w:pPr>
            <w:r w:rsidRPr="00255063">
              <w:rPr>
                <w:rFonts w:ascii="Arial" w:hAnsi="Arial" w:cs="Arial"/>
                <w:sz w:val="20"/>
                <w:szCs w:val="20"/>
              </w:rPr>
              <w:t>Banho</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3 (11,5%)</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 (3,9%)</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9 (34,6%)</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3 (11,5%)</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4 (15,5%)</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3 (11,5%)</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3 (11,5%)</w:t>
            </w:r>
          </w:p>
        </w:tc>
      </w:tr>
      <w:tr w:rsidR="003C2695" w:rsidRPr="00255063" w:rsidTr="00EA2F4E">
        <w:trPr>
          <w:trHeight w:hRule="exact" w:val="252"/>
        </w:trPr>
        <w:tc>
          <w:tcPr>
            <w:tcW w:w="4082" w:type="dxa"/>
          </w:tcPr>
          <w:p w:rsidR="003C2695" w:rsidRPr="00255063" w:rsidRDefault="003C2695" w:rsidP="008A5A8F">
            <w:pPr>
              <w:spacing w:line="360" w:lineRule="auto"/>
              <w:ind w:left="433"/>
              <w:jc w:val="both"/>
              <w:rPr>
                <w:rFonts w:ascii="Arial" w:hAnsi="Arial" w:cs="Arial"/>
                <w:sz w:val="20"/>
                <w:szCs w:val="20"/>
              </w:rPr>
            </w:pPr>
            <w:r w:rsidRPr="00255063">
              <w:rPr>
                <w:rFonts w:ascii="Arial" w:hAnsi="Arial" w:cs="Arial"/>
                <w:sz w:val="20"/>
                <w:szCs w:val="20"/>
              </w:rPr>
              <w:t>Vestir metade superior</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3 (11,5%)</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4 (15,3%)</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7 (27%)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7 (27%)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3 (11,5%)</w:t>
            </w:r>
          </w:p>
        </w:tc>
      </w:tr>
      <w:tr w:rsidR="003C2695" w:rsidRPr="00255063" w:rsidTr="00EA2F4E">
        <w:trPr>
          <w:trHeight w:hRule="exact" w:val="252"/>
        </w:trPr>
        <w:tc>
          <w:tcPr>
            <w:tcW w:w="4082" w:type="dxa"/>
          </w:tcPr>
          <w:p w:rsidR="003C2695" w:rsidRPr="00255063" w:rsidRDefault="003C2695" w:rsidP="008A5A8F">
            <w:pPr>
              <w:spacing w:line="360" w:lineRule="auto"/>
              <w:ind w:left="433"/>
              <w:jc w:val="both"/>
              <w:rPr>
                <w:rFonts w:ascii="Arial" w:hAnsi="Arial" w:cs="Arial"/>
                <w:sz w:val="20"/>
                <w:szCs w:val="20"/>
              </w:rPr>
            </w:pPr>
            <w:r w:rsidRPr="00255063">
              <w:rPr>
                <w:rFonts w:ascii="Arial" w:hAnsi="Arial" w:cs="Arial"/>
                <w:sz w:val="20"/>
                <w:szCs w:val="20"/>
              </w:rPr>
              <w:t>Vestir metade inferior</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3 (11,5%)</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9 (34,6%)</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5 (19,3%)</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3 (11,5%)</w:t>
            </w:r>
          </w:p>
        </w:tc>
      </w:tr>
      <w:tr w:rsidR="003C2695" w:rsidRPr="00255063" w:rsidTr="00EA2F4E">
        <w:trPr>
          <w:trHeight w:hRule="exact" w:val="252"/>
        </w:trPr>
        <w:tc>
          <w:tcPr>
            <w:tcW w:w="4082" w:type="dxa"/>
          </w:tcPr>
          <w:p w:rsidR="003C2695" w:rsidRPr="00255063" w:rsidRDefault="003C2695" w:rsidP="008A5A8F">
            <w:pPr>
              <w:spacing w:line="360" w:lineRule="auto"/>
              <w:ind w:left="433"/>
              <w:jc w:val="both"/>
              <w:rPr>
                <w:rFonts w:ascii="Arial" w:hAnsi="Arial" w:cs="Arial"/>
                <w:sz w:val="20"/>
                <w:szCs w:val="20"/>
              </w:rPr>
            </w:pPr>
            <w:r w:rsidRPr="00255063">
              <w:rPr>
                <w:rFonts w:ascii="Arial" w:hAnsi="Arial" w:cs="Arial"/>
                <w:sz w:val="20"/>
                <w:szCs w:val="20"/>
              </w:rPr>
              <w:t>Utilização do vaso sanitário</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2 (7,7%)</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6 (23%)</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4 (15,4%)</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6 (23,1%)</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4 (15,4%)</w:t>
            </w:r>
          </w:p>
        </w:tc>
      </w:tr>
      <w:tr w:rsidR="003C2695" w:rsidRPr="00255063" w:rsidTr="00EA2F4E">
        <w:trPr>
          <w:trHeight w:hRule="exact" w:val="252"/>
        </w:trPr>
        <w:tc>
          <w:tcPr>
            <w:tcW w:w="4082" w:type="dxa"/>
          </w:tcPr>
          <w:p w:rsidR="003C2695" w:rsidRPr="00255063" w:rsidRDefault="003C2695" w:rsidP="008A5A8F">
            <w:pPr>
              <w:spacing w:line="360" w:lineRule="auto"/>
              <w:jc w:val="both"/>
              <w:rPr>
                <w:rFonts w:ascii="Arial" w:hAnsi="Arial" w:cs="Arial"/>
                <w:b/>
                <w:sz w:val="20"/>
                <w:szCs w:val="20"/>
              </w:rPr>
            </w:pPr>
            <w:r w:rsidRPr="00255063">
              <w:rPr>
                <w:rFonts w:ascii="Arial" w:hAnsi="Arial" w:cs="Arial"/>
                <w:b/>
                <w:sz w:val="20"/>
                <w:szCs w:val="20"/>
              </w:rPr>
              <w:t>Controle de esfíncteres</w:t>
            </w:r>
          </w:p>
        </w:tc>
        <w:tc>
          <w:tcPr>
            <w:tcW w:w="9818" w:type="dxa"/>
            <w:gridSpan w:val="7"/>
            <w:shd w:val="clear" w:color="auto" w:fill="auto"/>
          </w:tcPr>
          <w:p w:rsidR="003C2695" w:rsidRPr="00255063" w:rsidRDefault="003C2695" w:rsidP="008A5A8F">
            <w:pPr>
              <w:spacing w:line="360" w:lineRule="auto"/>
              <w:jc w:val="center"/>
              <w:rPr>
                <w:rFonts w:ascii="Arial" w:hAnsi="Arial" w:cs="Arial"/>
                <w:sz w:val="20"/>
                <w:szCs w:val="20"/>
              </w:rPr>
            </w:pPr>
          </w:p>
        </w:tc>
      </w:tr>
      <w:tr w:rsidR="003C2695" w:rsidRPr="00255063" w:rsidTr="00EA2F4E">
        <w:trPr>
          <w:trHeight w:hRule="exact" w:val="252"/>
        </w:trPr>
        <w:tc>
          <w:tcPr>
            <w:tcW w:w="4082" w:type="dxa"/>
          </w:tcPr>
          <w:p w:rsidR="003C2695" w:rsidRPr="00255063" w:rsidRDefault="003C2695" w:rsidP="008A5A8F">
            <w:pPr>
              <w:spacing w:line="360" w:lineRule="auto"/>
              <w:ind w:left="433"/>
              <w:jc w:val="both"/>
              <w:rPr>
                <w:rFonts w:ascii="Arial" w:hAnsi="Arial" w:cs="Arial"/>
                <w:sz w:val="20"/>
                <w:szCs w:val="20"/>
              </w:rPr>
            </w:pPr>
            <w:r w:rsidRPr="00255063">
              <w:rPr>
                <w:rFonts w:ascii="Arial" w:hAnsi="Arial" w:cs="Arial"/>
                <w:sz w:val="20"/>
                <w:szCs w:val="20"/>
              </w:rPr>
              <w:t>Controle de urina</w:t>
            </w:r>
          </w:p>
        </w:tc>
        <w:tc>
          <w:tcPr>
            <w:tcW w:w="1403" w:type="dxa"/>
            <w:shd w:val="clear" w:color="auto" w:fill="auto"/>
          </w:tcPr>
          <w:p w:rsidR="003C2695" w:rsidRPr="00255063" w:rsidRDefault="003C2695" w:rsidP="008A5A8F">
            <w:pP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 (3,8%)</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rPr>
                <w:rFonts w:ascii="Arial" w:hAnsi="Arial" w:cs="Arial"/>
              </w:rPr>
            </w:pPr>
            <w:r w:rsidRPr="00255063">
              <w:rPr>
                <w:rFonts w:ascii="Arial" w:hAnsi="Arial" w:cs="Arial"/>
                <w:sz w:val="20"/>
                <w:szCs w:val="20"/>
              </w:rPr>
              <w:t>3 (11,5%)</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18 (69,3%)</w:t>
            </w:r>
          </w:p>
        </w:tc>
      </w:tr>
      <w:tr w:rsidR="003C2695" w:rsidRPr="00255063" w:rsidTr="00EA2F4E">
        <w:trPr>
          <w:trHeight w:hRule="exact" w:val="252"/>
        </w:trPr>
        <w:tc>
          <w:tcPr>
            <w:tcW w:w="4082" w:type="dxa"/>
          </w:tcPr>
          <w:p w:rsidR="003C2695" w:rsidRPr="00255063" w:rsidRDefault="003C2695" w:rsidP="008A5A8F">
            <w:pPr>
              <w:spacing w:line="360" w:lineRule="auto"/>
              <w:ind w:left="433"/>
              <w:jc w:val="both"/>
              <w:rPr>
                <w:rFonts w:ascii="Arial" w:hAnsi="Arial" w:cs="Arial"/>
                <w:sz w:val="20"/>
                <w:szCs w:val="20"/>
              </w:rPr>
            </w:pPr>
            <w:r w:rsidRPr="00255063">
              <w:rPr>
                <w:rFonts w:ascii="Arial" w:hAnsi="Arial" w:cs="Arial"/>
                <w:sz w:val="20"/>
                <w:szCs w:val="20"/>
              </w:rPr>
              <w:t>Controle das fezes</w:t>
            </w:r>
          </w:p>
        </w:tc>
        <w:tc>
          <w:tcPr>
            <w:tcW w:w="1403" w:type="dxa"/>
            <w:shd w:val="clear" w:color="auto" w:fill="auto"/>
          </w:tcPr>
          <w:p w:rsidR="003C2695" w:rsidRPr="00255063" w:rsidRDefault="003C2695" w:rsidP="008A5A8F">
            <w:pP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 (3,8%)</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rPr>
                <w:rFonts w:ascii="Arial" w:hAnsi="Arial" w:cs="Arial"/>
              </w:rPr>
            </w:pPr>
            <w:r w:rsidRPr="00255063">
              <w:rPr>
                <w:rFonts w:ascii="Arial" w:hAnsi="Arial" w:cs="Arial"/>
                <w:sz w:val="20"/>
                <w:szCs w:val="20"/>
              </w:rPr>
              <w:t>3 (11,5%)</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18 (69,3%)</w:t>
            </w:r>
          </w:p>
        </w:tc>
      </w:tr>
      <w:tr w:rsidR="003C2695" w:rsidRPr="00255063" w:rsidTr="00EA2F4E">
        <w:trPr>
          <w:trHeight w:hRule="exact" w:val="252"/>
        </w:trPr>
        <w:tc>
          <w:tcPr>
            <w:tcW w:w="4082" w:type="dxa"/>
          </w:tcPr>
          <w:p w:rsidR="003C2695" w:rsidRPr="00255063" w:rsidRDefault="003C2695" w:rsidP="008A5A8F">
            <w:pPr>
              <w:spacing w:line="360" w:lineRule="auto"/>
              <w:ind w:left="34"/>
              <w:jc w:val="both"/>
              <w:rPr>
                <w:rFonts w:ascii="Arial" w:hAnsi="Arial" w:cs="Arial"/>
                <w:b/>
                <w:sz w:val="20"/>
                <w:szCs w:val="20"/>
              </w:rPr>
            </w:pPr>
            <w:r w:rsidRPr="00255063">
              <w:rPr>
                <w:rFonts w:ascii="Arial" w:hAnsi="Arial" w:cs="Arial"/>
                <w:b/>
                <w:sz w:val="20"/>
                <w:szCs w:val="20"/>
              </w:rPr>
              <w:t>Transferências</w:t>
            </w:r>
          </w:p>
        </w:tc>
        <w:tc>
          <w:tcPr>
            <w:tcW w:w="9818" w:type="dxa"/>
            <w:gridSpan w:val="7"/>
            <w:shd w:val="clear" w:color="auto" w:fill="auto"/>
          </w:tcPr>
          <w:p w:rsidR="003C2695" w:rsidRPr="00255063" w:rsidRDefault="003C2695" w:rsidP="008A5A8F">
            <w:pPr>
              <w:spacing w:line="360" w:lineRule="auto"/>
              <w:jc w:val="center"/>
              <w:rPr>
                <w:rFonts w:ascii="Arial" w:hAnsi="Arial" w:cs="Arial"/>
                <w:sz w:val="20"/>
                <w:szCs w:val="20"/>
              </w:rPr>
            </w:pPr>
          </w:p>
        </w:tc>
      </w:tr>
      <w:tr w:rsidR="003C2695" w:rsidRPr="00255063" w:rsidTr="00EA2F4E">
        <w:trPr>
          <w:trHeight w:hRule="exact" w:val="252"/>
        </w:trPr>
        <w:tc>
          <w:tcPr>
            <w:tcW w:w="4082" w:type="dxa"/>
          </w:tcPr>
          <w:p w:rsidR="003C2695" w:rsidRPr="00255063" w:rsidRDefault="003C2695" w:rsidP="008A5A8F">
            <w:pPr>
              <w:spacing w:line="360" w:lineRule="auto"/>
              <w:ind w:left="433"/>
              <w:jc w:val="both"/>
              <w:rPr>
                <w:rFonts w:ascii="Arial" w:hAnsi="Arial" w:cs="Arial"/>
                <w:sz w:val="20"/>
                <w:szCs w:val="20"/>
              </w:rPr>
            </w:pPr>
            <w:r w:rsidRPr="00255063">
              <w:rPr>
                <w:rFonts w:ascii="Arial" w:hAnsi="Arial" w:cs="Arial"/>
                <w:sz w:val="20"/>
                <w:szCs w:val="20"/>
              </w:rPr>
              <w:t>Leito, cadeira, cadeira de rodas</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3 (11,5%)</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1 (3,8%)</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1 (3,8%)</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17 (65,4%)</w:t>
            </w:r>
          </w:p>
        </w:tc>
      </w:tr>
      <w:tr w:rsidR="003C2695" w:rsidRPr="00255063" w:rsidTr="00EA2F4E">
        <w:trPr>
          <w:trHeight w:hRule="exact" w:val="252"/>
        </w:trPr>
        <w:tc>
          <w:tcPr>
            <w:tcW w:w="4082" w:type="dxa"/>
          </w:tcPr>
          <w:p w:rsidR="003C2695" w:rsidRPr="00255063" w:rsidRDefault="003C2695" w:rsidP="008A5A8F">
            <w:pPr>
              <w:spacing w:line="360" w:lineRule="auto"/>
              <w:ind w:left="433"/>
              <w:jc w:val="both"/>
              <w:rPr>
                <w:rFonts w:ascii="Arial" w:hAnsi="Arial" w:cs="Arial"/>
                <w:sz w:val="20"/>
                <w:szCs w:val="20"/>
              </w:rPr>
            </w:pPr>
            <w:r w:rsidRPr="00255063">
              <w:rPr>
                <w:rFonts w:ascii="Arial" w:hAnsi="Arial" w:cs="Arial"/>
                <w:sz w:val="20"/>
                <w:szCs w:val="20"/>
              </w:rPr>
              <w:t>Vaso sanitário</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2 (7,7%)</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1 (3,8%)</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17 (65,4%)</w:t>
            </w:r>
          </w:p>
        </w:tc>
      </w:tr>
      <w:tr w:rsidR="003C2695" w:rsidRPr="00255063" w:rsidTr="00EA2F4E">
        <w:trPr>
          <w:trHeight w:hRule="exact" w:val="252"/>
        </w:trPr>
        <w:tc>
          <w:tcPr>
            <w:tcW w:w="4082" w:type="dxa"/>
          </w:tcPr>
          <w:p w:rsidR="003C2695" w:rsidRPr="00255063" w:rsidRDefault="003C2695" w:rsidP="008A5A8F">
            <w:pPr>
              <w:spacing w:line="360" w:lineRule="auto"/>
              <w:ind w:left="433"/>
              <w:jc w:val="both"/>
              <w:rPr>
                <w:rFonts w:ascii="Arial" w:hAnsi="Arial" w:cs="Arial"/>
                <w:sz w:val="20"/>
                <w:szCs w:val="20"/>
              </w:rPr>
            </w:pPr>
            <w:r w:rsidRPr="00255063">
              <w:rPr>
                <w:rFonts w:ascii="Arial" w:hAnsi="Arial" w:cs="Arial"/>
                <w:sz w:val="20"/>
                <w:szCs w:val="20"/>
              </w:rPr>
              <w:t>Banheira, chuveiro</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3 (11,5%)</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1 (3,8%)</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18 (69,3%)</w:t>
            </w:r>
          </w:p>
        </w:tc>
      </w:tr>
      <w:tr w:rsidR="003C2695" w:rsidRPr="00255063" w:rsidTr="00EA2F4E">
        <w:trPr>
          <w:trHeight w:hRule="exact" w:val="252"/>
        </w:trPr>
        <w:tc>
          <w:tcPr>
            <w:tcW w:w="4082" w:type="dxa"/>
          </w:tcPr>
          <w:p w:rsidR="003C2695" w:rsidRPr="00255063" w:rsidRDefault="003C2695" w:rsidP="008A5A8F">
            <w:pPr>
              <w:spacing w:line="360" w:lineRule="auto"/>
              <w:jc w:val="both"/>
              <w:rPr>
                <w:rFonts w:ascii="Arial" w:hAnsi="Arial" w:cs="Arial"/>
                <w:b/>
                <w:sz w:val="20"/>
                <w:szCs w:val="20"/>
              </w:rPr>
            </w:pPr>
            <w:r w:rsidRPr="00255063">
              <w:rPr>
                <w:rFonts w:ascii="Arial" w:hAnsi="Arial" w:cs="Arial"/>
                <w:b/>
                <w:sz w:val="20"/>
                <w:szCs w:val="20"/>
              </w:rPr>
              <w:t>Locomoção</w:t>
            </w:r>
          </w:p>
        </w:tc>
        <w:tc>
          <w:tcPr>
            <w:tcW w:w="9818" w:type="dxa"/>
            <w:gridSpan w:val="7"/>
            <w:shd w:val="clear" w:color="auto" w:fill="auto"/>
          </w:tcPr>
          <w:p w:rsidR="003C2695" w:rsidRPr="00255063" w:rsidRDefault="003C2695" w:rsidP="008A5A8F">
            <w:pPr>
              <w:spacing w:line="360" w:lineRule="auto"/>
              <w:jc w:val="center"/>
              <w:rPr>
                <w:rFonts w:ascii="Arial" w:hAnsi="Arial" w:cs="Arial"/>
                <w:sz w:val="20"/>
                <w:szCs w:val="20"/>
              </w:rPr>
            </w:pPr>
          </w:p>
        </w:tc>
      </w:tr>
      <w:tr w:rsidR="003C2695" w:rsidRPr="00255063" w:rsidTr="00EA2F4E">
        <w:trPr>
          <w:trHeight w:hRule="exact" w:val="252"/>
        </w:trPr>
        <w:tc>
          <w:tcPr>
            <w:tcW w:w="4082" w:type="dxa"/>
          </w:tcPr>
          <w:p w:rsidR="003C2695" w:rsidRPr="00255063" w:rsidRDefault="003C2695" w:rsidP="008A5A8F">
            <w:pPr>
              <w:spacing w:line="360" w:lineRule="auto"/>
              <w:ind w:left="459"/>
              <w:jc w:val="both"/>
              <w:rPr>
                <w:rFonts w:ascii="Arial" w:hAnsi="Arial" w:cs="Arial"/>
                <w:sz w:val="20"/>
                <w:szCs w:val="20"/>
              </w:rPr>
            </w:pPr>
            <w:r w:rsidRPr="00255063">
              <w:rPr>
                <w:rFonts w:ascii="Arial" w:hAnsi="Arial" w:cs="Arial"/>
                <w:sz w:val="20"/>
                <w:szCs w:val="20"/>
              </w:rPr>
              <w:t>Marcha / cadeira de rodas</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5 (19,3%)</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 (3,8%)</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3 (11,5%)</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5 (19,3%)</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12 (46,1%)</w:t>
            </w:r>
          </w:p>
        </w:tc>
      </w:tr>
      <w:tr w:rsidR="003C2695" w:rsidRPr="00255063" w:rsidTr="00EA2F4E">
        <w:trPr>
          <w:trHeight w:hRule="exact" w:val="252"/>
        </w:trPr>
        <w:tc>
          <w:tcPr>
            <w:tcW w:w="4082" w:type="dxa"/>
          </w:tcPr>
          <w:p w:rsidR="003C2695" w:rsidRPr="00255063" w:rsidRDefault="003C2695" w:rsidP="008A5A8F">
            <w:pPr>
              <w:spacing w:line="360" w:lineRule="auto"/>
              <w:ind w:left="459"/>
              <w:jc w:val="both"/>
              <w:rPr>
                <w:rFonts w:ascii="Arial" w:hAnsi="Arial" w:cs="Arial"/>
                <w:sz w:val="20"/>
                <w:szCs w:val="20"/>
              </w:rPr>
            </w:pPr>
            <w:r w:rsidRPr="00255063">
              <w:rPr>
                <w:rFonts w:ascii="Arial" w:hAnsi="Arial" w:cs="Arial"/>
                <w:sz w:val="20"/>
                <w:szCs w:val="20"/>
              </w:rPr>
              <w:t>Escadas</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7 (27%)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 (3,8%)</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4 (15,4%)</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3 (11,5%)</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11 (42,3%)</w:t>
            </w:r>
          </w:p>
        </w:tc>
      </w:tr>
      <w:tr w:rsidR="003C2695" w:rsidRPr="00255063" w:rsidTr="00EA2F4E">
        <w:trPr>
          <w:trHeight w:hRule="exact" w:val="252"/>
        </w:trPr>
        <w:tc>
          <w:tcPr>
            <w:tcW w:w="4082" w:type="dxa"/>
          </w:tcPr>
          <w:p w:rsidR="003C2695" w:rsidRPr="00255063" w:rsidRDefault="003C2695" w:rsidP="008A5A8F">
            <w:pPr>
              <w:spacing w:line="360" w:lineRule="auto"/>
              <w:jc w:val="both"/>
              <w:rPr>
                <w:rFonts w:ascii="Arial" w:hAnsi="Arial" w:cs="Arial"/>
                <w:b/>
                <w:sz w:val="20"/>
                <w:szCs w:val="20"/>
              </w:rPr>
            </w:pPr>
            <w:r w:rsidRPr="00255063">
              <w:rPr>
                <w:rFonts w:ascii="Arial" w:hAnsi="Arial" w:cs="Arial"/>
                <w:b/>
                <w:sz w:val="20"/>
                <w:szCs w:val="20"/>
              </w:rPr>
              <w:t xml:space="preserve">Comunicação </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r>
      <w:tr w:rsidR="003C2695" w:rsidRPr="00255063" w:rsidTr="00EA2F4E">
        <w:trPr>
          <w:trHeight w:hRule="exact" w:val="252"/>
        </w:trPr>
        <w:tc>
          <w:tcPr>
            <w:tcW w:w="4082" w:type="dxa"/>
          </w:tcPr>
          <w:p w:rsidR="003C2695" w:rsidRPr="00255063" w:rsidRDefault="003C2695" w:rsidP="008A5A8F">
            <w:pPr>
              <w:spacing w:line="360" w:lineRule="auto"/>
              <w:ind w:left="459"/>
              <w:jc w:val="both"/>
              <w:rPr>
                <w:rFonts w:ascii="Arial" w:hAnsi="Arial" w:cs="Arial"/>
                <w:sz w:val="20"/>
                <w:szCs w:val="20"/>
              </w:rPr>
            </w:pPr>
            <w:r w:rsidRPr="00255063">
              <w:rPr>
                <w:rFonts w:ascii="Arial" w:hAnsi="Arial" w:cs="Arial"/>
                <w:sz w:val="20"/>
                <w:szCs w:val="20"/>
              </w:rPr>
              <w:t>Compreensão</w:t>
            </w:r>
          </w:p>
        </w:tc>
        <w:tc>
          <w:tcPr>
            <w:tcW w:w="1403" w:type="dxa"/>
            <w:shd w:val="clear" w:color="auto" w:fill="auto"/>
          </w:tcPr>
          <w:p w:rsidR="003C2695" w:rsidRPr="00255063" w:rsidRDefault="003C2695" w:rsidP="008A5A8F">
            <w:pP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2 (7,7%)</w:t>
            </w:r>
          </w:p>
        </w:tc>
        <w:tc>
          <w:tcPr>
            <w:tcW w:w="1403" w:type="dxa"/>
            <w:shd w:val="clear" w:color="auto" w:fill="auto"/>
          </w:tcPr>
          <w:p w:rsidR="003C2695" w:rsidRPr="00255063" w:rsidRDefault="003C2695" w:rsidP="008A5A8F">
            <w:pPr>
              <w:rPr>
                <w:rFonts w:ascii="Arial" w:hAnsi="Arial" w:cs="Arial"/>
              </w:rPr>
            </w:pPr>
            <w:r w:rsidRPr="00255063">
              <w:rPr>
                <w:rFonts w:ascii="Arial" w:hAnsi="Arial" w:cs="Arial"/>
                <w:sz w:val="20"/>
                <w:szCs w:val="20"/>
              </w:rPr>
              <w:t>1 (3,8%)</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17 (65,4%)</w:t>
            </w:r>
          </w:p>
        </w:tc>
      </w:tr>
      <w:tr w:rsidR="003C2695" w:rsidRPr="00255063" w:rsidTr="00EA2F4E">
        <w:trPr>
          <w:trHeight w:hRule="exact" w:val="252"/>
        </w:trPr>
        <w:tc>
          <w:tcPr>
            <w:tcW w:w="4082" w:type="dxa"/>
          </w:tcPr>
          <w:p w:rsidR="003C2695" w:rsidRPr="00255063" w:rsidRDefault="003C2695" w:rsidP="008A5A8F">
            <w:pPr>
              <w:spacing w:line="360" w:lineRule="auto"/>
              <w:ind w:left="459"/>
              <w:jc w:val="both"/>
              <w:rPr>
                <w:rFonts w:ascii="Arial" w:hAnsi="Arial" w:cs="Arial"/>
                <w:sz w:val="20"/>
                <w:szCs w:val="20"/>
              </w:rPr>
            </w:pPr>
            <w:r w:rsidRPr="00255063">
              <w:rPr>
                <w:rFonts w:ascii="Arial" w:hAnsi="Arial" w:cs="Arial"/>
                <w:sz w:val="20"/>
                <w:szCs w:val="20"/>
              </w:rPr>
              <w:t>Expressão</w:t>
            </w:r>
          </w:p>
        </w:tc>
        <w:tc>
          <w:tcPr>
            <w:tcW w:w="1403" w:type="dxa"/>
            <w:shd w:val="clear" w:color="auto" w:fill="auto"/>
          </w:tcPr>
          <w:p w:rsidR="003C2695" w:rsidRPr="00255063" w:rsidRDefault="003C2695" w:rsidP="008A5A8F">
            <w:pP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 (3,8%)</w:t>
            </w:r>
          </w:p>
        </w:tc>
        <w:tc>
          <w:tcPr>
            <w:tcW w:w="1403" w:type="dxa"/>
            <w:shd w:val="clear" w:color="auto" w:fill="auto"/>
          </w:tcPr>
          <w:p w:rsidR="003C2695" w:rsidRPr="00255063" w:rsidRDefault="003C2695" w:rsidP="008A5A8F">
            <w:pPr>
              <w:rPr>
                <w:rFonts w:ascii="Arial" w:hAnsi="Arial" w:cs="Arial"/>
              </w:rPr>
            </w:pPr>
            <w:r w:rsidRPr="00255063">
              <w:rPr>
                <w:rFonts w:ascii="Arial" w:hAnsi="Arial" w:cs="Arial"/>
                <w:sz w:val="20"/>
                <w:szCs w:val="20"/>
              </w:rPr>
              <w:t>1 (3,8%)</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 (3,8%)</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19 (73,2%)</w:t>
            </w:r>
          </w:p>
        </w:tc>
      </w:tr>
      <w:tr w:rsidR="003C2695" w:rsidRPr="00255063" w:rsidTr="00EA2F4E">
        <w:trPr>
          <w:trHeight w:hRule="exact" w:val="252"/>
        </w:trPr>
        <w:tc>
          <w:tcPr>
            <w:tcW w:w="4082" w:type="dxa"/>
          </w:tcPr>
          <w:p w:rsidR="003C2695" w:rsidRPr="00255063" w:rsidRDefault="003C2695" w:rsidP="008A5A8F">
            <w:pPr>
              <w:spacing w:line="360" w:lineRule="auto"/>
              <w:jc w:val="both"/>
              <w:rPr>
                <w:rFonts w:ascii="Arial" w:hAnsi="Arial" w:cs="Arial"/>
                <w:b/>
                <w:sz w:val="20"/>
                <w:szCs w:val="20"/>
              </w:rPr>
            </w:pPr>
            <w:r w:rsidRPr="00255063">
              <w:rPr>
                <w:rFonts w:ascii="Arial" w:hAnsi="Arial" w:cs="Arial"/>
                <w:b/>
                <w:sz w:val="20"/>
                <w:szCs w:val="20"/>
              </w:rPr>
              <w:t>Cognição social</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p>
        </w:tc>
      </w:tr>
      <w:tr w:rsidR="003C2695" w:rsidRPr="00255063" w:rsidTr="00EA2F4E">
        <w:trPr>
          <w:trHeight w:hRule="exact" w:val="252"/>
        </w:trPr>
        <w:tc>
          <w:tcPr>
            <w:tcW w:w="4082" w:type="dxa"/>
          </w:tcPr>
          <w:p w:rsidR="003C2695" w:rsidRPr="00255063" w:rsidRDefault="003C2695" w:rsidP="008A5A8F">
            <w:pPr>
              <w:spacing w:line="360" w:lineRule="auto"/>
              <w:ind w:left="459"/>
              <w:jc w:val="both"/>
              <w:rPr>
                <w:rFonts w:ascii="Arial" w:hAnsi="Arial" w:cs="Arial"/>
                <w:sz w:val="20"/>
                <w:szCs w:val="20"/>
              </w:rPr>
            </w:pPr>
            <w:r w:rsidRPr="00255063">
              <w:rPr>
                <w:rFonts w:ascii="Arial" w:hAnsi="Arial" w:cs="Arial"/>
                <w:sz w:val="20"/>
                <w:szCs w:val="20"/>
              </w:rPr>
              <w:t>Interação social</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1 (3,8%)</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4 (15,4%)</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 (3,8%)</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14 (53,9%)</w:t>
            </w:r>
          </w:p>
        </w:tc>
      </w:tr>
      <w:tr w:rsidR="003C2695" w:rsidRPr="00255063" w:rsidTr="00EA2F4E">
        <w:trPr>
          <w:trHeight w:hRule="exact" w:val="252"/>
        </w:trPr>
        <w:tc>
          <w:tcPr>
            <w:tcW w:w="4082" w:type="dxa"/>
          </w:tcPr>
          <w:p w:rsidR="003C2695" w:rsidRPr="00255063" w:rsidRDefault="003C2695" w:rsidP="008A5A8F">
            <w:pPr>
              <w:spacing w:line="360" w:lineRule="auto"/>
              <w:ind w:left="459"/>
              <w:jc w:val="both"/>
              <w:rPr>
                <w:rFonts w:ascii="Arial" w:hAnsi="Arial" w:cs="Arial"/>
                <w:sz w:val="20"/>
                <w:szCs w:val="20"/>
              </w:rPr>
            </w:pPr>
            <w:r w:rsidRPr="00255063">
              <w:rPr>
                <w:rFonts w:ascii="Arial" w:hAnsi="Arial" w:cs="Arial"/>
                <w:sz w:val="20"/>
                <w:szCs w:val="20"/>
              </w:rPr>
              <w:t>Resolução de problemas</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1 (3,8%)</w:t>
            </w:r>
          </w:p>
        </w:tc>
        <w:tc>
          <w:tcPr>
            <w:tcW w:w="1403" w:type="dxa"/>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6 (23,1%)</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3 (11,5%)</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2 (7,7%)</w:t>
            </w:r>
          </w:p>
        </w:tc>
        <w:tc>
          <w:tcPr>
            <w:tcW w:w="1403" w:type="dxa"/>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10 (38,5%)</w:t>
            </w:r>
          </w:p>
        </w:tc>
      </w:tr>
      <w:tr w:rsidR="003C2695" w:rsidRPr="00255063" w:rsidTr="00EA2F4E">
        <w:trPr>
          <w:trHeight w:hRule="exact" w:val="252"/>
        </w:trPr>
        <w:tc>
          <w:tcPr>
            <w:tcW w:w="4082" w:type="dxa"/>
            <w:tcBorders>
              <w:bottom w:val="single" w:sz="4" w:space="0" w:color="auto"/>
            </w:tcBorders>
          </w:tcPr>
          <w:p w:rsidR="003C2695" w:rsidRPr="00255063" w:rsidRDefault="003C2695" w:rsidP="008A5A8F">
            <w:pPr>
              <w:spacing w:line="360" w:lineRule="auto"/>
              <w:ind w:left="459"/>
              <w:jc w:val="both"/>
              <w:rPr>
                <w:rFonts w:ascii="Arial" w:hAnsi="Arial" w:cs="Arial"/>
                <w:sz w:val="20"/>
                <w:szCs w:val="20"/>
              </w:rPr>
            </w:pPr>
            <w:r w:rsidRPr="00255063">
              <w:rPr>
                <w:rFonts w:ascii="Arial" w:hAnsi="Arial" w:cs="Arial"/>
                <w:sz w:val="20"/>
                <w:szCs w:val="20"/>
              </w:rPr>
              <w:t>Memória</w:t>
            </w:r>
          </w:p>
        </w:tc>
        <w:tc>
          <w:tcPr>
            <w:tcW w:w="1403" w:type="dxa"/>
            <w:tcBorders>
              <w:bottom w:val="single" w:sz="4" w:space="0" w:color="auto"/>
            </w:tcBorders>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2 (7,7%)</w:t>
            </w:r>
          </w:p>
        </w:tc>
        <w:tc>
          <w:tcPr>
            <w:tcW w:w="1403" w:type="dxa"/>
            <w:tcBorders>
              <w:bottom w:val="single" w:sz="4" w:space="0" w:color="auto"/>
            </w:tcBorders>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1 (3,8%)</w:t>
            </w:r>
          </w:p>
        </w:tc>
        <w:tc>
          <w:tcPr>
            <w:tcW w:w="1403" w:type="dxa"/>
            <w:tcBorders>
              <w:bottom w:val="single" w:sz="4" w:space="0" w:color="auto"/>
            </w:tcBorders>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tcBorders>
              <w:bottom w:val="single" w:sz="4" w:space="0" w:color="auto"/>
            </w:tcBorders>
            <w:shd w:val="clear" w:color="auto" w:fill="auto"/>
          </w:tcPr>
          <w:p w:rsidR="003C2695" w:rsidRPr="00255063" w:rsidRDefault="003C2695" w:rsidP="008A5A8F">
            <w:pPr>
              <w:spacing w:line="360" w:lineRule="auto"/>
              <w:jc w:val="center"/>
              <w:rPr>
                <w:rFonts w:ascii="Arial" w:hAnsi="Arial" w:cs="Arial"/>
                <w:sz w:val="20"/>
                <w:szCs w:val="20"/>
              </w:rPr>
            </w:pPr>
          </w:p>
        </w:tc>
        <w:tc>
          <w:tcPr>
            <w:tcW w:w="1403" w:type="dxa"/>
            <w:tcBorders>
              <w:bottom w:val="single" w:sz="4" w:space="0" w:color="auto"/>
            </w:tcBorders>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1 (3,8%)</w:t>
            </w:r>
          </w:p>
        </w:tc>
        <w:tc>
          <w:tcPr>
            <w:tcW w:w="1403" w:type="dxa"/>
            <w:tcBorders>
              <w:bottom w:val="single" w:sz="4" w:space="0" w:color="auto"/>
            </w:tcBorders>
            <w:shd w:val="clear" w:color="auto" w:fill="auto"/>
          </w:tcPr>
          <w:p w:rsidR="003C2695" w:rsidRPr="00255063" w:rsidRDefault="003C2695" w:rsidP="008A5A8F">
            <w:pPr>
              <w:jc w:val="center"/>
              <w:rPr>
                <w:rFonts w:ascii="Arial" w:hAnsi="Arial" w:cs="Arial"/>
              </w:rPr>
            </w:pPr>
            <w:r w:rsidRPr="00255063">
              <w:rPr>
                <w:rFonts w:ascii="Arial" w:hAnsi="Arial" w:cs="Arial"/>
                <w:sz w:val="20"/>
                <w:szCs w:val="20"/>
              </w:rPr>
              <w:t>1 (3,8%)</w:t>
            </w:r>
          </w:p>
        </w:tc>
        <w:tc>
          <w:tcPr>
            <w:tcW w:w="1403" w:type="dxa"/>
            <w:tcBorders>
              <w:bottom w:val="single" w:sz="4" w:space="0" w:color="auto"/>
            </w:tcBorders>
            <w:shd w:val="clear" w:color="auto" w:fill="auto"/>
          </w:tcPr>
          <w:p w:rsidR="003C2695" w:rsidRPr="00255063" w:rsidRDefault="003C2695" w:rsidP="008A5A8F">
            <w:pPr>
              <w:spacing w:line="360" w:lineRule="auto"/>
              <w:jc w:val="center"/>
              <w:rPr>
                <w:rFonts w:ascii="Arial" w:hAnsi="Arial" w:cs="Arial"/>
                <w:sz w:val="20"/>
                <w:szCs w:val="20"/>
              </w:rPr>
            </w:pPr>
            <w:r w:rsidRPr="00255063">
              <w:rPr>
                <w:rFonts w:ascii="Arial" w:hAnsi="Arial" w:cs="Arial"/>
                <w:sz w:val="20"/>
                <w:szCs w:val="20"/>
              </w:rPr>
              <w:t>21 (80,9%)</w:t>
            </w:r>
          </w:p>
        </w:tc>
      </w:tr>
    </w:tbl>
    <w:p w:rsidR="009A02F8" w:rsidRDefault="003C2695" w:rsidP="00EA2F4E">
      <w:pPr>
        <w:tabs>
          <w:tab w:val="left" w:pos="2729"/>
        </w:tabs>
        <w:spacing w:after="0" w:line="240" w:lineRule="auto"/>
        <w:ind w:right="111"/>
        <w:jc w:val="both"/>
        <w:rPr>
          <w:rFonts w:ascii="Arial" w:hAnsi="Arial" w:cs="Arial"/>
          <w:sz w:val="20"/>
          <w:szCs w:val="24"/>
        </w:rPr>
      </w:pPr>
      <w:r w:rsidRPr="00255063">
        <w:rPr>
          <w:rFonts w:ascii="Arial" w:hAnsi="Arial" w:cs="Arial"/>
          <w:b/>
          <w:sz w:val="20"/>
          <w:szCs w:val="24"/>
        </w:rPr>
        <w:t>Legenda:</w:t>
      </w:r>
      <w:r w:rsidRPr="00255063">
        <w:rPr>
          <w:rFonts w:ascii="Arial" w:hAnsi="Arial" w:cs="Arial"/>
          <w:sz w:val="20"/>
          <w:szCs w:val="24"/>
        </w:rPr>
        <w:t xml:space="preserve"> MIF – Medida de Independência Funcional; </w:t>
      </w:r>
      <w:r w:rsidRPr="00255063">
        <w:rPr>
          <w:rFonts w:ascii="Arial" w:hAnsi="Arial" w:cs="Arial"/>
          <w:sz w:val="20"/>
          <w:szCs w:val="24"/>
          <w:vertAlign w:val="superscript"/>
        </w:rPr>
        <w:t>†</w:t>
      </w:r>
      <w:r w:rsidR="00C607B3">
        <w:rPr>
          <w:rFonts w:ascii="Arial" w:hAnsi="Arial" w:cs="Arial"/>
          <w:sz w:val="20"/>
          <w:szCs w:val="24"/>
          <w:vertAlign w:val="superscript"/>
        </w:rPr>
        <w:t xml:space="preserve"> </w:t>
      </w:r>
      <w:r w:rsidRPr="00255063">
        <w:rPr>
          <w:rFonts w:ascii="Arial" w:hAnsi="Arial" w:cs="Arial"/>
          <w:sz w:val="20"/>
          <w:szCs w:val="24"/>
        </w:rPr>
        <w:t>Pontuações: de 1 a 5 indicam necessidade de assistência e/ou supervisão, e de 6 a 7 indicam independência para realização da atividade</w:t>
      </w:r>
      <w:r w:rsidR="009A02F8">
        <w:rPr>
          <w:rFonts w:ascii="Arial" w:hAnsi="Arial" w:cs="Arial"/>
          <w:sz w:val="20"/>
          <w:szCs w:val="24"/>
        </w:rPr>
        <w:t>.</w:t>
      </w:r>
    </w:p>
    <w:p w:rsidR="003C2695" w:rsidRDefault="00354961" w:rsidP="00354961">
      <w:pPr>
        <w:tabs>
          <w:tab w:val="left" w:pos="2729"/>
        </w:tabs>
        <w:spacing w:after="0" w:line="240" w:lineRule="auto"/>
        <w:ind w:right="2096"/>
        <w:jc w:val="both"/>
        <w:rPr>
          <w:rFonts w:ascii="Arial" w:hAnsi="Arial" w:cs="Arial"/>
          <w:sz w:val="20"/>
          <w:szCs w:val="24"/>
        </w:rPr>
      </w:pPr>
      <w:r w:rsidRPr="008A5A8F">
        <w:rPr>
          <w:rFonts w:ascii="Arial" w:hAnsi="Arial" w:cs="Arial"/>
          <w:b/>
          <w:noProof/>
          <w:sz w:val="20"/>
          <w:szCs w:val="24"/>
          <w:lang w:eastAsia="pt-BR"/>
        </w:rPr>
        <mc:AlternateContent>
          <mc:Choice Requires="wps">
            <w:drawing>
              <wp:anchor distT="0" distB="0" distL="114300" distR="114300" simplePos="0" relativeHeight="251779072" behindDoc="0" locked="0" layoutInCell="1" allowOverlap="1" wp14:anchorId="48FE16ED" wp14:editId="56C25D82">
                <wp:simplePos x="0" y="0"/>
                <wp:positionH relativeFrom="column">
                  <wp:posOffset>8759352</wp:posOffset>
                </wp:positionH>
                <wp:positionV relativeFrom="paragraph">
                  <wp:posOffset>276860</wp:posOffset>
                </wp:positionV>
                <wp:extent cx="563245" cy="467360"/>
                <wp:effectExtent l="0" t="0" r="8255" b="889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467360"/>
                        </a:xfrm>
                        <a:prstGeom prst="rect">
                          <a:avLst/>
                        </a:prstGeom>
                        <a:solidFill>
                          <a:srgbClr val="FFFFFF"/>
                        </a:solidFill>
                        <a:ln w="9525">
                          <a:noFill/>
                          <a:miter lim="800000"/>
                          <a:headEnd/>
                          <a:tailEnd/>
                        </a:ln>
                      </wps:spPr>
                      <wps:txbx>
                        <w:txbxContent>
                          <w:p w:rsidR="00B421DD" w:rsidRPr="008A5A8F" w:rsidRDefault="00B421DD" w:rsidP="008A5A8F">
                            <w:pPr>
                              <w:jc w:val="center"/>
                              <w:rPr>
                                <w:rFonts w:ascii="Arial" w:hAnsi="Arial" w:cs="Arial"/>
                                <w:sz w:val="20"/>
                              </w:rPr>
                            </w:pPr>
                            <w:r w:rsidRPr="008A5A8F">
                              <w:rPr>
                                <w:rFonts w:ascii="Arial" w:hAnsi="Arial" w:cs="Arial"/>
                                <w:sz w:val="20"/>
                              </w:rPr>
                              <w:t>10</w:t>
                            </w:r>
                            <w:r>
                              <w:rPr>
                                <w:rFonts w:ascii="Arial" w:hAnsi="Arial" w:cs="Arial"/>
                                <w:sz w:val="20"/>
                              </w:rPr>
                              <w:t>5</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FE16ED" id="_x0000_s1045" type="#_x0000_t202" style="position:absolute;left:0;text-align:left;margin-left:689.7pt;margin-top:21.8pt;width:44.35pt;height:36.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" stroked="f">
                <v:textbox style="layout-flow:vertical">
                  <w:txbxContent>
                    <w:p w:rsidR="00986394" w:rsidRPr="008A5A8F" w:rsidRDefault="00986394" w:rsidP="008A5A8F">
                      <w:pPr>
                        <w:jc w:val="center"/>
                        <w:rPr>
                          <w:rFonts w:ascii="Arial" w:hAnsi="Arial" w:cs="Arial"/>
                          <w:sz w:val="20"/>
                        </w:rPr>
                      </w:pPr>
                      <w:r w:rsidRPr="008A5A8F">
                        <w:rPr>
                          <w:rFonts w:ascii="Arial" w:hAnsi="Arial" w:cs="Arial"/>
                          <w:sz w:val="20"/>
                        </w:rPr>
                        <w:t>10</w:t>
                      </w:r>
                      <w:r>
                        <w:rPr>
                          <w:rFonts w:ascii="Arial" w:hAnsi="Arial" w:cs="Arial"/>
                          <w:sz w:val="20"/>
                        </w:rPr>
                        <w:t>5</w:t>
                      </w:r>
                    </w:p>
                  </w:txbxContent>
                </v:textbox>
              </v:shape>
            </w:pict>
          </mc:Fallback>
        </mc:AlternateContent>
      </w:r>
      <w:r w:rsidR="003C2695" w:rsidRPr="00255063">
        <w:rPr>
          <w:rFonts w:ascii="Arial" w:hAnsi="Arial" w:cs="Arial"/>
          <w:b/>
          <w:sz w:val="20"/>
          <w:szCs w:val="24"/>
        </w:rPr>
        <w:t>Fonte:</w:t>
      </w:r>
      <w:r w:rsidR="003C2695" w:rsidRPr="00255063">
        <w:rPr>
          <w:rFonts w:ascii="Arial" w:hAnsi="Arial" w:cs="Arial"/>
          <w:sz w:val="20"/>
          <w:szCs w:val="24"/>
        </w:rPr>
        <w:t xml:space="preserve"> Salvador-BA,</w:t>
      </w:r>
      <w:r w:rsidR="003C2695">
        <w:rPr>
          <w:rFonts w:ascii="Arial" w:hAnsi="Arial" w:cs="Arial"/>
          <w:sz w:val="20"/>
          <w:szCs w:val="24"/>
        </w:rPr>
        <w:t xml:space="preserve"> 2017.</w:t>
      </w:r>
    </w:p>
    <w:p w:rsidR="00986394" w:rsidRDefault="00986394" w:rsidP="00354961">
      <w:pPr>
        <w:tabs>
          <w:tab w:val="left" w:pos="2729"/>
        </w:tabs>
        <w:spacing w:after="0" w:line="240" w:lineRule="auto"/>
        <w:ind w:right="2096"/>
        <w:jc w:val="both"/>
        <w:rPr>
          <w:rFonts w:ascii="Arial" w:hAnsi="Arial" w:cs="Arial"/>
          <w:sz w:val="20"/>
          <w:szCs w:val="24"/>
        </w:rPr>
      </w:pPr>
    </w:p>
    <w:p w:rsidR="00B052AA" w:rsidRDefault="00B052AA" w:rsidP="00354961">
      <w:pPr>
        <w:tabs>
          <w:tab w:val="left" w:pos="2729"/>
        </w:tabs>
        <w:spacing w:after="0" w:line="240" w:lineRule="auto"/>
        <w:ind w:right="2096"/>
        <w:jc w:val="both"/>
        <w:rPr>
          <w:rFonts w:ascii="Arial" w:hAnsi="Arial" w:cs="Arial"/>
          <w:sz w:val="20"/>
          <w:szCs w:val="24"/>
        </w:rPr>
        <w:sectPr w:rsidR="00B052AA" w:rsidSect="00CF472A">
          <w:pgSz w:w="16838" w:h="11906" w:orient="landscape" w:code="9"/>
          <w:pgMar w:top="1701" w:right="1701" w:bottom="1134" w:left="1134" w:header="1134" w:footer="709" w:gutter="0"/>
          <w:pgNumType w:start="14"/>
          <w:cols w:space="708"/>
          <w:docGrid w:linePitch="360"/>
        </w:sectPr>
      </w:pPr>
    </w:p>
    <w:p w:rsidR="00B052AA" w:rsidRDefault="00CF472A" w:rsidP="00354961">
      <w:pPr>
        <w:tabs>
          <w:tab w:val="left" w:pos="2729"/>
        </w:tabs>
        <w:spacing w:after="0" w:line="240" w:lineRule="auto"/>
        <w:ind w:right="2096"/>
        <w:jc w:val="both"/>
        <w:rPr>
          <w:rFonts w:ascii="Arial" w:hAnsi="Arial" w:cs="Arial"/>
          <w:sz w:val="20"/>
          <w:szCs w:val="24"/>
        </w:rPr>
      </w:pPr>
      <w:r>
        <w:rPr>
          <w:noProof/>
          <w:lang w:eastAsia="pt-BR"/>
        </w:rPr>
        <w:lastRenderedPageBreak/>
        <w:drawing>
          <wp:anchor distT="0" distB="0" distL="114300" distR="114300" simplePos="0" relativeHeight="251791360" behindDoc="1" locked="0" layoutInCell="1" allowOverlap="1" wp14:anchorId="038473E7" wp14:editId="0B5F06DD">
            <wp:simplePos x="0" y="0"/>
            <wp:positionH relativeFrom="column">
              <wp:posOffset>1579880</wp:posOffset>
            </wp:positionH>
            <wp:positionV relativeFrom="paragraph">
              <wp:posOffset>123190</wp:posOffset>
            </wp:positionV>
            <wp:extent cx="2922905" cy="1327785"/>
            <wp:effectExtent l="0" t="0" r="0" b="5715"/>
            <wp:wrapThrough wrapText="bothSides">
              <wp:wrapPolygon edited="0">
                <wp:start x="0" y="0"/>
                <wp:lineTo x="0" y="21383"/>
                <wp:lineTo x="21398" y="21383"/>
                <wp:lineTo x="21398" y="0"/>
                <wp:lineTo x="0" y="0"/>
              </wp:wrapPolygon>
            </wp:wrapThrough>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22905"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52AA" w:rsidRDefault="00B052AA" w:rsidP="00354961">
      <w:pPr>
        <w:tabs>
          <w:tab w:val="left" w:pos="2729"/>
        </w:tabs>
        <w:spacing w:after="0" w:line="240" w:lineRule="auto"/>
        <w:ind w:right="2096"/>
        <w:jc w:val="both"/>
        <w:rPr>
          <w:rFonts w:ascii="Arial" w:hAnsi="Arial" w:cs="Arial"/>
          <w:sz w:val="20"/>
          <w:szCs w:val="24"/>
        </w:rPr>
      </w:pPr>
    </w:p>
    <w:p w:rsidR="00B052AA" w:rsidRDefault="00B052AA" w:rsidP="00354961">
      <w:pPr>
        <w:tabs>
          <w:tab w:val="left" w:pos="2729"/>
        </w:tabs>
        <w:spacing w:after="0" w:line="240" w:lineRule="auto"/>
        <w:ind w:right="2096"/>
        <w:jc w:val="both"/>
        <w:rPr>
          <w:rFonts w:ascii="Arial" w:hAnsi="Arial" w:cs="Arial"/>
          <w:sz w:val="20"/>
          <w:szCs w:val="24"/>
        </w:rPr>
      </w:pPr>
    </w:p>
    <w:p w:rsidR="00B052AA" w:rsidRDefault="00B052AA" w:rsidP="00B052AA">
      <w:pPr>
        <w:spacing w:before="100" w:beforeAutospacing="1" w:after="100" w:afterAutospacing="1" w:line="240" w:lineRule="auto"/>
        <w:outlineLvl w:val="2"/>
        <w:rPr>
          <w:rFonts w:ascii="Arial" w:eastAsia="Times New Roman" w:hAnsi="Arial" w:cs="Arial"/>
          <w:b/>
          <w:bCs/>
          <w:sz w:val="27"/>
          <w:szCs w:val="27"/>
          <w:lang w:eastAsia="pt-BR"/>
        </w:rPr>
      </w:pPr>
    </w:p>
    <w:p w:rsidR="00B052AA" w:rsidRDefault="00B052AA" w:rsidP="00B052AA">
      <w:pPr>
        <w:spacing w:before="100" w:beforeAutospacing="1" w:after="100" w:afterAutospacing="1" w:line="240" w:lineRule="auto"/>
        <w:outlineLvl w:val="2"/>
        <w:rPr>
          <w:rFonts w:ascii="Arial" w:eastAsia="Times New Roman" w:hAnsi="Arial" w:cs="Arial"/>
          <w:b/>
          <w:bCs/>
          <w:sz w:val="27"/>
          <w:szCs w:val="27"/>
          <w:lang w:eastAsia="pt-BR"/>
        </w:rPr>
      </w:pPr>
    </w:p>
    <w:p w:rsidR="00B052AA" w:rsidRDefault="00B052AA" w:rsidP="00B052AA">
      <w:pPr>
        <w:spacing w:before="100" w:beforeAutospacing="1" w:after="100" w:afterAutospacing="1" w:line="240" w:lineRule="auto"/>
        <w:outlineLvl w:val="2"/>
        <w:rPr>
          <w:rFonts w:ascii="Arial" w:eastAsia="Times New Roman" w:hAnsi="Arial" w:cs="Arial"/>
          <w:b/>
          <w:bCs/>
          <w:sz w:val="27"/>
          <w:szCs w:val="27"/>
          <w:lang w:eastAsia="pt-BR"/>
        </w:rPr>
      </w:pPr>
    </w:p>
    <w:p w:rsidR="00B052AA" w:rsidRPr="003E22FC" w:rsidRDefault="00B052AA" w:rsidP="00B052AA">
      <w:pPr>
        <w:tabs>
          <w:tab w:val="left" w:pos="5643"/>
        </w:tabs>
        <w:spacing w:before="100" w:beforeAutospacing="1" w:after="100" w:afterAutospacing="1" w:line="240" w:lineRule="auto"/>
        <w:outlineLvl w:val="2"/>
        <w:rPr>
          <w:rFonts w:ascii="Arial" w:eastAsia="Times New Roman" w:hAnsi="Arial" w:cs="Arial"/>
          <w:b/>
          <w:bCs/>
          <w:sz w:val="27"/>
          <w:szCs w:val="27"/>
          <w:lang w:eastAsia="pt-BR"/>
        </w:rPr>
      </w:pPr>
      <w:r w:rsidRPr="003E22FC">
        <w:rPr>
          <w:rFonts w:ascii="Arial" w:eastAsia="Times New Roman" w:hAnsi="Arial" w:cs="Arial"/>
          <w:b/>
          <w:bCs/>
          <w:sz w:val="27"/>
          <w:szCs w:val="27"/>
          <w:lang w:eastAsia="pt-BR"/>
        </w:rPr>
        <w:t>Submissão</w:t>
      </w:r>
      <w:r>
        <w:rPr>
          <w:rFonts w:ascii="Arial" w:eastAsia="Times New Roman" w:hAnsi="Arial" w:cs="Arial"/>
          <w:b/>
          <w:bCs/>
          <w:sz w:val="27"/>
          <w:szCs w:val="27"/>
          <w:lang w:eastAsia="pt-BR"/>
        </w:rPr>
        <w:tab/>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53"/>
        <w:gridCol w:w="2742"/>
        <w:gridCol w:w="4566"/>
      </w:tblGrid>
      <w:tr w:rsidR="00B052AA" w:rsidRPr="003E22FC" w:rsidTr="00B421DD">
        <w:trPr>
          <w:tblCellSpacing w:w="15" w:type="dxa"/>
        </w:trPr>
        <w:tc>
          <w:tcPr>
            <w:tcW w:w="1000" w:type="pct"/>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Autores</w:t>
            </w:r>
          </w:p>
        </w:tc>
        <w:tc>
          <w:tcPr>
            <w:tcW w:w="4000" w:type="pct"/>
            <w:gridSpan w:val="2"/>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Paloma Silva Lopes, Diógenes Pires Serra Filho, Marcos Antônio Almeida Matos</w:t>
            </w:r>
          </w:p>
        </w:tc>
      </w:tr>
      <w:tr w:rsidR="00B052AA" w:rsidRPr="003E22FC" w:rsidTr="00B421DD">
        <w:trPr>
          <w:tblCellSpacing w:w="15" w:type="dxa"/>
        </w:trPr>
        <w:tc>
          <w:tcPr>
            <w:tcW w:w="1000" w:type="pct"/>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Título</w:t>
            </w:r>
          </w:p>
        </w:tc>
        <w:tc>
          <w:tcPr>
            <w:tcW w:w="4000" w:type="pct"/>
            <w:gridSpan w:val="2"/>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Independência funcional de pacientes pediátricos com mucopolissacaridoses</w:t>
            </w:r>
          </w:p>
        </w:tc>
      </w:tr>
      <w:tr w:rsidR="00B052AA" w:rsidRPr="003E22FC" w:rsidTr="00B421DD">
        <w:trPr>
          <w:tblCellSpacing w:w="15" w:type="dxa"/>
        </w:trPr>
        <w:tc>
          <w:tcPr>
            <w:tcW w:w="1000" w:type="pct"/>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Documento original</w:t>
            </w:r>
          </w:p>
        </w:tc>
        <w:tc>
          <w:tcPr>
            <w:tcW w:w="4000" w:type="pct"/>
            <w:gridSpan w:val="2"/>
            <w:hideMark/>
          </w:tcPr>
          <w:p w:rsidR="00B052AA" w:rsidRPr="003E22FC" w:rsidRDefault="00FA6328" w:rsidP="00B421DD">
            <w:pPr>
              <w:spacing w:after="0" w:line="240" w:lineRule="auto"/>
              <w:jc w:val="both"/>
              <w:rPr>
                <w:rFonts w:ascii="Arial" w:eastAsia="Times New Roman" w:hAnsi="Arial" w:cs="Arial"/>
                <w:sz w:val="24"/>
                <w:szCs w:val="24"/>
                <w:lang w:eastAsia="pt-BR"/>
              </w:rPr>
            </w:pPr>
            <w:hyperlink r:id="rId85" w:history="1">
              <w:r w:rsidR="00B052AA" w:rsidRPr="003E22FC">
                <w:rPr>
                  <w:rFonts w:ascii="Arial" w:eastAsia="Times New Roman" w:hAnsi="Arial" w:cs="Arial"/>
                  <w:sz w:val="24"/>
                  <w:szCs w:val="24"/>
                  <w:lang w:eastAsia="pt-BR"/>
                </w:rPr>
                <w:t>187274-893498-3-SM.docx</w:t>
              </w:r>
            </w:hyperlink>
            <w:r w:rsidR="00B052AA" w:rsidRPr="003E22FC">
              <w:rPr>
                <w:rFonts w:ascii="Arial" w:eastAsia="Times New Roman" w:hAnsi="Arial" w:cs="Arial"/>
                <w:sz w:val="24"/>
                <w:szCs w:val="24"/>
                <w:lang w:eastAsia="pt-BR"/>
              </w:rPr>
              <w:t xml:space="preserve">  2017-10-31 </w:t>
            </w:r>
          </w:p>
        </w:tc>
      </w:tr>
      <w:tr w:rsidR="00B052AA" w:rsidRPr="003E22FC" w:rsidTr="00B421DD">
        <w:trPr>
          <w:tblCellSpacing w:w="15" w:type="dxa"/>
        </w:trPr>
        <w:tc>
          <w:tcPr>
            <w:tcW w:w="0" w:type="auto"/>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Docs. sup.</w:t>
            </w:r>
          </w:p>
        </w:tc>
        <w:tc>
          <w:tcPr>
            <w:tcW w:w="1500" w:type="pct"/>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 xml:space="preserve">Nenhum(a) </w:t>
            </w:r>
          </w:p>
        </w:tc>
        <w:tc>
          <w:tcPr>
            <w:tcW w:w="2500" w:type="pct"/>
            <w:hideMark/>
          </w:tcPr>
          <w:p w:rsidR="00B052AA" w:rsidRPr="003E22FC" w:rsidRDefault="00B052AA" w:rsidP="00B421DD">
            <w:pPr>
              <w:spacing w:after="0" w:line="240" w:lineRule="auto"/>
              <w:rPr>
                <w:rFonts w:ascii="Arial" w:eastAsia="Times New Roman" w:hAnsi="Arial" w:cs="Arial"/>
                <w:sz w:val="24"/>
                <w:szCs w:val="24"/>
                <w:lang w:eastAsia="pt-BR"/>
              </w:rPr>
            </w:pPr>
          </w:p>
        </w:tc>
      </w:tr>
      <w:tr w:rsidR="00B052AA" w:rsidRPr="003E22FC" w:rsidTr="00B421DD">
        <w:trPr>
          <w:tblCellSpacing w:w="15" w:type="dxa"/>
        </w:trPr>
        <w:tc>
          <w:tcPr>
            <w:tcW w:w="0" w:type="auto"/>
            <w:vAlign w:val="center"/>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Submetido por</w:t>
            </w:r>
          </w:p>
        </w:tc>
        <w:tc>
          <w:tcPr>
            <w:tcW w:w="0" w:type="auto"/>
            <w:gridSpan w:val="2"/>
            <w:vAlign w:val="center"/>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 xml:space="preserve">Srta. Paloma Silva Lopes </w:t>
            </w:r>
            <w:r w:rsidRPr="003E22FC">
              <w:rPr>
                <w:rFonts w:ascii="Arial" w:eastAsia="Times New Roman" w:hAnsi="Arial" w:cs="Arial"/>
                <w:noProof/>
                <w:color w:val="0000FF"/>
                <w:sz w:val="24"/>
                <w:szCs w:val="24"/>
                <w:lang w:eastAsia="pt-BR"/>
              </w:rPr>
              <w:drawing>
                <wp:inline distT="0" distB="0" distL="0" distR="0" wp14:anchorId="224FD331" wp14:editId="6B65CDFF">
                  <wp:extent cx="148590" cy="138430"/>
                  <wp:effectExtent l="0" t="0" r="3810" b="0"/>
                  <wp:docPr id="29" name="Imagem 29" descr="Correi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eio">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p>
        </w:tc>
      </w:tr>
      <w:tr w:rsidR="00B052AA" w:rsidRPr="003E22FC" w:rsidTr="00B421DD">
        <w:trPr>
          <w:tblCellSpacing w:w="15" w:type="dxa"/>
        </w:trPr>
        <w:tc>
          <w:tcPr>
            <w:tcW w:w="0" w:type="auto"/>
            <w:vAlign w:val="center"/>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Data de submissão</w:t>
            </w:r>
          </w:p>
        </w:tc>
        <w:tc>
          <w:tcPr>
            <w:tcW w:w="0" w:type="auto"/>
            <w:vAlign w:val="center"/>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 xml:space="preserve">novembro 1, 2017 - 07:24 </w:t>
            </w:r>
          </w:p>
        </w:tc>
        <w:tc>
          <w:tcPr>
            <w:tcW w:w="0" w:type="auto"/>
            <w:vAlign w:val="center"/>
            <w:hideMark/>
          </w:tcPr>
          <w:p w:rsidR="00B052AA" w:rsidRPr="003E22FC" w:rsidRDefault="00B052AA" w:rsidP="00B421DD">
            <w:pPr>
              <w:spacing w:after="0" w:line="240" w:lineRule="auto"/>
              <w:rPr>
                <w:rFonts w:ascii="Arial" w:eastAsia="Times New Roman" w:hAnsi="Arial" w:cs="Arial"/>
                <w:sz w:val="20"/>
                <w:szCs w:val="20"/>
                <w:lang w:eastAsia="pt-BR"/>
              </w:rPr>
            </w:pPr>
          </w:p>
        </w:tc>
      </w:tr>
      <w:tr w:rsidR="00B052AA" w:rsidRPr="003E22FC" w:rsidTr="00B421DD">
        <w:trPr>
          <w:tblCellSpacing w:w="15" w:type="dxa"/>
        </w:trPr>
        <w:tc>
          <w:tcPr>
            <w:tcW w:w="1000" w:type="pct"/>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Seção</w:t>
            </w:r>
          </w:p>
        </w:tc>
        <w:tc>
          <w:tcPr>
            <w:tcW w:w="4000" w:type="pct"/>
            <w:gridSpan w:val="2"/>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 xml:space="preserve">Doenças </w:t>
            </w:r>
            <w:proofErr w:type="spellStart"/>
            <w:r w:rsidRPr="003E22FC">
              <w:rPr>
                <w:rFonts w:ascii="Arial" w:eastAsia="Times New Roman" w:hAnsi="Arial" w:cs="Arial"/>
                <w:sz w:val="24"/>
                <w:szCs w:val="24"/>
                <w:lang w:eastAsia="pt-BR"/>
              </w:rPr>
              <w:t>Osteometabólicas</w:t>
            </w:r>
            <w:proofErr w:type="spellEnd"/>
            <w:r w:rsidRPr="003E22FC">
              <w:rPr>
                <w:rFonts w:ascii="Arial" w:eastAsia="Times New Roman" w:hAnsi="Arial" w:cs="Arial"/>
                <w:sz w:val="24"/>
                <w:szCs w:val="24"/>
                <w:lang w:eastAsia="pt-BR"/>
              </w:rPr>
              <w:t xml:space="preserve"> - Artigo Original</w:t>
            </w:r>
          </w:p>
        </w:tc>
      </w:tr>
      <w:tr w:rsidR="00B052AA" w:rsidRPr="003E22FC" w:rsidTr="00B421DD">
        <w:trPr>
          <w:tblCellSpacing w:w="15" w:type="dxa"/>
        </w:trPr>
        <w:tc>
          <w:tcPr>
            <w:tcW w:w="1000" w:type="pct"/>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Editor</w:t>
            </w:r>
          </w:p>
        </w:tc>
        <w:tc>
          <w:tcPr>
            <w:tcW w:w="4000" w:type="pct"/>
            <w:gridSpan w:val="2"/>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 xml:space="preserve">Nenhum(a) designado(a) </w:t>
            </w:r>
          </w:p>
        </w:tc>
      </w:tr>
    </w:tbl>
    <w:p w:rsidR="00B052AA" w:rsidRPr="003E22FC" w:rsidRDefault="00B052AA" w:rsidP="00B052AA">
      <w:pPr>
        <w:spacing w:before="100" w:beforeAutospacing="1" w:after="100" w:afterAutospacing="1" w:line="240" w:lineRule="auto"/>
        <w:outlineLvl w:val="2"/>
        <w:rPr>
          <w:rFonts w:ascii="Arial" w:eastAsia="Times New Roman" w:hAnsi="Arial" w:cs="Arial"/>
          <w:b/>
          <w:bCs/>
          <w:sz w:val="27"/>
          <w:szCs w:val="27"/>
          <w:lang w:eastAsia="pt-BR"/>
        </w:rPr>
      </w:pPr>
      <w:r w:rsidRPr="003E22FC">
        <w:rPr>
          <w:rFonts w:ascii="Arial" w:eastAsia="Times New Roman" w:hAnsi="Arial" w:cs="Arial"/>
          <w:b/>
          <w:bCs/>
          <w:sz w:val="27"/>
          <w:szCs w:val="27"/>
          <w:lang w:eastAsia="pt-BR"/>
        </w:rPr>
        <w:t>Situação</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53"/>
        <w:gridCol w:w="7263"/>
        <w:gridCol w:w="45"/>
      </w:tblGrid>
      <w:tr w:rsidR="00B052AA" w:rsidRPr="003E22FC" w:rsidTr="00B421DD">
        <w:trPr>
          <w:gridAfter w:val="1"/>
          <w:tblCellSpacing w:w="15" w:type="dxa"/>
        </w:trPr>
        <w:tc>
          <w:tcPr>
            <w:tcW w:w="1000" w:type="pct"/>
            <w:vAlign w:val="center"/>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Situação</w:t>
            </w:r>
          </w:p>
        </w:tc>
        <w:tc>
          <w:tcPr>
            <w:tcW w:w="4000" w:type="pct"/>
            <w:vAlign w:val="center"/>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 xml:space="preserve">Aguardando designação </w:t>
            </w:r>
          </w:p>
        </w:tc>
      </w:tr>
      <w:tr w:rsidR="00B052AA" w:rsidRPr="003E22FC" w:rsidTr="00B421DD">
        <w:trPr>
          <w:tblCellSpacing w:w="15" w:type="dxa"/>
        </w:trPr>
        <w:tc>
          <w:tcPr>
            <w:tcW w:w="0" w:type="auto"/>
            <w:vAlign w:val="center"/>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Iniciado</w:t>
            </w:r>
          </w:p>
        </w:tc>
        <w:tc>
          <w:tcPr>
            <w:tcW w:w="0" w:type="auto"/>
            <w:gridSpan w:val="2"/>
            <w:vAlign w:val="center"/>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2017-11-01</w:t>
            </w:r>
          </w:p>
        </w:tc>
      </w:tr>
      <w:tr w:rsidR="00B052AA" w:rsidRPr="003E22FC" w:rsidTr="00B421DD">
        <w:trPr>
          <w:tblCellSpacing w:w="15" w:type="dxa"/>
        </w:trPr>
        <w:tc>
          <w:tcPr>
            <w:tcW w:w="0" w:type="auto"/>
            <w:vAlign w:val="center"/>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Última alteração</w:t>
            </w:r>
          </w:p>
        </w:tc>
        <w:tc>
          <w:tcPr>
            <w:tcW w:w="0" w:type="auto"/>
            <w:gridSpan w:val="2"/>
            <w:vAlign w:val="center"/>
            <w:hideMark/>
          </w:tcPr>
          <w:p w:rsidR="00B052AA" w:rsidRPr="003E22FC" w:rsidRDefault="00B052AA" w:rsidP="00B421DD">
            <w:pPr>
              <w:spacing w:after="0" w:line="240" w:lineRule="auto"/>
              <w:rPr>
                <w:rFonts w:ascii="Arial" w:eastAsia="Times New Roman" w:hAnsi="Arial" w:cs="Arial"/>
                <w:sz w:val="24"/>
                <w:szCs w:val="24"/>
                <w:lang w:eastAsia="pt-BR"/>
              </w:rPr>
            </w:pPr>
            <w:r w:rsidRPr="003E22FC">
              <w:rPr>
                <w:rFonts w:ascii="Arial" w:eastAsia="Times New Roman" w:hAnsi="Arial" w:cs="Arial"/>
                <w:sz w:val="24"/>
                <w:szCs w:val="24"/>
                <w:lang w:eastAsia="pt-BR"/>
              </w:rPr>
              <w:t>2017-11-01</w:t>
            </w:r>
          </w:p>
        </w:tc>
      </w:tr>
    </w:tbl>
    <w:p w:rsidR="00B052AA" w:rsidRPr="00B052AA" w:rsidRDefault="00B052AA" w:rsidP="00B052AA">
      <w:pPr>
        <w:tabs>
          <w:tab w:val="left" w:pos="2729"/>
        </w:tabs>
        <w:spacing w:after="0" w:line="240" w:lineRule="auto"/>
        <w:ind w:right="2096"/>
        <w:jc w:val="both"/>
        <w:rPr>
          <w:rFonts w:ascii="Arial" w:hAnsi="Arial" w:cs="Arial"/>
          <w:sz w:val="24"/>
          <w:szCs w:val="24"/>
        </w:rPr>
      </w:pPr>
    </w:p>
    <w:sectPr w:rsidR="00B052AA" w:rsidRPr="00B052AA" w:rsidSect="00B95C41">
      <w:pgSz w:w="11906" w:h="16838" w:code="9"/>
      <w:pgMar w:top="1701" w:right="1134" w:bottom="1134" w:left="1701" w:header="1134" w:footer="709" w:gutter="0"/>
      <w:pgNumType w:start="10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328" w:rsidRDefault="00FA6328" w:rsidP="00E86BB3">
      <w:pPr>
        <w:spacing w:after="0" w:line="240" w:lineRule="auto"/>
      </w:pPr>
      <w:r>
        <w:separator/>
      </w:r>
    </w:p>
  </w:endnote>
  <w:endnote w:type="continuationSeparator" w:id="0">
    <w:p w:rsidR="00FA6328" w:rsidRDefault="00FA6328" w:rsidP="00E86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328" w:rsidRDefault="00FA6328" w:rsidP="00E86BB3">
      <w:pPr>
        <w:spacing w:after="0" w:line="240" w:lineRule="auto"/>
      </w:pPr>
      <w:r>
        <w:separator/>
      </w:r>
    </w:p>
  </w:footnote>
  <w:footnote w:type="continuationSeparator" w:id="0">
    <w:p w:rsidR="00FA6328" w:rsidRDefault="00FA6328" w:rsidP="00E86B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1DD" w:rsidRDefault="00B421DD">
    <w:pPr>
      <w:pStyle w:val="Cabealho"/>
      <w:jc w:val="right"/>
    </w:pPr>
  </w:p>
  <w:p w:rsidR="00B421DD" w:rsidRDefault="00B421DD">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557633"/>
      <w:docPartObj>
        <w:docPartGallery w:val="Page Numbers (Top of Page)"/>
        <w:docPartUnique/>
      </w:docPartObj>
    </w:sdtPr>
    <w:sdtEndPr>
      <w:rPr>
        <w:rFonts w:ascii="Arial" w:hAnsi="Arial" w:cs="Arial"/>
        <w:sz w:val="20"/>
      </w:rPr>
    </w:sdtEndPr>
    <w:sdtContent>
      <w:p w:rsidR="00B421DD" w:rsidRPr="001B5670" w:rsidRDefault="00B421DD">
        <w:pPr>
          <w:pStyle w:val="Cabealho"/>
          <w:jc w:val="right"/>
          <w:rPr>
            <w:rFonts w:ascii="Arial" w:hAnsi="Arial" w:cs="Arial"/>
            <w:sz w:val="20"/>
          </w:rPr>
        </w:pPr>
        <w:r w:rsidRPr="001B5670">
          <w:rPr>
            <w:rFonts w:ascii="Arial" w:hAnsi="Arial" w:cs="Arial"/>
            <w:sz w:val="20"/>
          </w:rPr>
          <w:fldChar w:fldCharType="begin"/>
        </w:r>
        <w:r w:rsidRPr="00B052AA">
          <w:rPr>
            <w:rFonts w:ascii="Arial" w:hAnsi="Arial" w:cs="Arial"/>
            <w:sz w:val="20"/>
          </w:rPr>
          <w:instrText>PAGE   \* MERGEFORMAT</w:instrText>
        </w:r>
        <w:r w:rsidRPr="001B5670">
          <w:rPr>
            <w:rFonts w:ascii="Arial" w:hAnsi="Arial" w:cs="Arial"/>
            <w:sz w:val="20"/>
          </w:rPr>
          <w:fldChar w:fldCharType="separate"/>
        </w:r>
        <w:r w:rsidR="005E2BE9">
          <w:rPr>
            <w:rFonts w:ascii="Arial" w:hAnsi="Arial" w:cs="Arial"/>
            <w:noProof/>
            <w:sz w:val="20"/>
          </w:rPr>
          <w:t>15</w:t>
        </w:r>
        <w:r w:rsidRPr="001B5670">
          <w:rPr>
            <w:rFonts w:ascii="Arial" w:hAnsi="Arial" w:cs="Arial"/>
            <w:sz w:val="20"/>
          </w:rPr>
          <w:fldChar w:fldCharType="end"/>
        </w:r>
      </w:p>
    </w:sdtContent>
  </w:sdt>
  <w:p w:rsidR="00B421DD" w:rsidRDefault="00B421D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786FE4"/>
    <w:multiLevelType w:val="hybridMultilevel"/>
    <w:tmpl w:val="F0E05D62"/>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023"/>
    <w:rsid w:val="0000012A"/>
    <w:rsid w:val="0000133A"/>
    <w:rsid w:val="000020F5"/>
    <w:rsid w:val="00002414"/>
    <w:rsid w:val="00002ECC"/>
    <w:rsid w:val="000038FA"/>
    <w:rsid w:val="00005459"/>
    <w:rsid w:val="000056A2"/>
    <w:rsid w:val="000058E7"/>
    <w:rsid w:val="000064F2"/>
    <w:rsid w:val="0000744A"/>
    <w:rsid w:val="00007CAB"/>
    <w:rsid w:val="000100F5"/>
    <w:rsid w:val="000103B4"/>
    <w:rsid w:val="000115F0"/>
    <w:rsid w:val="000120B4"/>
    <w:rsid w:val="0001231D"/>
    <w:rsid w:val="00012935"/>
    <w:rsid w:val="00012AC7"/>
    <w:rsid w:val="00012B44"/>
    <w:rsid w:val="00012C27"/>
    <w:rsid w:val="00012C37"/>
    <w:rsid w:val="00013409"/>
    <w:rsid w:val="00013D0C"/>
    <w:rsid w:val="000143F4"/>
    <w:rsid w:val="00014ADF"/>
    <w:rsid w:val="00014B71"/>
    <w:rsid w:val="000158F5"/>
    <w:rsid w:val="00015D99"/>
    <w:rsid w:val="00016BFB"/>
    <w:rsid w:val="00016D57"/>
    <w:rsid w:val="00017182"/>
    <w:rsid w:val="00017538"/>
    <w:rsid w:val="00017B53"/>
    <w:rsid w:val="00017D7C"/>
    <w:rsid w:val="0002048D"/>
    <w:rsid w:val="000206E0"/>
    <w:rsid w:val="0002080B"/>
    <w:rsid w:val="00020812"/>
    <w:rsid w:val="00020B75"/>
    <w:rsid w:val="00021603"/>
    <w:rsid w:val="00021BC7"/>
    <w:rsid w:val="000226C7"/>
    <w:rsid w:val="00024955"/>
    <w:rsid w:val="00024B15"/>
    <w:rsid w:val="000257F8"/>
    <w:rsid w:val="00026E13"/>
    <w:rsid w:val="00026EBD"/>
    <w:rsid w:val="00026F32"/>
    <w:rsid w:val="00026F47"/>
    <w:rsid w:val="00027E7C"/>
    <w:rsid w:val="00030165"/>
    <w:rsid w:val="0003051C"/>
    <w:rsid w:val="00031222"/>
    <w:rsid w:val="00031923"/>
    <w:rsid w:val="00032A49"/>
    <w:rsid w:val="00032E3C"/>
    <w:rsid w:val="00032E75"/>
    <w:rsid w:val="00033779"/>
    <w:rsid w:val="00033EAF"/>
    <w:rsid w:val="00034089"/>
    <w:rsid w:val="00034643"/>
    <w:rsid w:val="0003544F"/>
    <w:rsid w:val="000355A8"/>
    <w:rsid w:val="000356B9"/>
    <w:rsid w:val="00035C81"/>
    <w:rsid w:val="00035F76"/>
    <w:rsid w:val="0003671C"/>
    <w:rsid w:val="00036D8D"/>
    <w:rsid w:val="00036FBB"/>
    <w:rsid w:val="00037FAE"/>
    <w:rsid w:val="000406EB"/>
    <w:rsid w:val="000407C7"/>
    <w:rsid w:val="00040A91"/>
    <w:rsid w:val="00040C6C"/>
    <w:rsid w:val="00040DFB"/>
    <w:rsid w:val="0004277E"/>
    <w:rsid w:val="00042E87"/>
    <w:rsid w:val="00043679"/>
    <w:rsid w:val="00044E69"/>
    <w:rsid w:val="00045997"/>
    <w:rsid w:val="00045DA6"/>
    <w:rsid w:val="00046014"/>
    <w:rsid w:val="000468E5"/>
    <w:rsid w:val="00046DAC"/>
    <w:rsid w:val="00046E8C"/>
    <w:rsid w:val="00046FB9"/>
    <w:rsid w:val="000473E1"/>
    <w:rsid w:val="000503B8"/>
    <w:rsid w:val="00050D57"/>
    <w:rsid w:val="00050E99"/>
    <w:rsid w:val="00051387"/>
    <w:rsid w:val="000514DA"/>
    <w:rsid w:val="00051D58"/>
    <w:rsid w:val="00051EE5"/>
    <w:rsid w:val="00052117"/>
    <w:rsid w:val="00052611"/>
    <w:rsid w:val="00052852"/>
    <w:rsid w:val="00052A5B"/>
    <w:rsid w:val="00053588"/>
    <w:rsid w:val="00053C53"/>
    <w:rsid w:val="00054F56"/>
    <w:rsid w:val="000552C6"/>
    <w:rsid w:val="00055C57"/>
    <w:rsid w:val="00055DFB"/>
    <w:rsid w:val="00056AD3"/>
    <w:rsid w:val="00056B0D"/>
    <w:rsid w:val="0005747E"/>
    <w:rsid w:val="0005798B"/>
    <w:rsid w:val="00057FF9"/>
    <w:rsid w:val="00060196"/>
    <w:rsid w:val="00060704"/>
    <w:rsid w:val="00060957"/>
    <w:rsid w:val="00060A9E"/>
    <w:rsid w:val="00060B1F"/>
    <w:rsid w:val="00060C82"/>
    <w:rsid w:val="00061EEA"/>
    <w:rsid w:val="000625C9"/>
    <w:rsid w:val="000627A9"/>
    <w:rsid w:val="00062995"/>
    <w:rsid w:val="000632BA"/>
    <w:rsid w:val="000633AE"/>
    <w:rsid w:val="00063D15"/>
    <w:rsid w:val="00063F85"/>
    <w:rsid w:val="00064505"/>
    <w:rsid w:val="00064703"/>
    <w:rsid w:val="0006514B"/>
    <w:rsid w:val="000655E5"/>
    <w:rsid w:val="0006668E"/>
    <w:rsid w:val="00066A16"/>
    <w:rsid w:val="00066C86"/>
    <w:rsid w:val="00066CD1"/>
    <w:rsid w:val="00067855"/>
    <w:rsid w:val="00067A46"/>
    <w:rsid w:val="00067E51"/>
    <w:rsid w:val="00070158"/>
    <w:rsid w:val="00070331"/>
    <w:rsid w:val="0007120D"/>
    <w:rsid w:val="00071E0C"/>
    <w:rsid w:val="00072013"/>
    <w:rsid w:val="0007278F"/>
    <w:rsid w:val="00072CE9"/>
    <w:rsid w:val="000733E2"/>
    <w:rsid w:val="00073AA4"/>
    <w:rsid w:val="00073DCD"/>
    <w:rsid w:val="00074152"/>
    <w:rsid w:val="000746DA"/>
    <w:rsid w:val="00074837"/>
    <w:rsid w:val="00074FFB"/>
    <w:rsid w:val="00075279"/>
    <w:rsid w:val="0007547C"/>
    <w:rsid w:val="0007558B"/>
    <w:rsid w:val="00075DDB"/>
    <w:rsid w:val="00075E02"/>
    <w:rsid w:val="0007601F"/>
    <w:rsid w:val="0007615E"/>
    <w:rsid w:val="000773F2"/>
    <w:rsid w:val="00077C39"/>
    <w:rsid w:val="00077D0B"/>
    <w:rsid w:val="00080C10"/>
    <w:rsid w:val="00080FD2"/>
    <w:rsid w:val="00081167"/>
    <w:rsid w:val="000816BE"/>
    <w:rsid w:val="00082DAC"/>
    <w:rsid w:val="00082F2E"/>
    <w:rsid w:val="000835C3"/>
    <w:rsid w:val="0008389C"/>
    <w:rsid w:val="00084978"/>
    <w:rsid w:val="00085576"/>
    <w:rsid w:val="00085DD8"/>
    <w:rsid w:val="000863F2"/>
    <w:rsid w:val="000865DE"/>
    <w:rsid w:val="00086E53"/>
    <w:rsid w:val="00087055"/>
    <w:rsid w:val="000876CD"/>
    <w:rsid w:val="00087C8D"/>
    <w:rsid w:val="00090053"/>
    <w:rsid w:val="00090A68"/>
    <w:rsid w:val="00091E66"/>
    <w:rsid w:val="00092B8C"/>
    <w:rsid w:val="00092BF5"/>
    <w:rsid w:val="00092D48"/>
    <w:rsid w:val="00093559"/>
    <w:rsid w:val="00093B85"/>
    <w:rsid w:val="00095391"/>
    <w:rsid w:val="0009555C"/>
    <w:rsid w:val="000959F4"/>
    <w:rsid w:val="00096A3A"/>
    <w:rsid w:val="00097B55"/>
    <w:rsid w:val="000A04AE"/>
    <w:rsid w:val="000A0BDE"/>
    <w:rsid w:val="000A0CB8"/>
    <w:rsid w:val="000A1BA3"/>
    <w:rsid w:val="000A1BE1"/>
    <w:rsid w:val="000A1C3E"/>
    <w:rsid w:val="000A2871"/>
    <w:rsid w:val="000A337B"/>
    <w:rsid w:val="000A3DEB"/>
    <w:rsid w:val="000A426D"/>
    <w:rsid w:val="000A48C1"/>
    <w:rsid w:val="000A54C9"/>
    <w:rsid w:val="000A5774"/>
    <w:rsid w:val="000A59B0"/>
    <w:rsid w:val="000A5B52"/>
    <w:rsid w:val="000A6AFC"/>
    <w:rsid w:val="000A6BD8"/>
    <w:rsid w:val="000A6D68"/>
    <w:rsid w:val="000A7078"/>
    <w:rsid w:val="000A76DE"/>
    <w:rsid w:val="000A7A44"/>
    <w:rsid w:val="000A7C97"/>
    <w:rsid w:val="000B07BC"/>
    <w:rsid w:val="000B0A17"/>
    <w:rsid w:val="000B0FF6"/>
    <w:rsid w:val="000B10AB"/>
    <w:rsid w:val="000B2278"/>
    <w:rsid w:val="000B24E7"/>
    <w:rsid w:val="000B3239"/>
    <w:rsid w:val="000B355A"/>
    <w:rsid w:val="000B391B"/>
    <w:rsid w:val="000B3EA9"/>
    <w:rsid w:val="000B4296"/>
    <w:rsid w:val="000B4C9D"/>
    <w:rsid w:val="000B6701"/>
    <w:rsid w:val="000B6BB6"/>
    <w:rsid w:val="000B78DA"/>
    <w:rsid w:val="000B7CC4"/>
    <w:rsid w:val="000B7D38"/>
    <w:rsid w:val="000C02F5"/>
    <w:rsid w:val="000C099B"/>
    <w:rsid w:val="000C09AC"/>
    <w:rsid w:val="000C24B4"/>
    <w:rsid w:val="000C2984"/>
    <w:rsid w:val="000C3C01"/>
    <w:rsid w:val="000C4783"/>
    <w:rsid w:val="000C56DE"/>
    <w:rsid w:val="000C6191"/>
    <w:rsid w:val="000C69C4"/>
    <w:rsid w:val="000C7109"/>
    <w:rsid w:val="000D18E0"/>
    <w:rsid w:val="000D1C01"/>
    <w:rsid w:val="000D27DA"/>
    <w:rsid w:val="000D335D"/>
    <w:rsid w:val="000D3B71"/>
    <w:rsid w:val="000D4288"/>
    <w:rsid w:val="000D4609"/>
    <w:rsid w:val="000D470D"/>
    <w:rsid w:val="000D512C"/>
    <w:rsid w:val="000D59B0"/>
    <w:rsid w:val="000D5D4E"/>
    <w:rsid w:val="000D61D6"/>
    <w:rsid w:val="000D6D10"/>
    <w:rsid w:val="000E1114"/>
    <w:rsid w:val="000E1342"/>
    <w:rsid w:val="000E1C1E"/>
    <w:rsid w:val="000E1FB1"/>
    <w:rsid w:val="000E269D"/>
    <w:rsid w:val="000E2C20"/>
    <w:rsid w:val="000E2EE4"/>
    <w:rsid w:val="000E38A8"/>
    <w:rsid w:val="000E4031"/>
    <w:rsid w:val="000E43CB"/>
    <w:rsid w:val="000E4930"/>
    <w:rsid w:val="000E4DF2"/>
    <w:rsid w:val="000E4ED3"/>
    <w:rsid w:val="000E5509"/>
    <w:rsid w:val="000E5CD8"/>
    <w:rsid w:val="000E6F4C"/>
    <w:rsid w:val="000F14BA"/>
    <w:rsid w:val="000F1BAA"/>
    <w:rsid w:val="000F2BDB"/>
    <w:rsid w:val="000F2C7C"/>
    <w:rsid w:val="000F2F94"/>
    <w:rsid w:val="000F335E"/>
    <w:rsid w:val="000F392A"/>
    <w:rsid w:val="000F3DDE"/>
    <w:rsid w:val="000F408C"/>
    <w:rsid w:val="000F4256"/>
    <w:rsid w:val="000F4757"/>
    <w:rsid w:val="000F49A1"/>
    <w:rsid w:val="000F4DD6"/>
    <w:rsid w:val="000F4EBF"/>
    <w:rsid w:val="000F52E2"/>
    <w:rsid w:val="000F5574"/>
    <w:rsid w:val="000F5764"/>
    <w:rsid w:val="000F61AC"/>
    <w:rsid w:val="000F623B"/>
    <w:rsid w:val="000F6281"/>
    <w:rsid w:val="000F6FDC"/>
    <w:rsid w:val="000F72F0"/>
    <w:rsid w:val="000F7703"/>
    <w:rsid w:val="000F79D6"/>
    <w:rsid w:val="000F7BE7"/>
    <w:rsid w:val="001003E0"/>
    <w:rsid w:val="00100936"/>
    <w:rsid w:val="00101018"/>
    <w:rsid w:val="0010133C"/>
    <w:rsid w:val="001017CD"/>
    <w:rsid w:val="001018B9"/>
    <w:rsid w:val="00101D19"/>
    <w:rsid w:val="00101E56"/>
    <w:rsid w:val="00102A15"/>
    <w:rsid w:val="001036FC"/>
    <w:rsid w:val="0010390A"/>
    <w:rsid w:val="00103C7E"/>
    <w:rsid w:val="00104037"/>
    <w:rsid w:val="00104A49"/>
    <w:rsid w:val="00104DD7"/>
    <w:rsid w:val="001053B4"/>
    <w:rsid w:val="00106F7D"/>
    <w:rsid w:val="00106FE9"/>
    <w:rsid w:val="001110F1"/>
    <w:rsid w:val="001116E3"/>
    <w:rsid w:val="00111878"/>
    <w:rsid w:val="00112D1E"/>
    <w:rsid w:val="001130AE"/>
    <w:rsid w:val="0011326A"/>
    <w:rsid w:val="00113869"/>
    <w:rsid w:val="001143E7"/>
    <w:rsid w:val="00114559"/>
    <w:rsid w:val="0011478E"/>
    <w:rsid w:val="00114E84"/>
    <w:rsid w:val="00115465"/>
    <w:rsid w:val="00116469"/>
    <w:rsid w:val="00116684"/>
    <w:rsid w:val="00116F25"/>
    <w:rsid w:val="00117E94"/>
    <w:rsid w:val="0012042D"/>
    <w:rsid w:val="001210CF"/>
    <w:rsid w:val="00121CF4"/>
    <w:rsid w:val="0012257D"/>
    <w:rsid w:val="001225BC"/>
    <w:rsid w:val="001226F2"/>
    <w:rsid w:val="00123E94"/>
    <w:rsid w:val="00124329"/>
    <w:rsid w:val="00125AF9"/>
    <w:rsid w:val="0012667A"/>
    <w:rsid w:val="00127AFB"/>
    <w:rsid w:val="00130148"/>
    <w:rsid w:val="0013023E"/>
    <w:rsid w:val="00131407"/>
    <w:rsid w:val="001315F2"/>
    <w:rsid w:val="00132731"/>
    <w:rsid w:val="00132A9D"/>
    <w:rsid w:val="001337F6"/>
    <w:rsid w:val="001345FB"/>
    <w:rsid w:val="0013550E"/>
    <w:rsid w:val="00135A78"/>
    <w:rsid w:val="00135A89"/>
    <w:rsid w:val="00135DB2"/>
    <w:rsid w:val="00135DE7"/>
    <w:rsid w:val="00135DF2"/>
    <w:rsid w:val="0013607B"/>
    <w:rsid w:val="00136938"/>
    <w:rsid w:val="001403C6"/>
    <w:rsid w:val="00140C50"/>
    <w:rsid w:val="00140CF2"/>
    <w:rsid w:val="00140D31"/>
    <w:rsid w:val="001416A2"/>
    <w:rsid w:val="00141B3F"/>
    <w:rsid w:val="00141FE9"/>
    <w:rsid w:val="0014286F"/>
    <w:rsid w:val="00142C9C"/>
    <w:rsid w:val="00142F99"/>
    <w:rsid w:val="0014367F"/>
    <w:rsid w:val="001447DC"/>
    <w:rsid w:val="0014481E"/>
    <w:rsid w:val="00144A86"/>
    <w:rsid w:val="001456CA"/>
    <w:rsid w:val="00145A7B"/>
    <w:rsid w:val="001467C9"/>
    <w:rsid w:val="00150ED5"/>
    <w:rsid w:val="00151FEA"/>
    <w:rsid w:val="00152325"/>
    <w:rsid w:val="001527E2"/>
    <w:rsid w:val="00152ADF"/>
    <w:rsid w:val="00152C33"/>
    <w:rsid w:val="00153212"/>
    <w:rsid w:val="00153C12"/>
    <w:rsid w:val="00154101"/>
    <w:rsid w:val="001544A2"/>
    <w:rsid w:val="00154C96"/>
    <w:rsid w:val="00155C0F"/>
    <w:rsid w:val="00155E0B"/>
    <w:rsid w:val="0015610D"/>
    <w:rsid w:val="00156222"/>
    <w:rsid w:val="001564DF"/>
    <w:rsid w:val="001568D6"/>
    <w:rsid w:val="00157B0B"/>
    <w:rsid w:val="00160558"/>
    <w:rsid w:val="0016063C"/>
    <w:rsid w:val="00160EF8"/>
    <w:rsid w:val="00161C00"/>
    <w:rsid w:val="00162C22"/>
    <w:rsid w:val="00163027"/>
    <w:rsid w:val="001635B5"/>
    <w:rsid w:val="00163B93"/>
    <w:rsid w:val="00163E5D"/>
    <w:rsid w:val="00164C65"/>
    <w:rsid w:val="00164D1A"/>
    <w:rsid w:val="00164F5B"/>
    <w:rsid w:val="001650EA"/>
    <w:rsid w:val="0016527D"/>
    <w:rsid w:val="001666E1"/>
    <w:rsid w:val="001675CD"/>
    <w:rsid w:val="0017024D"/>
    <w:rsid w:val="001708AF"/>
    <w:rsid w:val="00171222"/>
    <w:rsid w:val="00171AD7"/>
    <w:rsid w:val="00171D1D"/>
    <w:rsid w:val="001733BE"/>
    <w:rsid w:val="00173616"/>
    <w:rsid w:val="00173A31"/>
    <w:rsid w:val="00174282"/>
    <w:rsid w:val="00174C29"/>
    <w:rsid w:val="00175628"/>
    <w:rsid w:val="00175A21"/>
    <w:rsid w:val="00175FD9"/>
    <w:rsid w:val="00177987"/>
    <w:rsid w:val="00177E32"/>
    <w:rsid w:val="00180100"/>
    <w:rsid w:val="0018021D"/>
    <w:rsid w:val="001805E6"/>
    <w:rsid w:val="001813EC"/>
    <w:rsid w:val="0018260C"/>
    <w:rsid w:val="00182B3B"/>
    <w:rsid w:val="00183121"/>
    <w:rsid w:val="0018388F"/>
    <w:rsid w:val="00183ED9"/>
    <w:rsid w:val="00184960"/>
    <w:rsid w:val="00184A81"/>
    <w:rsid w:val="00184C20"/>
    <w:rsid w:val="00184E43"/>
    <w:rsid w:val="00184F7C"/>
    <w:rsid w:val="00185AC7"/>
    <w:rsid w:val="00185CAE"/>
    <w:rsid w:val="00187904"/>
    <w:rsid w:val="001900B7"/>
    <w:rsid w:val="00190308"/>
    <w:rsid w:val="00190633"/>
    <w:rsid w:val="00190836"/>
    <w:rsid w:val="0019103C"/>
    <w:rsid w:val="001919AB"/>
    <w:rsid w:val="001922F5"/>
    <w:rsid w:val="00193289"/>
    <w:rsid w:val="0019352F"/>
    <w:rsid w:val="00193BC2"/>
    <w:rsid w:val="001949B2"/>
    <w:rsid w:val="00195014"/>
    <w:rsid w:val="00195481"/>
    <w:rsid w:val="0019769B"/>
    <w:rsid w:val="001A0096"/>
    <w:rsid w:val="001A0401"/>
    <w:rsid w:val="001A0874"/>
    <w:rsid w:val="001A0987"/>
    <w:rsid w:val="001A0D81"/>
    <w:rsid w:val="001A11C9"/>
    <w:rsid w:val="001A134B"/>
    <w:rsid w:val="001A160E"/>
    <w:rsid w:val="001A170E"/>
    <w:rsid w:val="001A1872"/>
    <w:rsid w:val="001A1A37"/>
    <w:rsid w:val="001A2574"/>
    <w:rsid w:val="001A2BA0"/>
    <w:rsid w:val="001A37BB"/>
    <w:rsid w:val="001A4535"/>
    <w:rsid w:val="001A4F57"/>
    <w:rsid w:val="001A592C"/>
    <w:rsid w:val="001A5C4C"/>
    <w:rsid w:val="001A7D5C"/>
    <w:rsid w:val="001B0DAC"/>
    <w:rsid w:val="001B1697"/>
    <w:rsid w:val="001B2376"/>
    <w:rsid w:val="001B2900"/>
    <w:rsid w:val="001B2FB9"/>
    <w:rsid w:val="001B36FF"/>
    <w:rsid w:val="001B39AB"/>
    <w:rsid w:val="001B4590"/>
    <w:rsid w:val="001B505F"/>
    <w:rsid w:val="001B566F"/>
    <w:rsid w:val="001B5670"/>
    <w:rsid w:val="001B59AF"/>
    <w:rsid w:val="001B5EA2"/>
    <w:rsid w:val="001B7572"/>
    <w:rsid w:val="001B7F5E"/>
    <w:rsid w:val="001B7FD5"/>
    <w:rsid w:val="001C0559"/>
    <w:rsid w:val="001C0958"/>
    <w:rsid w:val="001C0A35"/>
    <w:rsid w:val="001C1084"/>
    <w:rsid w:val="001C15F0"/>
    <w:rsid w:val="001C1996"/>
    <w:rsid w:val="001C1CBF"/>
    <w:rsid w:val="001C209D"/>
    <w:rsid w:val="001C393D"/>
    <w:rsid w:val="001C3A44"/>
    <w:rsid w:val="001C3AEA"/>
    <w:rsid w:val="001C3CEA"/>
    <w:rsid w:val="001C43F4"/>
    <w:rsid w:val="001C4A1F"/>
    <w:rsid w:val="001C4FC5"/>
    <w:rsid w:val="001C5014"/>
    <w:rsid w:val="001C54AF"/>
    <w:rsid w:val="001C5789"/>
    <w:rsid w:val="001C69F8"/>
    <w:rsid w:val="001C6B9C"/>
    <w:rsid w:val="001C75CE"/>
    <w:rsid w:val="001C7D23"/>
    <w:rsid w:val="001C7F7D"/>
    <w:rsid w:val="001D0013"/>
    <w:rsid w:val="001D087B"/>
    <w:rsid w:val="001D105A"/>
    <w:rsid w:val="001D1BF4"/>
    <w:rsid w:val="001D22EE"/>
    <w:rsid w:val="001D24FB"/>
    <w:rsid w:val="001D2625"/>
    <w:rsid w:val="001D29F2"/>
    <w:rsid w:val="001D2F5D"/>
    <w:rsid w:val="001D35E2"/>
    <w:rsid w:val="001D395C"/>
    <w:rsid w:val="001D3A9D"/>
    <w:rsid w:val="001D3AB6"/>
    <w:rsid w:val="001D3C88"/>
    <w:rsid w:val="001D4016"/>
    <w:rsid w:val="001D4B72"/>
    <w:rsid w:val="001D4DA6"/>
    <w:rsid w:val="001D4F7F"/>
    <w:rsid w:val="001D629D"/>
    <w:rsid w:val="001D67EC"/>
    <w:rsid w:val="001D77B8"/>
    <w:rsid w:val="001D7999"/>
    <w:rsid w:val="001E0A07"/>
    <w:rsid w:val="001E0C86"/>
    <w:rsid w:val="001E0CDC"/>
    <w:rsid w:val="001E1A37"/>
    <w:rsid w:val="001E1B21"/>
    <w:rsid w:val="001E1F6C"/>
    <w:rsid w:val="001E22EC"/>
    <w:rsid w:val="001E2601"/>
    <w:rsid w:val="001E2837"/>
    <w:rsid w:val="001E31D5"/>
    <w:rsid w:val="001E350D"/>
    <w:rsid w:val="001E6953"/>
    <w:rsid w:val="001E7625"/>
    <w:rsid w:val="001E7F0A"/>
    <w:rsid w:val="001F0756"/>
    <w:rsid w:val="001F1197"/>
    <w:rsid w:val="001F12E0"/>
    <w:rsid w:val="001F143B"/>
    <w:rsid w:val="001F14A6"/>
    <w:rsid w:val="001F1692"/>
    <w:rsid w:val="001F1D25"/>
    <w:rsid w:val="001F1DA3"/>
    <w:rsid w:val="001F21EC"/>
    <w:rsid w:val="001F36EF"/>
    <w:rsid w:val="001F424D"/>
    <w:rsid w:val="001F42CB"/>
    <w:rsid w:val="001F45C4"/>
    <w:rsid w:val="001F46E1"/>
    <w:rsid w:val="001F4B75"/>
    <w:rsid w:val="001F531B"/>
    <w:rsid w:val="001F5DE5"/>
    <w:rsid w:val="001F649C"/>
    <w:rsid w:val="001F6740"/>
    <w:rsid w:val="001F6CF1"/>
    <w:rsid w:val="001F7194"/>
    <w:rsid w:val="001F773D"/>
    <w:rsid w:val="001F77F0"/>
    <w:rsid w:val="00200188"/>
    <w:rsid w:val="00200715"/>
    <w:rsid w:val="00200AD3"/>
    <w:rsid w:val="00200F91"/>
    <w:rsid w:val="00201656"/>
    <w:rsid w:val="00202335"/>
    <w:rsid w:val="00202B89"/>
    <w:rsid w:val="00202BA1"/>
    <w:rsid w:val="002034AA"/>
    <w:rsid w:val="00203D70"/>
    <w:rsid w:val="00203DF2"/>
    <w:rsid w:val="00203EF9"/>
    <w:rsid w:val="00205033"/>
    <w:rsid w:val="0020580C"/>
    <w:rsid w:val="00205C8D"/>
    <w:rsid w:val="0020626A"/>
    <w:rsid w:val="00206846"/>
    <w:rsid w:val="00206991"/>
    <w:rsid w:val="002071D2"/>
    <w:rsid w:val="00207C9F"/>
    <w:rsid w:val="00207D51"/>
    <w:rsid w:val="0021015D"/>
    <w:rsid w:val="002101B9"/>
    <w:rsid w:val="0021028C"/>
    <w:rsid w:val="002106B0"/>
    <w:rsid w:val="00211106"/>
    <w:rsid w:val="0021122C"/>
    <w:rsid w:val="002112D4"/>
    <w:rsid w:val="002117BB"/>
    <w:rsid w:val="002118A7"/>
    <w:rsid w:val="002119D8"/>
    <w:rsid w:val="00211F97"/>
    <w:rsid w:val="0021210F"/>
    <w:rsid w:val="0021294A"/>
    <w:rsid w:val="00212DA6"/>
    <w:rsid w:val="002135F6"/>
    <w:rsid w:val="00213B8D"/>
    <w:rsid w:val="00214328"/>
    <w:rsid w:val="00214A23"/>
    <w:rsid w:val="00216445"/>
    <w:rsid w:val="0021657F"/>
    <w:rsid w:val="002173D1"/>
    <w:rsid w:val="002175B9"/>
    <w:rsid w:val="00217790"/>
    <w:rsid w:val="00217FF3"/>
    <w:rsid w:val="00220290"/>
    <w:rsid w:val="0022121D"/>
    <w:rsid w:val="0022139F"/>
    <w:rsid w:val="00221AE6"/>
    <w:rsid w:val="002235E1"/>
    <w:rsid w:val="002239AF"/>
    <w:rsid w:val="002240D4"/>
    <w:rsid w:val="00225504"/>
    <w:rsid w:val="00226DCD"/>
    <w:rsid w:val="00226EBB"/>
    <w:rsid w:val="0022789E"/>
    <w:rsid w:val="002306F1"/>
    <w:rsid w:val="0023095A"/>
    <w:rsid w:val="00231134"/>
    <w:rsid w:val="00231157"/>
    <w:rsid w:val="002317A2"/>
    <w:rsid w:val="002319E6"/>
    <w:rsid w:val="002323CF"/>
    <w:rsid w:val="00232CF3"/>
    <w:rsid w:val="002349DB"/>
    <w:rsid w:val="00234B8C"/>
    <w:rsid w:val="00234F00"/>
    <w:rsid w:val="002356ED"/>
    <w:rsid w:val="002357E4"/>
    <w:rsid w:val="00235866"/>
    <w:rsid w:val="00236045"/>
    <w:rsid w:val="00237697"/>
    <w:rsid w:val="00237EA6"/>
    <w:rsid w:val="00237FC0"/>
    <w:rsid w:val="00240017"/>
    <w:rsid w:val="00240059"/>
    <w:rsid w:val="0024018B"/>
    <w:rsid w:val="00240375"/>
    <w:rsid w:val="0024054E"/>
    <w:rsid w:val="00240802"/>
    <w:rsid w:val="00241F7C"/>
    <w:rsid w:val="0024339D"/>
    <w:rsid w:val="0024395D"/>
    <w:rsid w:val="00243C8E"/>
    <w:rsid w:val="00244601"/>
    <w:rsid w:val="00244A54"/>
    <w:rsid w:val="00245369"/>
    <w:rsid w:val="002458E9"/>
    <w:rsid w:val="00245AE2"/>
    <w:rsid w:val="002460A4"/>
    <w:rsid w:val="00247232"/>
    <w:rsid w:val="0024723C"/>
    <w:rsid w:val="0024785D"/>
    <w:rsid w:val="002479E3"/>
    <w:rsid w:val="0025064C"/>
    <w:rsid w:val="00250E76"/>
    <w:rsid w:val="00250F22"/>
    <w:rsid w:val="00250F9A"/>
    <w:rsid w:val="002513CF"/>
    <w:rsid w:val="00252276"/>
    <w:rsid w:val="002523D4"/>
    <w:rsid w:val="0025251F"/>
    <w:rsid w:val="00252A1B"/>
    <w:rsid w:val="00252D33"/>
    <w:rsid w:val="0025321A"/>
    <w:rsid w:val="0025332A"/>
    <w:rsid w:val="00253A0F"/>
    <w:rsid w:val="00253C0E"/>
    <w:rsid w:val="002540DE"/>
    <w:rsid w:val="002541BE"/>
    <w:rsid w:val="0025450A"/>
    <w:rsid w:val="0025487B"/>
    <w:rsid w:val="0025593F"/>
    <w:rsid w:val="00255D65"/>
    <w:rsid w:val="00255E02"/>
    <w:rsid w:val="00255E15"/>
    <w:rsid w:val="00256802"/>
    <w:rsid w:val="00256B2D"/>
    <w:rsid w:val="00257414"/>
    <w:rsid w:val="0025747E"/>
    <w:rsid w:val="002574D0"/>
    <w:rsid w:val="002600D6"/>
    <w:rsid w:val="00260C74"/>
    <w:rsid w:val="00260DE1"/>
    <w:rsid w:val="00261A0B"/>
    <w:rsid w:val="00261AA4"/>
    <w:rsid w:val="00261FD9"/>
    <w:rsid w:val="002626C5"/>
    <w:rsid w:val="00262909"/>
    <w:rsid w:val="00262A0F"/>
    <w:rsid w:val="00263610"/>
    <w:rsid w:val="00263D57"/>
    <w:rsid w:val="00263DC8"/>
    <w:rsid w:val="002642A5"/>
    <w:rsid w:val="002648B4"/>
    <w:rsid w:val="00264D13"/>
    <w:rsid w:val="00264F34"/>
    <w:rsid w:val="002653A0"/>
    <w:rsid w:val="00265433"/>
    <w:rsid w:val="00265576"/>
    <w:rsid w:val="00265BB0"/>
    <w:rsid w:val="002662C9"/>
    <w:rsid w:val="0026682C"/>
    <w:rsid w:val="002668A8"/>
    <w:rsid w:val="00266A74"/>
    <w:rsid w:val="00267BE6"/>
    <w:rsid w:val="00270947"/>
    <w:rsid w:val="00271477"/>
    <w:rsid w:val="002715BF"/>
    <w:rsid w:val="002717CB"/>
    <w:rsid w:val="00271F04"/>
    <w:rsid w:val="00272905"/>
    <w:rsid w:val="00272A2D"/>
    <w:rsid w:val="00272C0A"/>
    <w:rsid w:val="00272E32"/>
    <w:rsid w:val="00273511"/>
    <w:rsid w:val="00274216"/>
    <w:rsid w:val="002745B5"/>
    <w:rsid w:val="00275D72"/>
    <w:rsid w:val="00276772"/>
    <w:rsid w:val="00276ADF"/>
    <w:rsid w:val="00276C19"/>
    <w:rsid w:val="00276CB9"/>
    <w:rsid w:val="00276ECD"/>
    <w:rsid w:val="002778DD"/>
    <w:rsid w:val="00280730"/>
    <w:rsid w:val="00280746"/>
    <w:rsid w:val="00280C1F"/>
    <w:rsid w:val="0028173A"/>
    <w:rsid w:val="00281780"/>
    <w:rsid w:val="0028278D"/>
    <w:rsid w:val="00283298"/>
    <w:rsid w:val="002832E9"/>
    <w:rsid w:val="0028332C"/>
    <w:rsid w:val="00283E6D"/>
    <w:rsid w:val="00284EB3"/>
    <w:rsid w:val="002852F3"/>
    <w:rsid w:val="00285438"/>
    <w:rsid w:val="00285C8F"/>
    <w:rsid w:val="00286CA2"/>
    <w:rsid w:val="00287154"/>
    <w:rsid w:val="00287E69"/>
    <w:rsid w:val="002903EE"/>
    <w:rsid w:val="00290603"/>
    <w:rsid w:val="00290D6C"/>
    <w:rsid w:val="00291A94"/>
    <w:rsid w:val="00291C11"/>
    <w:rsid w:val="00293780"/>
    <w:rsid w:val="00293D04"/>
    <w:rsid w:val="00294388"/>
    <w:rsid w:val="002949CE"/>
    <w:rsid w:val="00294D1A"/>
    <w:rsid w:val="00295145"/>
    <w:rsid w:val="0029682E"/>
    <w:rsid w:val="00296A5D"/>
    <w:rsid w:val="002972EE"/>
    <w:rsid w:val="002973C7"/>
    <w:rsid w:val="002975C6"/>
    <w:rsid w:val="00297720"/>
    <w:rsid w:val="002A1321"/>
    <w:rsid w:val="002A1FB1"/>
    <w:rsid w:val="002A25C9"/>
    <w:rsid w:val="002A2786"/>
    <w:rsid w:val="002A2C97"/>
    <w:rsid w:val="002A3A85"/>
    <w:rsid w:val="002A3D40"/>
    <w:rsid w:val="002A489E"/>
    <w:rsid w:val="002A53F0"/>
    <w:rsid w:val="002A5995"/>
    <w:rsid w:val="002A5F11"/>
    <w:rsid w:val="002A6295"/>
    <w:rsid w:val="002A74CF"/>
    <w:rsid w:val="002A7DB2"/>
    <w:rsid w:val="002B0176"/>
    <w:rsid w:val="002B01E6"/>
    <w:rsid w:val="002B052F"/>
    <w:rsid w:val="002B0925"/>
    <w:rsid w:val="002B141E"/>
    <w:rsid w:val="002B1A8A"/>
    <w:rsid w:val="002B296E"/>
    <w:rsid w:val="002B2FA1"/>
    <w:rsid w:val="002B321A"/>
    <w:rsid w:val="002B36BF"/>
    <w:rsid w:val="002B36D9"/>
    <w:rsid w:val="002B3AB8"/>
    <w:rsid w:val="002B3DFF"/>
    <w:rsid w:val="002B489A"/>
    <w:rsid w:val="002B4ADD"/>
    <w:rsid w:val="002B5769"/>
    <w:rsid w:val="002B5E59"/>
    <w:rsid w:val="002B6664"/>
    <w:rsid w:val="002B6D7D"/>
    <w:rsid w:val="002B6F51"/>
    <w:rsid w:val="002B74FD"/>
    <w:rsid w:val="002C0182"/>
    <w:rsid w:val="002C0A86"/>
    <w:rsid w:val="002C0BC8"/>
    <w:rsid w:val="002C1BA2"/>
    <w:rsid w:val="002C20B7"/>
    <w:rsid w:val="002C23AB"/>
    <w:rsid w:val="002C2ADD"/>
    <w:rsid w:val="002C2FA1"/>
    <w:rsid w:val="002C38DD"/>
    <w:rsid w:val="002C47EE"/>
    <w:rsid w:val="002C55DF"/>
    <w:rsid w:val="002C5E9F"/>
    <w:rsid w:val="002C5EC9"/>
    <w:rsid w:val="002C6603"/>
    <w:rsid w:val="002C76F3"/>
    <w:rsid w:val="002C7BC4"/>
    <w:rsid w:val="002D13CD"/>
    <w:rsid w:val="002D1DA3"/>
    <w:rsid w:val="002D2101"/>
    <w:rsid w:val="002D21DE"/>
    <w:rsid w:val="002D25EE"/>
    <w:rsid w:val="002D4F1D"/>
    <w:rsid w:val="002D53B6"/>
    <w:rsid w:val="002D6003"/>
    <w:rsid w:val="002D647C"/>
    <w:rsid w:val="002D695E"/>
    <w:rsid w:val="002D6C7D"/>
    <w:rsid w:val="002D7AB9"/>
    <w:rsid w:val="002D7B09"/>
    <w:rsid w:val="002D7E2A"/>
    <w:rsid w:val="002D7F8B"/>
    <w:rsid w:val="002E04D1"/>
    <w:rsid w:val="002E07BF"/>
    <w:rsid w:val="002E0B5A"/>
    <w:rsid w:val="002E13AB"/>
    <w:rsid w:val="002E190A"/>
    <w:rsid w:val="002E1D18"/>
    <w:rsid w:val="002E38B0"/>
    <w:rsid w:val="002E4220"/>
    <w:rsid w:val="002E469D"/>
    <w:rsid w:val="002E4EAD"/>
    <w:rsid w:val="002E52BB"/>
    <w:rsid w:val="002E579C"/>
    <w:rsid w:val="002E5807"/>
    <w:rsid w:val="002E6253"/>
    <w:rsid w:val="002E7975"/>
    <w:rsid w:val="002E7CF3"/>
    <w:rsid w:val="002F0478"/>
    <w:rsid w:val="002F172D"/>
    <w:rsid w:val="002F1B4B"/>
    <w:rsid w:val="002F1DC8"/>
    <w:rsid w:val="002F2763"/>
    <w:rsid w:val="002F3395"/>
    <w:rsid w:val="002F4BC0"/>
    <w:rsid w:val="002F4BE6"/>
    <w:rsid w:val="002F5C99"/>
    <w:rsid w:val="002F5CB5"/>
    <w:rsid w:val="002F601B"/>
    <w:rsid w:val="003003DA"/>
    <w:rsid w:val="003008D7"/>
    <w:rsid w:val="00301A13"/>
    <w:rsid w:val="003027D4"/>
    <w:rsid w:val="00302F7E"/>
    <w:rsid w:val="0030331C"/>
    <w:rsid w:val="0030486D"/>
    <w:rsid w:val="0030548A"/>
    <w:rsid w:val="00307101"/>
    <w:rsid w:val="003073BB"/>
    <w:rsid w:val="003076E5"/>
    <w:rsid w:val="003079EC"/>
    <w:rsid w:val="00307F40"/>
    <w:rsid w:val="003100ED"/>
    <w:rsid w:val="00310C5C"/>
    <w:rsid w:val="00311581"/>
    <w:rsid w:val="003123B2"/>
    <w:rsid w:val="003124E4"/>
    <w:rsid w:val="003127D3"/>
    <w:rsid w:val="00312951"/>
    <w:rsid w:val="00312A23"/>
    <w:rsid w:val="00312AA2"/>
    <w:rsid w:val="00313040"/>
    <w:rsid w:val="0031304A"/>
    <w:rsid w:val="00313DE7"/>
    <w:rsid w:val="00313F12"/>
    <w:rsid w:val="00313F6E"/>
    <w:rsid w:val="00314AD4"/>
    <w:rsid w:val="00315ACB"/>
    <w:rsid w:val="003166DA"/>
    <w:rsid w:val="00316F2F"/>
    <w:rsid w:val="00317927"/>
    <w:rsid w:val="00317E22"/>
    <w:rsid w:val="00317F88"/>
    <w:rsid w:val="00320181"/>
    <w:rsid w:val="0032025E"/>
    <w:rsid w:val="0032061B"/>
    <w:rsid w:val="00320A24"/>
    <w:rsid w:val="00320AD9"/>
    <w:rsid w:val="00321689"/>
    <w:rsid w:val="003225C3"/>
    <w:rsid w:val="00322F41"/>
    <w:rsid w:val="00323574"/>
    <w:rsid w:val="00324041"/>
    <w:rsid w:val="0032561F"/>
    <w:rsid w:val="00325D09"/>
    <w:rsid w:val="00325F5A"/>
    <w:rsid w:val="00326358"/>
    <w:rsid w:val="003265D9"/>
    <w:rsid w:val="0032698A"/>
    <w:rsid w:val="003271DE"/>
    <w:rsid w:val="00327B76"/>
    <w:rsid w:val="00327BCE"/>
    <w:rsid w:val="00327BFB"/>
    <w:rsid w:val="00327CAA"/>
    <w:rsid w:val="00330077"/>
    <w:rsid w:val="003304D6"/>
    <w:rsid w:val="00330764"/>
    <w:rsid w:val="00330802"/>
    <w:rsid w:val="003308C5"/>
    <w:rsid w:val="00331418"/>
    <w:rsid w:val="00331584"/>
    <w:rsid w:val="00331645"/>
    <w:rsid w:val="00331DD6"/>
    <w:rsid w:val="003320F1"/>
    <w:rsid w:val="00332CF5"/>
    <w:rsid w:val="00332E5D"/>
    <w:rsid w:val="00333A5F"/>
    <w:rsid w:val="00333FFD"/>
    <w:rsid w:val="00334185"/>
    <w:rsid w:val="003349FC"/>
    <w:rsid w:val="00334AED"/>
    <w:rsid w:val="00334D35"/>
    <w:rsid w:val="00335442"/>
    <w:rsid w:val="003356D1"/>
    <w:rsid w:val="003361C7"/>
    <w:rsid w:val="00336BB5"/>
    <w:rsid w:val="00337CAF"/>
    <w:rsid w:val="00340100"/>
    <w:rsid w:val="00340727"/>
    <w:rsid w:val="00340C77"/>
    <w:rsid w:val="00341773"/>
    <w:rsid w:val="00341EB6"/>
    <w:rsid w:val="003425CB"/>
    <w:rsid w:val="0034299A"/>
    <w:rsid w:val="003433B5"/>
    <w:rsid w:val="003440A8"/>
    <w:rsid w:val="0034416F"/>
    <w:rsid w:val="00344ED2"/>
    <w:rsid w:val="00345422"/>
    <w:rsid w:val="003454CE"/>
    <w:rsid w:val="00345CE5"/>
    <w:rsid w:val="00346448"/>
    <w:rsid w:val="00346653"/>
    <w:rsid w:val="003467EF"/>
    <w:rsid w:val="00346802"/>
    <w:rsid w:val="003506EF"/>
    <w:rsid w:val="00350D7A"/>
    <w:rsid w:val="00351224"/>
    <w:rsid w:val="00351FD3"/>
    <w:rsid w:val="003527AC"/>
    <w:rsid w:val="003543D5"/>
    <w:rsid w:val="003545D1"/>
    <w:rsid w:val="00354943"/>
    <w:rsid w:val="00354961"/>
    <w:rsid w:val="00354AE2"/>
    <w:rsid w:val="00354C7B"/>
    <w:rsid w:val="00354D1D"/>
    <w:rsid w:val="00354F04"/>
    <w:rsid w:val="003567DD"/>
    <w:rsid w:val="0035709E"/>
    <w:rsid w:val="00357AC1"/>
    <w:rsid w:val="00360337"/>
    <w:rsid w:val="00360801"/>
    <w:rsid w:val="00361557"/>
    <w:rsid w:val="003616F7"/>
    <w:rsid w:val="00361948"/>
    <w:rsid w:val="0036283B"/>
    <w:rsid w:val="00362D71"/>
    <w:rsid w:val="00362DBE"/>
    <w:rsid w:val="003632F2"/>
    <w:rsid w:val="0036364B"/>
    <w:rsid w:val="0036375C"/>
    <w:rsid w:val="0036421F"/>
    <w:rsid w:val="003644B2"/>
    <w:rsid w:val="00364704"/>
    <w:rsid w:val="0036498D"/>
    <w:rsid w:val="00364C86"/>
    <w:rsid w:val="00365DFF"/>
    <w:rsid w:val="00366942"/>
    <w:rsid w:val="00367028"/>
    <w:rsid w:val="00367622"/>
    <w:rsid w:val="00367B03"/>
    <w:rsid w:val="00370299"/>
    <w:rsid w:val="003704D5"/>
    <w:rsid w:val="00370890"/>
    <w:rsid w:val="003724B2"/>
    <w:rsid w:val="00372C07"/>
    <w:rsid w:val="00372CCA"/>
    <w:rsid w:val="00372F6E"/>
    <w:rsid w:val="0037315E"/>
    <w:rsid w:val="00373AAA"/>
    <w:rsid w:val="003740D5"/>
    <w:rsid w:val="00374320"/>
    <w:rsid w:val="0037465A"/>
    <w:rsid w:val="00374865"/>
    <w:rsid w:val="00374E5B"/>
    <w:rsid w:val="0037526D"/>
    <w:rsid w:val="00375A87"/>
    <w:rsid w:val="00375B32"/>
    <w:rsid w:val="00376260"/>
    <w:rsid w:val="00376A53"/>
    <w:rsid w:val="00376BD5"/>
    <w:rsid w:val="00376CDA"/>
    <w:rsid w:val="00376DD5"/>
    <w:rsid w:val="00376DDB"/>
    <w:rsid w:val="00380E04"/>
    <w:rsid w:val="00380E0B"/>
    <w:rsid w:val="00381180"/>
    <w:rsid w:val="0038194B"/>
    <w:rsid w:val="00381AB8"/>
    <w:rsid w:val="00381F6A"/>
    <w:rsid w:val="0038208B"/>
    <w:rsid w:val="003826AD"/>
    <w:rsid w:val="00382770"/>
    <w:rsid w:val="00383090"/>
    <w:rsid w:val="003832D4"/>
    <w:rsid w:val="00383300"/>
    <w:rsid w:val="003833D8"/>
    <w:rsid w:val="003834E2"/>
    <w:rsid w:val="00383566"/>
    <w:rsid w:val="00383DE8"/>
    <w:rsid w:val="00383F14"/>
    <w:rsid w:val="00384F0A"/>
    <w:rsid w:val="00385FBA"/>
    <w:rsid w:val="003866BF"/>
    <w:rsid w:val="003868B4"/>
    <w:rsid w:val="003915F9"/>
    <w:rsid w:val="00393231"/>
    <w:rsid w:val="00393324"/>
    <w:rsid w:val="00393A5B"/>
    <w:rsid w:val="0039439F"/>
    <w:rsid w:val="0039588B"/>
    <w:rsid w:val="00395B25"/>
    <w:rsid w:val="00395EE2"/>
    <w:rsid w:val="00396106"/>
    <w:rsid w:val="00396137"/>
    <w:rsid w:val="0039713C"/>
    <w:rsid w:val="00397CD5"/>
    <w:rsid w:val="003A0080"/>
    <w:rsid w:val="003A0247"/>
    <w:rsid w:val="003A078B"/>
    <w:rsid w:val="003A0BA9"/>
    <w:rsid w:val="003A1040"/>
    <w:rsid w:val="003A1056"/>
    <w:rsid w:val="003A11F1"/>
    <w:rsid w:val="003A18D0"/>
    <w:rsid w:val="003A1983"/>
    <w:rsid w:val="003A1A2A"/>
    <w:rsid w:val="003A2451"/>
    <w:rsid w:val="003A2BBF"/>
    <w:rsid w:val="003A3489"/>
    <w:rsid w:val="003A36E5"/>
    <w:rsid w:val="003A44A4"/>
    <w:rsid w:val="003A4645"/>
    <w:rsid w:val="003A4F0B"/>
    <w:rsid w:val="003A5075"/>
    <w:rsid w:val="003A5288"/>
    <w:rsid w:val="003A5A81"/>
    <w:rsid w:val="003A6014"/>
    <w:rsid w:val="003A61AA"/>
    <w:rsid w:val="003A659D"/>
    <w:rsid w:val="003A664D"/>
    <w:rsid w:val="003A6AFB"/>
    <w:rsid w:val="003A6C7D"/>
    <w:rsid w:val="003A76C9"/>
    <w:rsid w:val="003B04F7"/>
    <w:rsid w:val="003B0F30"/>
    <w:rsid w:val="003B2217"/>
    <w:rsid w:val="003B2948"/>
    <w:rsid w:val="003B3085"/>
    <w:rsid w:val="003B3506"/>
    <w:rsid w:val="003B390D"/>
    <w:rsid w:val="003B4305"/>
    <w:rsid w:val="003B53A2"/>
    <w:rsid w:val="003B62FE"/>
    <w:rsid w:val="003B6B76"/>
    <w:rsid w:val="003B6BA9"/>
    <w:rsid w:val="003B6C09"/>
    <w:rsid w:val="003B7C95"/>
    <w:rsid w:val="003C0E83"/>
    <w:rsid w:val="003C1128"/>
    <w:rsid w:val="003C1291"/>
    <w:rsid w:val="003C2695"/>
    <w:rsid w:val="003C2EB3"/>
    <w:rsid w:val="003C391F"/>
    <w:rsid w:val="003C3BF2"/>
    <w:rsid w:val="003C3C4E"/>
    <w:rsid w:val="003C3C5B"/>
    <w:rsid w:val="003C4074"/>
    <w:rsid w:val="003C435F"/>
    <w:rsid w:val="003C44A3"/>
    <w:rsid w:val="003C4779"/>
    <w:rsid w:val="003C4DB0"/>
    <w:rsid w:val="003C52EE"/>
    <w:rsid w:val="003C5358"/>
    <w:rsid w:val="003C664D"/>
    <w:rsid w:val="003C68FB"/>
    <w:rsid w:val="003C78FE"/>
    <w:rsid w:val="003C7E13"/>
    <w:rsid w:val="003D009D"/>
    <w:rsid w:val="003D01B2"/>
    <w:rsid w:val="003D0A7B"/>
    <w:rsid w:val="003D0C03"/>
    <w:rsid w:val="003D1ED5"/>
    <w:rsid w:val="003D25F2"/>
    <w:rsid w:val="003D384B"/>
    <w:rsid w:val="003D39AD"/>
    <w:rsid w:val="003D54BA"/>
    <w:rsid w:val="003D5AB3"/>
    <w:rsid w:val="003D6323"/>
    <w:rsid w:val="003D64AE"/>
    <w:rsid w:val="003D6C5D"/>
    <w:rsid w:val="003D7681"/>
    <w:rsid w:val="003D7860"/>
    <w:rsid w:val="003E0287"/>
    <w:rsid w:val="003E0551"/>
    <w:rsid w:val="003E0ACC"/>
    <w:rsid w:val="003E0B46"/>
    <w:rsid w:val="003E0ED9"/>
    <w:rsid w:val="003E1E60"/>
    <w:rsid w:val="003E1EF3"/>
    <w:rsid w:val="003E2104"/>
    <w:rsid w:val="003E2657"/>
    <w:rsid w:val="003E268A"/>
    <w:rsid w:val="003E2DDF"/>
    <w:rsid w:val="003E2F06"/>
    <w:rsid w:val="003E32C7"/>
    <w:rsid w:val="003E3342"/>
    <w:rsid w:val="003E3547"/>
    <w:rsid w:val="003E3568"/>
    <w:rsid w:val="003E38E2"/>
    <w:rsid w:val="003E4D9F"/>
    <w:rsid w:val="003E5B9F"/>
    <w:rsid w:val="003E7319"/>
    <w:rsid w:val="003F0333"/>
    <w:rsid w:val="003F0D73"/>
    <w:rsid w:val="003F0EB9"/>
    <w:rsid w:val="003F0F8D"/>
    <w:rsid w:val="003F1E7B"/>
    <w:rsid w:val="003F238A"/>
    <w:rsid w:val="003F2855"/>
    <w:rsid w:val="003F32F9"/>
    <w:rsid w:val="003F3A7A"/>
    <w:rsid w:val="003F440E"/>
    <w:rsid w:val="003F5663"/>
    <w:rsid w:val="003F5C40"/>
    <w:rsid w:val="003F6069"/>
    <w:rsid w:val="003F6C0C"/>
    <w:rsid w:val="003F6C33"/>
    <w:rsid w:val="003F7BCE"/>
    <w:rsid w:val="003F7C76"/>
    <w:rsid w:val="0040004E"/>
    <w:rsid w:val="004004FF"/>
    <w:rsid w:val="00401474"/>
    <w:rsid w:val="00402FFC"/>
    <w:rsid w:val="00403010"/>
    <w:rsid w:val="0040455B"/>
    <w:rsid w:val="004048DE"/>
    <w:rsid w:val="00404E17"/>
    <w:rsid w:val="00405AE4"/>
    <w:rsid w:val="00406416"/>
    <w:rsid w:val="00406463"/>
    <w:rsid w:val="00406834"/>
    <w:rsid w:val="00406F24"/>
    <w:rsid w:val="00407A1D"/>
    <w:rsid w:val="00407BB0"/>
    <w:rsid w:val="004104BB"/>
    <w:rsid w:val="004109F9"/>
    <w:rsid w:val="00410DC4"/>
    <w:rsid w:val="0041193C"/>
    <w:rsid w:val="004119F1"/>
    <w:rsid w:val="00412B48"/>
    <w:rsid w:val="004139E2"/>
    <w:rsid w:val="00414610"/>
    <w:rsid w:val="004149DD"/>
    <w:rsid w:val="004155BB"/>
    <w:rsid w:val="0041579D"/>
    <w:rsid w:val="00415863"/>
    <w:rsid w:val="004162DE"/>
    <w:rsid w:val="00416DDE"/>
    <w:rsid w:val="004171D4"/>
    <w:rsid w:val="0041731E"/>
    <w:rsid w:val="00417B96"/>
    <w:rsid w:val="00420142"/>
    <w:rsid w:val="004202DE"/>
    <w:rsid w:val="0042070D"/>
    <w:rsid w:val="004209F6"/>
    <w:rsid w:val="00423625"/>
    <w:rsid w:val="00423F1A"/>
    <w:rsid w:val="00424158"/>
    <w:rsid w:val="004253C2"/>
    <w:rsid w:val="004263A6"/>
    <w:rsid w:val="004264BB"/>
    <w:rsid w:val="004264CB"/>
    <w:rsid w:val="00426B38"/>
    <w:rsid w:val="00426FCF"/>
    <w:rsid w:val="00431667"/>
    <w:rsid w:val="0043252E"/>
    <w:rsid w:val="004327BD"/>
    <w:rsid w:val="0043288E"/>
    <w:rsid w:val="00432976"/>
    <w:rsid w:val="00432A52"/>
    <w:rsid w:val="00432EA1"/>
    <w:rsid w:val="0043378A"/>
    <w:rsid w:val="0043505A"/>
    <w:rsid w:val="004356E0"/>
    <w:rsid w:val="0043604D"/>
    <w:rsid w:val="004366A3"/>
    <w:rsid w:val="00436C38"/>
    <w:rsid w:val="00437230"/>
    <w:rsid w:val="0043777B"/>
    <w:rsid w:val="00437936"/>
    <w:rsid w:val="004406AB"/>
    <w:rsid w:val="004413B8"/>
    <w:rsid w:val="00441E00"/>
    <w:rsid w:val="004420F4"/>
    <w:rsid w:val="0044224D"/>
    <w:rsid w:val="00442390"/>
    <w:rsid w:val="004426EB"/>
    <w:rsid w:val="00443E58"/>
    <w:rsid w:val="00445A32"/>
    <w:rsid w:val="00445C2E"/>
    <w:rsid w:val="00446090"/>
    <w:rsid w:val="00446450"/>
    <w:rsid w:val="0044663A"/>
    <w:rsid w:val="00446964"/>
    <w:rsid w:val="00446CA2"/>
    <w:rsid w:val="004474CF"/>
    <w:rsid w:val="00447577"/>
    <w:rsid w:val="004500A6"/>
    <w:rsid w:val="00450A06"/>
    <w:rsid w:val="00452429"/>
    <w:rsid w:val="004527F1"/>
    <w:rsid w:val="00452964"/>
    <w:rsid w:val="00452A4E"/>
    <w:rsid w:val="0045336A"/>
    <w:rsid w:val="00453BC3"/>
    <w:rsid w:val="00454DEA"/>
    <w:rsid w:val="00454ECC"/>
    <w:rsid w:val="00455472"/>
    <w:rsid w:val="004557C9"/>
    <w:rsid w:val="0045594A"/>
    <w:rsid w:val="004559EB"/>
    <w:rsid w:val="00455ECB"/>
    <w:rsid w:val="00456B7D"/>
    <w:rsid w:val="0045740C"/>
    <w:rsid w:val="00457FC9"/>
    <w:rsid w:val="004606E3"/>
    <w:rsid w:val="004609F8"/>
    <w:rsid w:val="00461389"/>
    <w:rsid w:val="00461B4A"/>
    <w:rsid w:val="00461C08"/>
    <w:rsid w:val="00462173"/>
    <w:rsid w:val="004631F2"/>
    <w:rsid w:val="004632B5"/>
    <w:rsid w:val="004633CF"/>
    <w:rsid w:val="00463C26"/>
    <w:rsid w:val="00465461"/>
    <w:rsid w:val="00465FFD"/>
    <w:rsid w:val="0046718C"/>
    <w:rsid w:val="00467413"/>
    <w:rsid w:val="00467D22"/>
    <w:rsid w:val="00470162"/>
    <w:rsid w:val="00471383"/>
    <w:rsid w:val="004713DA"/>
    <w:rsid w:val="0047145E"/>
    <w:rsid w:val="00471682"/>
    <w:rsid w:val="00471BE5"/>
    <w:rsid w:val="00471BE7"/>
    <w:rsid w:val="004734AE"/>
    <w:rsid w:val="00474803"/>
    <w:rsid w:val="004757D1"/>
    <w:rsid w:val="004762A1"/>
    <w:rsid w:val="0047771F"/>
    <w:rsid w:val="00477EDA"/>
    <w:rsid w:val="00477FA2"/>
    <w:rsid w:val="00480016"/>
    <w:rsid w:val="00480754"/>
    <w:rsid w:val="00480926"/>
    <w:rsid w:val="00481270"/>
    <w:rsid w:val="00481CF3"/>
    <w:rsid w:val="00481F08"/>
    <w:rsid w:val="00482256"/>
    <w:rsid w:val="004834F7"/>
    <w:rsid w:val="00483726"/>
    <w:rsid w:val="00483810"/>
    <w:rsid w:val="00483D37"/>
    <w:rsid w:val="00483DD6"/>
    <w:rsid w:val="004842CF"/>
    <w:rsid w:val="004848F2"/>
    <w:rsid w:val="00484D5A"/>
    <w:rsid w:val="00487472"/>
    <w:rsid w:val="00487E26"/>
    <w:rsid w:val="00490A0C"/>
    <w:rsid w:val="00491213"/>
    <w:rsid w:val="00491682"/>
    <w:rsid w:val="00491B77"/>
    <w:rsid w:val="00491EA1"/>
    <w:rsid w:val="00491FE1"/>
    <w:rsid w:val="004938EA"/>
    <w:rsid w:val="00493D57"/>
    <w:rsid w:val="00494CE2"/>
    <w:rsid w:val="00495075"/>
    <w:rsid w:val="00495B93"/>
    <w:rsid w:val="00495D8D"/>
    <w:rsid w:val="00497827"/>
    <w:rsid w:val="004978B0"/>
    <w:rsid w:val="00497DEB"/>
    <w:rsid w:val="004A0849"/>
    <w:rsid w:val="004A2031"/>
    <w:rsid w:val="004A2374"/>
    <w:rsid w:val="004A2840"/>
    <w:rsid w:val="004A2EDB"/>
    <w:rsid w:val="004A37EC"/>
    <w:rsid w:val="004A3CF8"/>
    <w:rsid w:val="004A3DA5"/>
    <w:rsid w:val="004A4006"/>
    <w:rsid w:val="004A48FE"/>
    <w:rsid w:val="004A5133"/>
    <w:rsid w:val="004A5AC0"/>
    <w:rsid w:val="004A5C92"/>
    <w:rsid w:val="004A5D86"/>
    <w:rsid w:val="004A5D8A"/>
    <w:rsid w:val="004A6E56"/>
    <w:rsid w:val="004B156A"/>
    <w:rsid w:val="004B1B0D"/>
    <w:rsid w:val="004B2052"/>
    <w:rsid w:val="004B256B"/>
    <w:rsid w:val="004B2959"/>
    <w:rsid w:val="004B2ACF"/>
    <w:rsid w:val="004B2B98"/>
    <w:rsid w:val="004B3122"/>
    <w:rsid w:val="004B3816"/>
    <w:rsid w:val="004B452A"/>
    <w:rsid w:val="004B520B"/>
    <w:rsid w:val="004B5815"/>
    <w:rsid w:val="004B594F"/>
    <w:rsid w:val="004B5B3F"/>
    <w:rsid w:val="004B60D5"/>
    <w:rsid w:val="004B74CA"/>
    <w:rsid w:val="004B7EA3"/>
    <w:rsid w:val="004C0ACF"/>
    <w:rsid w:val="004C0EFD"/>
    <w:rsid w:val="004C10D0"/>
    <w:rsid w:val="004C142E"/>
    <w:rsid w:val="004C24C1"/>
    <w:rsid w:val="004C28A0"/>
    <w:rsid w:val="004C2B50"/>
    <w:rsid w:val="004C2E00"/>
    <w:rsid w:val="004C301B"/>
    <w:rsid w:val="004C394B"/>
    <w:rsid w:val="004C4B1F"/>
    <w:rsid w:val="004C4D56"/>
    <w:rsid w:val="004C6C2C"/>
    <w:rsid w:val="004C6CD9"/>
    <w:rsid w:val="004C78C2"/>
    <w:rsid w:val="004D0138"/>
    <w:rsid w:val="004D02E9"/>
    <w:rsid w:val="004D0504"/>
    <w:rsid w:val="004D0C65"/>
    <w:rsid w:val="004D0E61"/>
    <w:rsid w:val="004D0F4C"/>
    <w:rsid w:val="004D14C7"/>
    <w:rsid w:val="004D22D4"/>
    <w:rsid w:val="004D2725"/>
    <w:rsid w:val="004D381B"/>
    <w:rsid w:val="004D3A29"/>
    <w:rsid w:val="004D3F38"/>
    <w:rsid w:val="004D438D"/>
    <w:rsid w:val="004D47A6"/>
    <w:rsid w:val="004D4A6B"/>
    <w:rsid w:val="004D521B"/>
    <w:rsid w:val="004D554C"/>
    <w:rsid w:val="004D627C"/>
    <w:rsid w:val="004D66F2"/>
    <w:rsid w:val="004D6916"/>
    <w:rsid w:val="004D6D4A"/>
    <w:rsid w:val="004D6EF5"/>
    <w:rsid w:val="004E0217"/>
    <w:rsid w:val="004E08ED"/>
    <w:rsid w:val="004E0A05"/>
    <w:rsid w:val="004E0A8D"/>
    <w:rsid w:val="004E0EED"/>
    <w:rsid w:val="004E182D"/>
    <w:rsid w:val="004E1C53"/>
    <w:rsid w:val="004E3414"/>
    <w:rsid w:val="004E4064"/>
    <w:rsid w:val="004E4F84"/>
    <w:rsid w:val="004E5B58"/>
    <w:rsid w:val="004E6464"/>
    <w:rsid w:val="004E70A9"/>
    <w:rsid w:val="004E711F"/>
    <w:rsid w:val="004E73B9"/>
    <w:rsid w:val="004F0035"/>
    <w:rsid w:val="004F05BA"/>
    <w:rsid w:val="004F084D"/>
    <w:rsid w:val="004F1260"/>
    <w:rsid w:val="004F1F96"/>
    <w:rsid w:val="004F21E6"/>
    <w:rsid w:val="004F224B"/>
    <w:rsid w:val="004F2954"/>
    <w:rsid w:val="004F2A1E"/>
    <w:rsid w:val="004F3E1E"/>
    <w:rsid w:val="004F4CB9"/>
    <w:rsid w:val="004F4D91"/>
    <w:rsid w:val="004F693F"/>
    <w:rsid w:val="004F6CF1"/>
    <w:rsid w:val="004F6EBF"/>
    <w:rsid w:val="004F7475"/>
    <w:rsid w:val="004F78A8"/>
    <w:rsid w:val="005013E5"/>
    <w:rsid w:val="00501674"/>
    <w:rsid w:val="00501FF7"/>
    <w:rsid w:val="005021D2"/>
    <w:rsid w:val="00502546"/>
    <w:rsid w:val="00502711"/>
    <w:rsid w:val="00502D59"/>
    <w:rsid w:val="00503151"/>
    <w:rsid w:val="00503903"/>
    <w:rsid w:val="00503F1C"/>
    <w:rsid w:val="005053E3"/>
    <w:rsid w:val="00505BB3"/>
    <w:rsid w:val="00506A71"/>
    <w:rsid w:val="00507097"/>
    <w:rsid w:val="0050729D"/>
    <w:rsid w:val="005073F4"/>
    <w:rsid w:val="00507711"/>
    <w:rsid w:val="00507D45"/>
    <w:rsid w:val="00510AC1"/>
    <w:rsid w:val="00511179"/>
    <w:rsid w:val="005118B1"/>
    <w:rsid w:val="005131C8"/>
    <w:rsid w:val="00514056"/>
    <w:rsid w:val="00514870"/>
    <w:rsid w:val="005157C6"/>
    <w:rsid w:val="00515B2B"/>
    <w:rsid w:val="005166D9"/>
    <w:rsid w:val="00517031"/>
    <w:rsid w:val="00517C76"/>
    <w:rsid w:val="00520121"/>
    <w:rsid w:val="00520B36"/>
    <w:rsid w:val="00521D1B"/>
    <w:rsid w:val="00522AD4"/>
    <w:rsid w:val="00522E0C"/>
    <w:rsid w:val="005230DF"/>
    <w:rsid w:val="00523387"/>
    <w:rsid w:val="00523ABE"/>
    <w:rsid w:val="00523B84"/>
    <w:rsid w:val="0052498B"/>
    <w:rsid w:val="00525177"/>
    <w:rsid w:val="00525620"/>
    <w:rsid w:val="005259DA"/>
    <w:rsid w:val="00525B32"/>
    <w:rsid w:val="00525C3F"/>
    <w:rsid w:val="005268A7"/>
    <w:rsid w:val="00527168"/>
    <w:rsid w:val="00527A0A"/>
    <w:rsid w:val="00527EF6"/>
    <w:rsid w:val="00530F0F"/>
    <w:rsid w:val="00531A62"/>
    <w:rsid w:val="00532ABB"/>
    <w:rsid w:val="0053340C"/>
    <w:rsid w:val="00533CEE"/>
    <w:rsid w:val="005347B3"/>
    <w:rsid w:val="00534836"/>
    <w:rsid w:val="00535780"/>
    <w:rsid w:val="005362FF"/>
    <w:rsid w:val="00536754"/>
    <w:rsid w:val="0053709F"/>
    <w:rsid w:val="0053797C"/>
    <w:rsid w:val="00537C3D"/>
    <w:rsid w:val="00540320"/>
    <w:rsid w:val="00540699"/>
    <w:rsid w:val="0054089B"/>
    <w:rsid w:val="005408C2"/>
    <w:rsid w:val="005408CE"/>
    <w:rsid w:val="00540E54"/>
    <w:rsid w:val="00542131"/>
    <w:rsid w:val="005424D9"/>
    <w:rsid w:val="00542586"/>
    <w:rsid w:val="00542A73"/>
    <w:rsid w:val="005436BB"/>
    <w:rsid w:val="00543B03"/>
    <w:rsid w:val="0054401E"/>
    <w:rsid w:val="005442FA"/>
    <w:rsid w:val="005444E1"/>
    <w:rsid w:val="00544C32"/>
    <w:rsid w:val="005450CF"/>
    <w:rsid w:val="00545325"/>
    <w:rsid w:val="00545AAE"/>
    <w:rsid w:val="00545BF1"/>
    <w:rsid w:val="00545FB8"/>
    <w:rsid w:val="00545FC2"/>
    <w:rsid w:val="005463D3"/>
    <w:rsid w:val="0054781B"/>
    <w:rsid w:val="00547F3D"/>
    <w:rsid w:val="0055072F"/>
    <w:rsid w:val="00550E46"/>
    <w:rsid w:val="005510B1"/>
    <w:rsid w:val="005510FA"/>
    <w:rsid w:val="00551551"/>
    <w:rsid w:val="005519C0"/>
    <w:rsid w:val="005538B8"/>
    <w:rsid w:val="00553DBF"/>
    <w:rsid w:val="005540DC"/>
    <w:rsid w:val="00554BD1"/>
    <w:rsid w:val="00555136"/>
    <w:rsid w:val="00556C58"/>
    <w:rsid w:val="0055761C"/>
    <w:rsid w:val="0055770B"/>
    <w:rsid w:val="00557D01"/>
    <w:rsid w:val="00560281"/>
    <w:rsid w:val="005618C9"/>
    <w:rsid w:val="00561B98"/>
    <w:rsid w:val="00561C2A"/>
    <w:rsid w:val="00562692"/>
    <w:rsid w:val="00562FA7"/>
    <w:rsid w:val="0056330E"/>
    <w:rsid w:val="00563BAA"/>
    <w:rsid w:val="00564AA8"/>
    <w:rsid w:val="00564AAA"/>
    <w:rsid w:val="00564DFD"/>
    <w:rsid w:val="0056552A"/>
    <w:rsid w:val="00565655"/>
    <w:rsid w:val="0056648F"/>
    <w:rsid w:val="00566DAA"/>
    <w:rsid w:val="00567251"/>
    <w:rsid w:val="005672D3"/>
    <w:rsid w:val="00567347"/>
    <w:rsid w:val="00567D50"/>
    <w:rsid w:val="0057044B"/>
    <w:rsid w:val="00571652"/>
    <w:rsid w:val="0057172E"/>
    <w:rsid w:val="00571AAF"/>
    <w:rsid w:val="00571EA0"/>
    <w:rsid w:val="00572829"/>
    <w:rsid w:val="0057292B"/>
    <w:rsid w:val="00573151"/>
    <w:rsid w:val="0057350C"/>
    <w:rsid w:val="00574E5A"/>
    <w:rsid w:val="0057506C"/>
    <w:rsid w:val="0057625D"/>
    <w:rsid w:val="00577AA8"/>
    <w:rsid w:val="00577D14"/>
    <w:rsid w:val="005804C1"/>
    <w:rsid w:val="0058093A"/>
    <w:rsid w:val="00580DDA"/>
    <w:rsid w:val="00582961"/>
    <w:rsid w:val="00582DF1"/>
    <w:rsid w:val="00583939"/>
    <w:rsid w:val="00583D5D"/>
    <w:rsid w:val="00584206"/>
    <w:rsid w:val="00585163"/>
    <w:rsid w:val="00585843"/>
    <w:rsid w:val="00586815"/>
    <w:rsid w:val="005872D4"/>
    <w:rsid w:val="005876BA"/>
    <w:rsid w:val="005906C7"/>
    <w:rsid w:val="00590992"/>
    <w:rsid w:val="00590B9B"/>
    <w:rsid w:val="00590C98"/>
    <w:rsid w:val="0059117D"/>
    <w:rsid w:val="0059142A"/>
    <w:rsid w:val="00591813"/>
    <w:rsid w:val="00591CDC"/>
    <w:rsid w:val="00591EB1"/>
    <w:rsid w:val="00592352"/>
    <w:rsid w:val="00592495"/>
    <w:rsid w:val="00592F7B"/>
    <w:rsid w:val="005930E9"/>
    <w:rsid w:val="00593127"/>
    <w:rsid w:val="005938F0"/>
    <w:rsid w:val="00593E7B"/>
    <w:rsid w:val="00593F68"/>
    <w:rsid w:val="0059415D"/>
    <w:rsid w:val="005944C9"/>
    <w:rsid w:val="00594988"/>
    <w:rsid w:val="00595201"/>
    <w:rsid w:val="0059589A"/>
    <w:rsid w:val="00596CAA"/>
    <w:rsid w:val="00597024"/>
    <w:rsid w:val="0059707B"/>
    <w:rsid w:val="00597CB9"/>
    <w:rsid w:val="00597EDD"/>
    <w:rsid w:val="00597FC6"/>
    <w:rsid w:val="005A05EC"/>
    <w:rsid w:val="005A0B0B"/>
    <w:rsid w:val="005A1D16"/>
    <w:rsid w:val="005A2113"/>
    <w:rsid w:val="005A2349"/>
    <w:rsid w:val="005A2A84"/>
    <w:rsid w:val="005A2C12"/>
    <w:rsid w:val="005A2E9C"/>
    <w:rsid w:val="005A3198"/>
    <w:rsid w:val="005A3453"/>
    <w:rsid w:val="005A4583"/>
    <w:rsid w:val="005A48B4"/>
    <w:rsid w:val="005A5194"/>
    <w:rsid w:val="005A5771"/>
    <w:rsid w:val="005A584E"/>
    <w:rsid w:val="005A6036"/>
    <w:rsid w:val="005A63DD"/>
    <w:rsid w:val="005A6FB5"/>
    <w:rsid w:val="005A718E"/>
    <w:rsid w:val="005A772D"/>
    <w:rsid w:val="005A7E93"/>
    <w:rsid w:val="005B08D6"/>
    <w:rsid w:val="005B0D20"/>
    <w:rsid w:val="005B11D1"/>
    <w:rsid w:val="005B1287"/>
    <w:rsid w:val="005B21DB"/>
    <w:rsid w:val="005B2485"/>
    <w:rsid w:val="005B27BC"/>
    <w:rsid w:val="005B29E7"/>
    <w:rsid w:val="005B3647"/>
    <w:rsid w:val="005B4925"/>
    <w:rsid w:val="005B4A3C"/>
    <w:rsid w:val="005B4B2C"/>
    <w:rsid w:val="005B4B39"/>
    <w:rsid w:val="005B5828"/>
    <w:rsid w:val="005B5C0F"/>
    <w:rsid w:val="005B68BC"/>
    <w:rsid w:val="005B6916"/>
    <w:rsid w:val="005B76A9"/>
    <w:rsid w:val="005B7820"/>
    <w:rsid w:val="005B7CF7"/>
    <w:rsid w:val="005C07D2"/>
    <w:rsid w:val="005C12D5"/>
    <w:rsid w:val="005C1702"/>
    <w:rsid w:val="005C1E75"/>
    <w:rsid w:val="005C263B"/>
    <w:rsid w:val="005C2681"/>
    <w:rsid w:val="005C2A07"/>
    <w:rsid w:val="005C2CD0"/>
    <w:rsid w:val="005C2E82"/>
    <w:rsid w:val="005C3EA6"/>
    <w:rsid w:val="005C4515"/>
    <w:rsid w:val="005C48A9"/>
    <w:rsid w:val="005C500A"/>
    <w:rsid w:val="005C5135"/>
    <w:rsid w:val="005C62D3"/>
    <w:rsid w:val="005C74B0"/>
    <w:rsid w:val="005C7617"/>
    <w:rsid w:val="005C7A94"/>
    <w:rsid w:val="005D0AE2"/>
    <w:rsid w:val="005D0B5B"/>
    <w:rsid w:val="005D0C88"/>
    <w:rsid w:val="005D180E"/>
    <w:rsid w:val="005D1945"/>
    <w:rsid w:val="005D1BB5"/>
    <w:rsid w:val="005D22C2"/>
    <w:rsid w:val="005D22F9"/>
    <w:rsid w:val="005D2ABA"/>
    <w:rsid w:val="005D3251"/>
    <w:rsid w:val="005D3835"/>
    <w:rsid w:val="005D3D34"/>
    <w:rsid w:val="005D4CA2"/>
    <w:rsid w:val="005D52E5"/>
    <w:rsid w:val="005D5F0A"/>
    <w:rsid w:val="005D6097"/>
    <w:rsid w:val="005D643C"/>
    <w:rsid w:val="005D6C59"/>
    <w:rsid w:val="005D782E"/>
    <w:rsid w:val="005D7AC9"/>
    <w:rsid w:val="005E076B"/>
    <w:rsid w:val="005E0781"/>
    <w:rsid w:val="005E0B20"/>
    <w:rsid w:val="005E1536"/>
    <w:rsid w:val="005E28B9"/>
    <w:rsid w:val="005E2993"/>
    <w:rsid w:val="005E2A34"/>
    <w:rsid w:val="005E2BE9"/>
    <w:rsid w:val="005E2F8E"/>
    <w:rsid w:val="005E4CB1"/>
    <w:rsid w:val="005E53AD"/>
    <w:rsid w:val="005E6707"/>
    <w:rsid w:val="005E6822"/>
    <w:rsid w:val="005E698F"/>
    <w:rsid w:val="005E6D8D"/>
    <w:rsid w:val="005E7CB4"/>
    <w:rsid w:val="005E7CE9"/>
    <w:rsid w:val="005E7F41"/>
    <w:rsid w:val="005F09E7"/>
    <w:rsid w:val="005F09F4"/>
    <w:rsid w:val="005F12FB"/>
    <w:rsid w:val="005F2061"/>
    <w:rsid w:val="005F23F8"/>
    <w:rsid w:val="005F249C"/>
    <w:rsid w:val="005F2869"/>
    <w:rsid w:val="005F2B7F"/>
    <w:rsid w:val="005F365D"/>
    <w:rsid w:val="005F3CDE"/>
    <w:rsid w:val="005F42FB"/>
    <w:rsid w:val="005F6790"/>
    <w:rsid w:val="005F6AB8"/>
    <w:rsid w:val="005F7687"/>
    <w:rsid w:val="005F778F"/>
    <w:rsid w:val="005F79B8"/>
    <w:rsid w:val="005F79BA"/>
    <w:rsid w:val="00600FC1"/>
    <w:rsid w:val="006015E2"/>
    <w:rsid w:val="0060179D"/>
    <w:rsid w:val="00601BE4"/>
    <w:rsid w:val="00601CC1"/>
    <w:rsid w:val="00602364"/>
    <w:rsid w:val="0060248E"/>
    <w:rsid w:val="006025A0"/>
    <w:rsid w:val="00602E94"/>
    <w:rsid w:val="006042F8"/>
    <w:rsid w:val="0060487D"/>
    <w:rsid w:val="0060495A"/>
    <w:rsid w:val="00604A5F"/>
    <w:rsid w:val="0060542A"/>
    <w:rsid w:val="00605551"/>
    <w:rsid w:val="00605FF4"/>
    <w:rsid w:val="00606B47"/>
    <w:rsid w:val="00606BB7"/>
    <w:rsid w:val="00607188"/>
    <w:rsid w:val="00607605"/>
    <w:rsid w:val="00607A45"/>
    <w:rsid w:val="00607FA6"/>
    <w:rsid w:val="00610A07"/>
    <w:rsid w:val="00610FC0"/>
    <w:rsid w:val="006122A3"/>
    <w:rsid w:val="0061230E"/>
    <w:rsid w:val="00613975"/>
    <w:rsid w:val="00613A3F"/>
    <w:rsid w:val="00614415"/>
    <w:rsid w:val="00614589"/>
    <w:rsid w:val="00614B6E"/>
    <w:rsid w:val="00615576"/>
    <w:rsid w:val="00616317"/>
    <w:rsid w:val="006168EB"/>
    <w:rsid w:val="00616A36"/>
    <w:rsid w:val="00616C02"/>
    <w:rsid w:val="00616F56"/>
    <w:rsid w:val="00616FD3"/>
    <w:rsid w:val="006173EA"/>
    <w:rsid w:val="00620065"/>
    <w:rsid w:val="00620B12"/>
    <w:rsid w:val="0062107E"/>
    <w:rsid w:val="006212E2"/>
    <w:rsid w:val="0062161D"/>
    <w:rsid w:val="00621F75"/>
    <w:rsid w:val="00622230"/>
    <w:rsid w:val="00622424"/>
    <w:rsid w:val="00622933"/>
    <w:rsid w:val="00622F84"/>
    <w:rsid w:val="00623671"/>
    <w:rsid w:val="00624C64"/>
    <w:rsid w:val="00624CDD"/>
    <w:rsid w:val="00624FA5"/>
    <w:rsid w:val="006250B3"/>
    <w:rsid w:val="006305CF"/>
    <w:rsid w:val="00630A9C"/>
    <w:rsid w:val="00631A72"/>
    <w:rsid w:val="00632043"/>
    <w:rsid w:val="00632D76"/>
    <w:rsid w:val="00632E0B"/>
    <w:rsid w:val="006332B9"/>
    <w:rsid w:val="006338EC"/>
    <w:rsid w:val="00633B8D"/>
    <w:rsid w:val="00633F61"/>
    <w:rsid w:val="006346E9"/>
    <w:rsid w:val="00634D48"/>
    <w:rsid w:val="006358CC"/>
    <w:rsid w:val="006363B3"/>
    <w:rsid w:val="00636604"/>
    <w:rsid w:val="00636887"/>
    <w:rsid w:val="00636906"/>
    <w:rsid w:val="00636E12"/>
    <w:rsid w:val="00637A8C"/>
    <w:rsid w:val="00637D79"/>
    <w:rsid w:val="00637EC2"/>
    <w:rsid w:val="0064030D"/>
    <w:rsid w:val="006404CB"/>
    <w:rsid w:val="00640D0A"/>
    <w:rsid w:val="006418D0"/>
    <w:rsid w:val="006419A0"/>
    <w:rsid w:val="00642B98"/>
    <w:rsid w:val="00643748"/>
    <w:rsid w:val="006459F2"/>
    <w:rsid w:val="006469A0"/>
    <w:rsid w:val="00647137"/>
    <w:rsid w:val="0064760D"/>
    <w:rsid w:val="00647F58"/>
    <w:rsid w:val="0065073D"/>
    <w:rsid w:val="006509D0"/>
    <w:rsid w:val="006518AF"/>
    <w:rsid w:val="00651BCE"/>
    <w:rsid w:val="006523B0"/>
    <w:rsid w:val="00652B72"/>
    <w:rsid w:val="00652C29"/>
    <w:rsid w:val="00652C52"/>
    <w:rsid w:val="006535DC"/>
    <w:rsid w:val="006538D0"/>
    <w:rsid w:val="00653D5F"/>
    <w:rsid w:val="006544E2"/>
    <w:rsid w:val="006546D1"/>
    <w:rsid w:val="00654A61"/>
    <w:rsid w:val="00654B26"/>
    <w:rsid w:val="00655A97"/>
    <w:rsid w:val="0065600C"/>
    <w:rsid w:val="0065607A"/>
    <w:rsid w:val="006561BF"/>
    <w:rsid w:val="00656272"/>
    <w:rsid w:val="00656CE7"/>
    <w:rsid w:val="00657261"/>
    <w:rsid w:val="0066048C"/>
    <w:rsid w:val="00661869"/>
    <w:rsid w:val="00661CC8"/>
    <w:rsid w:val="00661D62"/>
    <w:rsid w:val="00662266"/>
    <w:rsid w:val="0066322F"/>
    <w:rsid w:val="00663FF1"/>
    <w:rsid w:val="00664235"/>
    <w:rsid w:val="0066459E"/>
    <w:rsid w:val="00664640"/>
    <w:rsid w:val="00664670"/>
    <w:rsid w:val="006647D7"/>
    <w:rsid w:val="00665594"/>
    <w:rsid w:val="006656C7"/>
    <w:rsid w:val="00665B64"/>
    <w:rsid w:val="00665CC6"/>
    <w:rsid w:val="00666EDC"/>
    <w:rsid w:val="00666FB1"/>
    <w:rsid w:val="006672C2"/>
    <w:rsid w:val="006674A3"/>
    <w:rsid w:val="006676DD"/>
    <w:rsid w:val="0067012F"/>
    <w:rsid w:val="0067060A"/>
    <w:rsid w:val="00670C1A"/>
    <w:rsid w:val="00670FDB"/>
    <w:rsid w:val="00671E7A"/>
    <w:rsid w:val="00672DB2"/>
    <w:rsid w:val="006738DA"/>
    <w:rsid w:val="00673AB7"/>
    <w:rsid w:val="00673C17"/>
    <w:rsid w:val="00673CBA"/>
    <w:rsid w:val="006742B1"/>
    <w:rsid w:val="0067437B"/>
    <w:rsid w:val="00674C4A"/>
    <w:rsid w:val="00675278"/>
    <w:rsid w:val="0067647E"/>
    <w:rsid w:val="006768BB"/>
    <w:rsid w:val="006772E0"/>
    <w:rsid w:val="00677C1F"/>
    <w:rsid w:val="00680179"/>
    <w:rsid w:val="0068017F"/>
    <w:rsid w:val="00681A98"/>
    <w:rsid w:val="00681C6A"/>
    <w:rsid w:val="00681D4A"/>
    <w:rsid w:val="00682A9F"/>
    <w:rsid w:val="0068357F"/>
    <w:rsid w:val="00683907"/>
    <w:rsid w:val="0068458E"/>
    <w:rsid w:val="0068475B"/>
    <w:rsid w:val="00685220"/>
    <w:rsid w:val="00685568"/>
    <w:rsid w:val="0068595C"/>
    <w:rsid w:val="00685E92"/>
    <w:rsid w:val="00686FDE"/>
    <w:rsid w:val="00687B11"/>
    <w:rsid w:val="00687EAA"/>
    <w:rsid w:val="006909A2"/>
    <w:rsid w:val="006909F6"/>
    <w:rsid w:val="00690EA4"/>
    <w:rsid w:val="006914F2"/>
    <w:rsid w:val="006915E3"/>
    <w:rsid w:val="006917D5"/>
    <w:rsid w:val="0069218A"/>
    <w:rsid w:val="0069257C"/>
    <w:rsid w:val="006925EE"/>
    <w:rsid w:val="00693837"/>
    <w:rsid w:val="00693E8A"/>
    <w:rsid w:val="00693E8B"/>
    <w:rsid w:val="00693EE1"/>
    <w:rsid w:val="00694227"/>
    <w:rsid w:val="00694805"/>
    <w:rsid w:val="00694A07"/>
    <w:rsid w:val="00694D85"/>
    <w:rsid w:val="0069577A"/>
    <w:rsid w:val="00695840"/>
    <w:rsid w:val="00695E29"/>
    <w:rsid w:val="00695FFB"/>
    <w:rsid w:val="00696227"/>
    <w:rsid w:val="006962B2"/>
    <w:rsid w:val="006969CC"/>
    <w:rsid w:val="00697550"/>
    <w:rsid w:val="006975BC"/>
    <w:rsid w:val="006A1458"/>
    <w:rsid w:val="006A1D43"/>
    <w:rsid w:val="006A1EF9"/>
    <w:rsid w:val="006A226C"/>
    <w:rsid w:val="006A2383"/>
    <w:rsid w:val="006A246B"/>
    <w:rsid w:val="006A4038"/>
    <w:rsid w:val="006A434F"/>
    <w:rsid w:val="006A5165"/>
    <w:rsid w:val="006A521B"/>
    <w:rsid w:val="006A57F7"/>
    <w:rsid w:val="006A5FC4"/>
    <w:rsid w:val="006A799D"/>
    <w:rsid w:val="006A7D31"/>
    <w:rsid w:val="006B11ED"/>
    <w:rsid w:val="006B1591"/>
    <w:rsid w:val="006B15EF"/>
    <w:rsid w:val="006B1B38"/>
    <w:rsid w:val="006B222F"/>
    <w:rsid w:val="006B2499"/>
    <w:rsid w:val="006B2E78"/>
    <w:rsid w:val="006B4922"/>
    <w:rsid w:val="006B4AF9"/>
    <w:rsid w:val="006B52D5"/>
    <w:rsid w:val="006B52F9"/>
    <w:rsid w:val="006B5363"/>
    <w:rsid w:val="006B7163"/>
    <w:rsid w:val="006C0A4D"/>
    <w:rsid w:val="006C3A83"/>
    <w:rsid w:val="006C3CDF"/>
    <w:rsid w:val="006C3D04"/>
    <w:rsid w:val="006C449D"/>
    <w:rsid w:val="006C4C8D"/>
    <w:rsid w:val="006C50BC"/>
    <w:rsid w:val="006C5441"/>
    <w:rsid w:val="006C54B3"/>
    <w:rsid w:val="006C54D1"/>
    <w:rsid w:val="006C55F2"/>
    <w:rsid w:val="006C564E"/>
    <w:rsid w:val="006C5E98"/>
    <w:rsid w:val="006C6EB8"/>
    <w:rsid w:val="006C6FE4"/>
    <w:rsid w:val="006D08D5"/>
    <w:rsid w:val="006D0A7C"/>
    <w:rsid w:val="006D0B2B"/>
    <w:rsid w:val="006D13B6"/>
    <w:rsid w:val="006D1F9D"/>
    <w:rsid w:val="006D2634"/>
    <w:rsid w:val="006D31FA"/>
    <w:rsid w:val="006D33CC"/>
    <w:rsid w:val="006D39E0"/>
    <w:rsid w:val="006D3EC4"/>
    <w:rsid w:val="006D3FCA"/>
    <w:rsid w:val="006D43EB"/>
    <w:rsid w:val="006D5B91"/>
    <w:rsid w:val="006D6466"/>
    <w:rsid w:val="006D7164"/>
    <w:rsid w:val="006D724B"/>
    <w:rsid w:val="006E15E8"/>
    <w:rsid w:val="006E1836"/>
    <w:rsid w:val="006E18E6"/>
    <w:rsid w:val="006E1B61"/>
    <w:rsid w:val="006E1BAB"/>
    <w:rsid w:val="006E21EB"/>
    <w:rsid w:val="006E27B0"/>
    <w:rsid w:val="006E2897"/>
    <w:rsid w:val="006E2978"/>
    <w:rsid w:val="006E2C17"/>
    <w:rsid w:val="006E35D0"/>
    <w:rsid w:val="006E39CB"/>
    <w:rsid w:val="006E3B56"/>
    <w:rsid w:val="006E3C0B"/>
    <w:rsid w:val="006E3F2F"/>
    <w:rsid w:val="006E4319"/>
    <w:rsid w:val="006E4A44"/>
    <w:rsid w:val="006E57EC"/>
    <w:rsid w:val="006E5B6B"/>
    <w:rsid w:val="006E5E4D"/>
    <w:rsid w:val="006E63D6"/>
    <w:rsid w:val="006E6A3F"/>
    <w:rsid w:val="006E6F09"/>
    <w:rsid w:val="006E7228"/>
    <w:rsid w:val="006E7A77"/>
    <w:rsid w:val="006E7ECD"/>
    <w:rsid w:val="006F0862"/>
    <w:rsid w:val="006F0C80"/>
    <w:rsid w:val="006F0D7D"/>
    <w:rsid w:val="006F0DD6"/>
    <w:rsid w:val="006F11FB"/>
    <w:rsid w:val="006F2295"/>
    <w:rsid w:val="006F3060"/>
    <w:rsid w:val="006F3087"/>
    <w:rsid w:val="006F31B1"/>
    <w:rsid w:val="006F3A11"/>
    <w:rsid w:val="006F3DE8"/>
    <w:rsid w:val="006F3F2F"/>
    <w:rsid w:val="006F453C"/>
    <w:rsid w:val="006F57B2"/>
    <w:rsid w:val="006F6027"/>
    <w:rsid w:val="006F62B4"/>
    <w:rsid w:val="006F66D5"/>
    <w:rsid w:val="006F794B"/>
    <w:rsid w:val="006F7E70"/>
    <w:rsid w:val="007002D4"/>
    <w:rsid w:val="007004E0"/>
    <w:rsid w:val="0070081C"/>
    <w:rsid w:val="007010BB"/>
    <w:rsid w:val="0070136A"/>
    <w:rsid w:val="007015CE"/>
    <w:rsid w:val="00701FAC"/>
    <w:rsid w:val="00702859"/>
    <w:rsid w:val="00703D75"/>
    <w:rsid w:val="00704032"/>
    <w:rsid w:val="007044A2"/>
    <w:rsid w:val="007044F2"/>
    <w:rsid w:val="00704832"/>
    <w:rsid w:val="007048B0"/>
    <w:rsid w:val="00705F78"/>
    <w:rsid w:val="007063AF"/>
    <w:rsid w:val="007065FB"/>
    <w:rsid w:val="00706C05"/>
    <w:rsid w:val="00706FEA"/>
    <w:rsid w:val="00707822"/>
    <w:rsid w:val="00707EBC"/>
    <w:rsid w:val="00710665"/>
    <w:rsid w:val="0071071C"/>
    <w:rsid w:val="0071094F"/>
    <w:rsid w:val="00710BBE"/>
    <w:rsid w:val="007111C1"/>
    <w:rsid w:val="00711523"/>
    <w:rsid w:val="00711738"/>
    <w:rsid w:val="00711F42"/>
    <w:rsid w:val="00712069"/>
    <w:rsid w:val="00712AE8"/>
    <w:rsid w:val="00712D2A"/>
    <w:rsid w:val="00713B99"/>
    <w:rsid w:val="007144EC"/>
    <w:rsid w:val="0071470B"/>
    <w:rsid w:val="00714FBA"/>
    <w:rsid w:val="007150E2"/>
    <w:rsid w:val="00715665"/>
    <w:rsid w:val="0071596D"/>
    <w:rsid w:val="00715A4F"/>
    <w:rsid w:val="00716240"/>
    <w:rsid w:val="00716498"/>
    <w:rsid w:val="00716B21"/>
    <w:rsid w:val="00716E1F"/>
    <w:rsid w:val="007173F8"/>
    <w:rsid w:val="00717A07"/>
    <w:rsid w:val="00717AF9"/>
    <w:rsid w:val="00717BD2"/>
    <w:rsid w:val="00717D3D"/>
    <w:rsid w:val="00720292"/>
    <w:rsid w:val="00721723"/>
    <w:rsid w:val="00722580"/>
    <w:rsid w:val="00722618"/>
    <w:rsid w:val="007235EA"/>
    <w:rsid w:val="00723DF6"/>
    <w:rsid w:val="007248D4"/>
    <w:rsid w:val="00724E68"/>
    <w:rsid w:val="0072564F"/>
    <w:rsid w:val="00726630"/>
    <w:rsid w:val="00726906"/>
    <w:rsid w:val="00727A6F"/>
    <w:rsid w:val="00727E1E"/>
    <w:rsid w:val="00731122"/>
    <w:rsid w:val="0073138C"/>
    <w:rsid w:val="007314A7"/>
    <w:rsid w:val="00731CDE"/>
    <w:rsid w:val="00731D63"/>
    <w:rsid w:val="00731DCB"/>
    <w:rsid w:val="00733002"/>
    <w:rsid w:val="00733B39"/>
    <w:rsid w:val="00733F07"/>
    <w:rsid w:val="007349C4"/>
    <w:rsid w:val="007351B4"/>
    <w:rsid w:val="007358B4"/>
    <w:rsid w:val="00736FBB"/>
    <w:rsid w:val="0073742C"/>
    <w:rsid w:val="0074007F"/>
    <w:rsid w:val="00740253"/>
    <w:rsid w:val="007409C5"/>
    <w:rsid w:val="00740BFF"/>
    <w:rsid w:val="007419DB"/>
    <w:rsid w:val="0074202F"/>
    <w:rsid w:val="00742093"/>
    <w:rsid w:val="0074290F"/>
    <w:rsid w:val="0074311A"/>
    <w:rsid w:val="007434F5"/>
    <w:rsid w:val="00743C21"/>
    <w:rsid w:val="00743C50"/>
    <w:rsid w:val="00743CF1"/>
    <w:rsid w:val="00744031"/>
    <w:rsid w:val="007445DF"/>
    <w:rsid w:val="00744B3E"/>
    <w:rsid w:val="00744F22"/>
    <w:rsid w:val="00745392"/>
    <w:rsid w:val="0074594D"/>
    <w:rsid w:val="0074635A"/>
    <w:rsid w:val="00746EE8"/>
    <w:rsid w:val="007502B4"/>
    <w:rsid w:val="007507AC"/>
    <w:rsid w:val="00750809"/>
    <w:rsid w:val="0075127A"/>
    <w:rsid w:val="007517D0"/>
    <w:rsid w:val="00751C2F"/>
    <w:rsid w:val="00751FA7"/>
    <w:rsid w:val="00752079"/>
    <w:rsid w:val="00753258"/>
    <w:rsid w:val="0075369F"/>
    <w:rsid w:val="007537B6"/>
    <w:rsid w:val="00753D28"/>
    <w:rsid w:val="007545EB"/>
    <w:rsid w:val="00754709"/>
    <w:rsid w:val="00754B07"/>
    <w:rsid w:val="00754CD5"/>
    <w:rsid w:val="0075534B"/>
    <w:rsid w:val="007553DD"/>
    <w:rsid w:val="007554E3"/>
    <w:rsid w:val="007563BD"/>
    <w:rsid w:val="00760554"/>
    <w:rsid w:val="00760634"/>
    <w:rsid w:val="0076235B"/>
    <w:rsid w:val="00762519"/>
    <w:rsid w:val="00762B31"/>
    <w:rsid w:val="00762BC2"/>
    <w:rsid w:val="00762F67"/>
    <w:rsid w:val="007635CB"/>
    <w:rsid w:val="00763998"/>
    <w:rsid w:val="00763A64"/>
    <w:rsid w:val="00763D7A"/>
    <w:rsid w:val="007641EC"/>
    <w:rsid w:val="0076467E"/>
    <w:rsid w:val="007649B4"/>
    <w:rsid w:val="00764FD2"/>
    <w:rsid w:val="0076538B"/>
    <w:rsid w:val="0076565B"/>
    <w:rsid w:val="00765660"/>
    <w:rsid w:val="00765F1F"/>
    <w:rsid w:val="00766971"/>
    <w:rsid w:val="00766B04"/>
    <w:rsid w:val="00766D64"/>
    <w:rsid w:val="00766DEB"/>
    <w:rsid w:val="00767418"/>
    <w:rsid w:val="0076773D"/>
    <w:rsid w:val="007677CC"/>
    <w:rsid w:val="00767B39"/>
    <w:rsid w:val="007708B6"/>
    <w:rsid w:val="0077126E"/>
    <w:rsid w:val="0077185D"/>
    <w:rsid w:val="00771DE8"/>
    <w:rsid w:val="00771EC4"/>
    <w:rsid w:val="00771F20"/>
    <w:rsid w:val="0077234C"/>
    <w:rsid w:val="00773467"/>
    <w:rsid w:val="007736B9"/>
    <w:rsid w:val="00773747"/>
    <w:rsid w:val="00773ADC"/>
    <w:rsid w:val="00773BF0"/>
    <w:rsid w:val="00774158"/>
    <w:rsid w:val="00774CA9"/>
    <w:rsid w:val="007750E0"/>
    <w:rsid w:val="007760DE"/>
    <w:rsid w:val="00776379"/>
    <w:rsid w:val="007769BE"/>
    <w:rsid w:val="00776AC9"/>
    <w:rsid w:val="007771B9"/>
    <w:rsid w:val="007771C6"/>
    <w:rsid w:val="007773DC"/>
    <w:rsid w:val="00777686"/>
    <w:rsid w:val="007779D3"/>
    <w:rsid w:val="00777ACD"/>
    <w:rsid w:val="00780606"/>
    <w:rsid w:val="00780A6C"/>
    <w:rsid w:val="00781981"/>
    <w:rsid w:val="007826F6"/>
    <w:rsid w:val="0078315C"/>
    <w:rsid w:val="00783510"/>
    <w:rsid w:val="00783769"/>
    <w:rsid w:val="00783FCA"/>
    <w:rsid w:val="00784794"/>
    <w:rsid w:val="00784E75"/>
    <w:rsid w:val="007854BA"/>
    <w:rsid w:val="00786161"/>
    <w:rsid w:val="007865E0"/>
    <w:rsid w:val="007868EC"/>
    <w:rsid w:val="00786A36"/>
    <w:rsid w:val="00786EA8"/>
    <w:rsid w:val="007925BD"/>
    <w:rsid w:val="00793503"/>
    <w:rsid w:val="007938C2"/>
    <w:rsid w:val="00793CD0"/>
    <w:rsid w:val="00793CE7"/>
    <w:rsid w:val="007944E0"/>
    <w:rsid w:val="007947B6"/>
    <w:rsid w:val="007952E4"/>
    <w:rsid w:val="00796319"/>
    <w:rsid w:val="007965C7"/>
    <w:rsid w:val="00796698"/>
    <w:rsid w:val="00796E34"/>
    <w:rsid w:val="007972C0"/>
    <w:rsid w:val="00797C66"/>
    <w:rsid w:val="007A0350"/>
    <w:rsid w:val="007A121C"/>
    <w:rsid w:val="007A1533"/>
    <w:rsid w:val="007A1E7F"/>
    <w:rsid w:val="007A23FF"/>
    <w:rsid w:val="007A241A"/>
    <w:rsid w:val="007A2606"/>
    <w:rsid w:val="007A4777"/>
    <w:rsid w:val="007A47CA"/>
    <w:rsid w:val="007A4BA5"/>
    <w:rsid w:val="007A5A2E"/>
    <w:rsid w:val="007A5AD5"/>
    <w:rsid w:val="007A5C20"/>
    <w:rsid w:val="007A649B"/>
    <w:rsid w:val="007A6B3F"/>
    <w:rsid w:val="007A75D8"/>
    <w:rsid w:val="007A78E7"/>
    <w:rsid w:val="007B002A"/>
    <w:rsid w:val="007B0147"/>
    <w:rsid w:val="007B0CE5"/>
    <w:rsid w:val="007B1266"/>
    <w:rsid w:val="007B13BA"/>
    <w:rsid w:val="007B1639"/>
    <w:rsid w:val="007B1D3D"/>
    <w:rsid w:val="007B220E"/>
    <w:rsid w:val="007B31FF"/>
    <w:rsid w:val="007B38A6"/>
    <w:rsid w:val="007B52C5"/>
    <w:rsid w:val="007B536A"/>
    <w:rsid w:val="007B537C"/>
    <w:rsid w:val="007B55A8"/>
    <w:rsid w:val="007B5A56"/>
    <w:rsid w:val="007B5BA5"/>
    <w:rsid w:val="007B5E29"/>
    <w:rsid w:val="007B607C"/>
    <w:rsid w:val="007B635F"/>
    <w:rsid w:val="007B63DA"/>
    <w:rsid w:val="007B6B69"/>
    <w:rsid w:val="007B6D63"/>
    <w:rsid w:val="007B7010"/>
    <w:rsid w:val="007B711E"/>
    <w:rsid w:val="007B73C1"/>
    <w:rsid w:val="007B7B11"/>
    <w:rsid w:val="007C0987"/>
    <w:rsid w:val="007C1162"/>
    <w:rsid w:val="007C18FF"/>
    <w:rsid w:val="007C1DA8"/>
    <w:rsid w:val="007C2DAC"/>
    <w:rsid w:val="007C3653"/>
    <w:rsid w:val="007C3EF0"/>
    <w:rsid w:val="007C4E93"/>
    <w:rsid w:val="007C4F6B"/>
    <w:rsid w:val="007C5618"/>
    <w:rsid w:val="007C5655"/>
    <w:rsid w:val="007C6704"/>
    <w:rsid w:val="007C6F51"/>
    <w:rsid w:val="007D0867"/>
    <w:rsid w:val="007D1116"/>
    <w:rsid w:val="007D15F8"/>
    <w:rsid w:val="007D1EE8"/>
    <w:rsid w:val="007D2425"/>
    <w:rsid w:val="007D246D"/>
    <w:rsid w:val="007D2519"/>
    <w:rsid w:val="007D26BF"/>
    <w:rsid w:val="007D29DD"/>
    <w:rsid w:val="007D3192"/>
    <w:rsid w:val="007D45C8"/>
    <w:rsid w:val="007D4BCB"/>
    <w:rsid w:val="007D5090"/>
    <w:rsid w:val="007D52FC"/>
    <w:rsid w:val="007D564D"/>
    <w:rsid w:val="007D6058"/>
    <w:rsid w:val="007D6ADC"/>
    <w:rsid w:val="007D78AD"/>
    <w:rsid w:val="007D7901"/>
    <w:rsid w:val="007D7947"/>
    <w:rsid w:val="007D7966"/>
    <w:rsid w:val="007D7D6A"/>
    <w:rsid w:val="007E0621"/>
    <w:rsid w:val="007E07D3"/>
    <w:rsid w:val="007E156C"/>
    <w:rsid w:val="007E28E6"/>
    <w:rsid w:val="007E36BE"/>
    <w:rsid w:val="007E52FB"/>
    <w:rsid w:val="007E5451"/>
    <w:rsid w:val="007E5B33"/>
    <w:rsid w:val="007E6164"/>
    <w:rsid w:val="007E6845"/>
    <w:rsid w:val="007E72CC"/>
    <w:rsid w:val="007E76D4"/>
    <w:rsid w:val="007E7821"/>
    <w:rsid w:val="007E7B92"/>
    <w:rsid w:val="007E7D9D"/>
    <w:rsid w:val="007E7F6A"/>
    <w:rsid w:val="007F0178"/>
    <w:rsid w:val="007F02EE"/>
    <w:rsid w:val="007F03B1"/>
    <w:rsid w:val="007F056B"/>
    <w:rsid w:val="007F07CD"/>
    <w:rsid w:val="007F0BD6"/>
    <w:rsid w:val="007F1072"/>
    <w:rsid w:val="007F13BC"/>
    <w:rsid w:val="007F2684"/>
    <w:rsid w:val="007F2BD4"/>
    <w:rsid w:val="007F2EE8"/>
    <w:rsid w:val="007F48C9"/>
    <w:rsid w:val="007F52BB"/>
    <w:rsid w:val="007F564A"/>
    <w:rsid w:val="007F5979"/>
    <w:rsid w:val="007F5B76"/>
    <w:rsid w:val="007F5FDA"/>
    <w:rsid w:val="007F683F"/>
    <w:rsid w:val="007F7030"/>
    <w:rsid w:val="007F7070"/>
    <w:rsid w:val="007F7132"/>
    <w:rsid w:val="007F7F88"/>
    <w:rsid w:val="00800318"/>
    <w:rsid w:val="008007CB"/>
    <w:rsid w:val="008009CE"/>
    <w:rsid w:val="00800C0A"/>
    <w:rsid w:val="00800F16"/>
    <w:rsid w:val="00800FA0"/>
    <w:rsid w:val="00802083"/>
    <w:rsid w:val="0080255F"/>
    <w:rsid w:val="0080295E"/>
    <w:rsid w:val="00802B4B"/>
    <w:rsid w:val="00802FC1"/>
    <w:rsid w:val="008035FA"/>
    <w:rsid w:val="008037CA"/>
    <w:rsid w:val="008037EA"/>
    <w:rsid w:val="00803D2E"/>
    <w:rsid w:val="00803D3D"/>
    <w:rsid w:val="00803F24"/>
    <w:rsid w:val="008044C4"/>
    <w:rsid w:val="00804FE0"/>
    <w:rsid w:val="0080535A"/>
    <w:rsid w:val="008061D2"/>
    <w:rsid w:val="00807CF8"/>
    <w:rsid w:val="00807F40"/>
    <w:rsid w:val="00810A4F"/>
    <w:rsid w:val="00811021"/>
    <w:rsid w:val="00811121"/>
    <w:rsid w:val="00811B09"/>
    <w:rsid w:val="008130AF"/>
    <w:rsid w:val="00813254"/>
    <w:rsid w:val="00813610"/>
    <w:rsid w:val="0081372B"/>
    <w:rsid w:val="00813754"/>
    <w:rsid w:val="00813827"/>
    <w:rsid w:val="00814149"/>
    <w:rsid w:val="0081543F"/>
    <w:rsid w:val="00815C3D"/>
    <w:rsid w:val="00815C7E"/>
    <w:rsid w:val="00816739"/>
    <w:rsid w:val="0081713D"/>
    <w:rsid w:val="00817612"/>
    <w:rsid w:val="008202E0"/>
    <w:rsid w:val="00820CF3"/>
    <w:rsid w:val="0082145D"/>
    <w:rsid w:val="00821B96"/>
    <w:rsid w:val="00821B9E"/>
    <w:rsid w:val="00821C77"/>
    <w:rsid w:val="00821F53"/>
    <w:rsid w:val="0082290C"/>
    <w:rsid w:val="00822988"/>
    <w:rsid w:val="008229E8"/>
    <w:rsid w:val="00822ED0"/>
    <w:rsid w:val="00822EE7"/>
    <w:rsid w:val="00822FD9"/>
    <w:rsid w:val="0082338A"/>
    <w:rsid w:val="0082374D"/>
    <w:rsid w:val="00823FB5"/>
    <w:rsid w:val="008247F0"/>
    <w:rsid w:val="0082493B"/>
    <w:rsid w:val="00824C8D"/>
    <w:rsid w:val="00824F04"/>
    <w:rsid w:val="00825C84"/>
    <w:rsid w:val="00825F81"/>
    <w:rsid w:val="00826B75"/>
    <w:rsid w:val="00826C9A"/>
    <w:rsid w:val="00826CD8"/>
    <w:rsid w:val="00827583"/>
    <w:rsid w:val="00827BEF"/>
    <w:rsid w:val="00827CA4"/>
    <w:rsid w:val="0083005A"/>
    <w:rsid w:val="008307E4"/>
    <w:rsid w:val="008309E9"/>
    <w:rsid w:val="00830C3D"/>
    <w:rsid w:val="00831048"/>
    <w:rsid w:val="00831222"/>
    <w:rsid w:val="00831234"/>
    <w:rsid w:val="0083152F"/>
    <w:rsid w:val="00831791"/>
    <w:rsid w:val="00832B0D"/>
    <w:rsid w:val="00832B6D"/>
    <w:rsid w:val="00832D0F"/>
    <w:rsid w:val="008334EE"/>
    <w:rsid w:val="00833F35"/>
    <w:rsid w:val="008341EB"/>
    <w:rsid w:val="00834593"/>
    <w:rsid w:val="00834748"/>
    <w:rsid w:val="00834E16"/>
    <w:rsid w:val="008355D5"/>
    <w:rsid w:val="0083569F"/>
    <w:rsid w:val="00835CA2"/>
    <w:rsid w:val="00835D68"/>
    <w:rsid w:val="0083614B"/>
    <w:rsid w:val="008369EB"/>
    <w:rsid w:val="00836C73"/>
    <w:rsid w:val="00837042"/>
    <w:rsid w:val="008372E5"/>
    <w:rsid w:val="00837CBF"/>
    <w:rsid w:val="00837FF8"/>
    <w:rsid w:val="0084050B"/>
    <w:rsid w:val="00841097"/>
    <w:rsid w:val="00842537"/>
    <w:rsid w:val="008426F6"/>
    <w:rsid w:val="008435AA"/>
    <w:rsid w:val="00844632"/>
    <w:rsid w:val="0084468F"/>
    <w:rsid w:val="0084492E"/>
    <w:rsid w:val="00844CEC"/>
    <w:rsid w:val="00845167"/>
    <w:rsid w:val="00845437"/>
    <w:rsid w:val="0084548A"/>
    <w:rsid w:val="0084570F"/>
    <w:rsid w:val="00845C8F"/>
    <w:rsid w:val="00845D9F"/>
    <w:rsid w:val="00846887"/>
    <w:rsid w:val="00847BF1"/>
    <w:rsid w:val="00850C34"/>
    <w:rsid w:val="00850F6C"/>
    <w:rsid w:val="00851020"/>
    <w:rsid w:val="00851166"/>
    <w:rsid w:val="00852333"/>
    <w:rsid w:val="008525EE"/>
    <w:rsid w:val="008533A8"/>
    <w:rsid w:val="00853A71"/>
    <w:rsid w:val="008542F1"/>
    <w:rsid w:val="00854307"/>
    <w:rsid w:val="0085483C"/>
    <w:rsid w:val="0085544E"/>
    <w:rsid w:val="00855B7F"/>
    <w:rsid w:val="00856222"/>
    <w:rsid w:val="0085694C"/>
    <w:rsid w:val="00856E59"/>
    <w:rsid w:val="0085774B"/>
    <w:rsid w:val="008578B4"/>
    <w:rsid w:val="00860520"/>
    <w:rsid w:val="00860DC5"/>
    <w:rsid w:val="00860FD9"/>
    <w:rsid w:val="008631C1"/>
    <w:rsid w:val="00863B3C"/>
    <w:rsid w:val="00864112"/>
    <w:rsid w:val="008642CB"/>
    <w:rsid w:val="008647FD"/>
    <w:rsid w:val="00864C75"/>
    <w:rsid w:val="00865534"/>
    <w:rsid w:val="008666EF"/>
    <w:rsid w:val="00866849"/>
    <w:rsid w:val="00866A06"/>
    <w:rsid w:val="00866B31"/>
    <w:rsid w:val="00866B47"/>
    <w:rsid w:val="00867B3A"/>
    <w:rsid w:val="00867B6A"/>
    <w:rsid w:val="0087035A"/>
    <w:rsid w:val="00870EE1"/>
    <w:rsid w:val="008711C3"/>
    <w:rsid w:val="00871883"/>
    <w:rsid w:val="0087286B"/>
    <w:rsid w:val="00872EF3"/>
    <w:rsid w:val="00873D82"/>
    <w:rsid w:val="00873FD7"/>
    <w:rsid w:val="0087430E"/>
    <w:rsid w:val="00874FDF"/>
    <w:rsid w:val="008753C7"/>
    <w:rsid w:val="008757BA"/>
    <w:rsid w:val="00875BB1"/>
    <w:rsid w:val="00876DCC"/>
    <w:rsid w:val="008770DE"/>
    <w:rsid w:val="00877C14"/>
    <w:rsid w:val="00880A4D"/>
    <w:rsid w:val="00880CDC"/>
    <w:rsid w:val="00881269"/>
    <w:rsid w:val="0088246B"/>
    <w:rsid w:val="0088284D"/>
    <w:rsid w:val="00885AAF"/>
    <w:rsid w:val="00885D23"/>
    <w:rsid w:val="00886846"/>
    <w:rsid w:val="00886B71"/>
    <w:rsid w:val="00886BAF"/>
    <w:rsid w:val="00886FFE"/>
    <w:rsid w:val="008871C5"/>
    <w:rsid w:val="008876EC"/>
    <w:rsid w:val="008878FF"/>
    <w:rsid w:val="00887DE0"/>
    <w:rsid w:val="008902EE"/>
    <w:rsid w:val="008906C3"/>
    <w:rsid w:val="008908DC"/>
    <w:rsid w:val="00890AD5"/>
    <w:rsid w:val="00890C1B"/>
    <w:rsid w:val="00890D5B"/>
    <w:rsid w:val="00890EB5"/>
    <w:rsid w:val="00890F27"/>
    <w:rsid w:val="00891228"/>
    <w:rsid w:val="008921C5"/>
    <w:rsid w:val="00892CD6"/>
    <w:rsid w:val="008936C8"/>
    <w:rsid w:val="00893828"/>
    <w:rsid w:val="00893863"/>
    <w:rsid w:val="008946A1"/>
    <w:rsid w:val="00894C02"/>
    <w:rsid w:val="008954DD"/>
    <w:rsid w:val="00895690"/>
    <w:rsid w:val="0089632D"/>
    <w:rsid w:val="00896CA2"/>
    <w:rsid w:val="008975D6"/>
    <w:rsid w:val="00897802"/>
    <w:rsid w:val="00897CDB"/>
    <w:rsid w:val="008A0294"/>
    <w:rsid w:val="008A149B"/>
    <w:rsid w:val="008A1694"/>
    <w:rsid w:val="008A16BA"/>
    <w:rsid w:val="008A1855"/>
    <w:rsid w:val="008A37C1"/>
    <w:rsid w:val="008A3A73"/>
    <w:rsid w:val="008A3FF1"/>
    <w:rsid w:val="008A42FA"/>
    <w:rsid w:val="008A4383"/>
    <w:rsid w:val="008A47F4"/>
    <w:rsid w:val="008A4ACE"/>
    <w:rsid w:val="008A51A7"/>
    <w:rsid w:val="008A5720"/>
    <w:rsid w:val="008A578B"/>
    <w:rsid w:val="008A5A8F"/>
    <w:rsid w:val="008A5D40"/>
    <w:rsid w:val="008A5EC7"/>
    <w:rsid w:val="008A75B0"/>
    <w:rsid w:val="008A78D1"/>
    <w:rsid w:val="008B0444"/>
    <w:rsid w:val="008B1728"/>
    <w:rsid w:val="008B205F"/>
    <w:rsid w:val="008B2503"/>
    <w:rsid w:val="008B2C5B"/>
    <w:rsid w:val="008B2FFF"/>
    <w:rsid w:val="008B31F9"/>
    <w:rsid w:val="008B3931"/>
    <w:rsid w:val="008B397B"/>
    <w:rsid w:val="008B5173"/>
    <w:rsid w:val="008B5252"/>
    <w:rsid w:val="008B5917"/>
    <w:rsid w:val="008B6290"/>
    <w:rsid w:val="008B64EC"/>
    <w:rsid w:val="008B68CF"/>
    <w:rsid w:val="008B6B6A"/>
    <w:rsid w:val="008B7014"/>
    <w:rsid w:val="008B74A8"/>
    <w:rsid w:val="008B7849"/>
    <w:rsid w:val="008B7C7A"/>
    <w:rsid w:val="008C04F2"/>
    <w:rsid w:val="008C0535"/>
    <w:rsid w:val="008C05CA"/>
    <w:rsid w:val="008C0F0C"/>
    <w:rsid w:val="008C1109"/>
    <w:rsid w:val="008C151D"/>
    <w:rsid w:val="008C17EE"/>
    <w:rsid w:val="008C17F3"/>
    <w:rsid w:val="008C1FAA"/>
    <w:rsid w:val="008C1FF4"/>
    <w:rsid w:val="008C229F"/>
    <w:rsid w:val="008C25C0"/>
    <w:rsid w:val="008C284B"/>
    <w:rsid w:val="008C2C1F"/>
    <w:rsid w:val="008C3C64"/>
    <w:rsid w:val="008C3D2E"/>
    <w:rsid w:val="008C41BE"/>
    <w:rsid w:val="008C4C6C"/>
    <w:rsid w:val="008C63BC"/>
    <w:rsid w:val="008C641A"/>
    <w:rsid w:val="008C653F"/>
    <w:rsid w:val="008C729D"/>
    <w:rsid w:val="008C730E"/>
    <w:rsid w:val="008C7EDF"/>
    <w:rsid w:val="008D14E7"/>
    <w:rsid w:val="008D1BD7"/>
    <w:rsid w:val="008D1D59"/>
    <w:rsid w:val="008D25BC"/>
    <w:rsid w:val="008D2B73"/>
    <w:rsid w:val="008D2F94"/>
    <w:rsid w:val="008D3087"/>
    <w:rsid w:val="008D348A"/>
    <w:rsid w:val="008D34C7"/>
    <w:rsid w:val="008D4141"/>
    <w:rsid w:val="008D4258"/>
    <w:rsid w:val="008D6492"/>
    <w:rsid w:val="008D66FD"/>
    <w:rsid w:val="008D6ACB"/>
    <w:rsid w:val="008D6DFC"/>
    <w:rsid w:val="008D716A"/>
    <w:rsid w:val="008D72FB"/>
    <w:rsid w:val="008D7BA5"/>
    <w:rsid w:val="008E09A6"/>
    <w:rsid w:val="008E1860"/>
    <w:rsid w:val="008E18AF"/>
    <w:rsid w:val="008E1A18"/>
    <w:rsid w:val="008E1B5B"/>
    <w:rsid w:val="008E24B5"/>
    <w:rsid w:val="008E2688"/>
    <w:rsid w:val="008E2B2D"/>
    <w:rsid w:val="008E2C8F"/>
    <w:rsid w:val="008E4827"/>
    <w:rsid w:val="008E651C"/>
    <w:rsid w:val="008E688E"/>
    <w:rsid w:val="008F0031"/>
    <w:rsid w:val="008F0B7C"/>
    <w:rsid w:val="008F0CDF"/>
    <w:rsid w:val="008F172C"/>
    <w:rsid w:val="008F1B12"/>
    <w:rsid w:val="008F21DF"/>
    <w:rsid w:val="008F240F"/>
    <w:rsid w:val="008F2962"/>
    <w:rsid w:val="008F3FD1"/>
    <w:rsid w:val="008F4496"/>
    <w:rsid w:val="008F4968"/>
    <w:rsid w:val="008F4DA8"/>
    <w:rsid w:val="008F54FD"/>
    <w:rsid w:val="008F553D"/>
    <w:rsid w:val="008F56EA"/>
    <w:rsid w:val="008F5C27"/>
    <w:rsid w:val="008F67E4"/>
    <w:rsid w:val="008F6A53"/>
    <w:rsid w:val="008F72A4"/>
    <w:rsid w:val="008F73FE"/>
    <w:rsid w:val="008F76F8"/>
    <w:rsid w:val="008F7F2B"/>
    <w:rsid w:val="009004E9"/>
    <w:rsid w:val="00900F17"/>
    <w:rsid w:val="0090155A"/>
    <w:rsid w:val="009017C1"/>
    <w:rsid w:val="00901B74"/>
    <w:rsid w:val="00901BDB"/>
    <w:rsid w:val="00901CDE"/>
    <w:rsid w:val="00903213"/>
    <w:rsid w:val="009034C6"/>
    <w:rsid w:val="00903EB9"/>
    <w:rsid w:val="009040A8"/>
    <w:rsid w:val="00904EAD"/>
    <w:rsid w:val="00905202"/>
    <w:rsid w:val="00905A2A"/>
    <w:rsid w:val="00905D76"/>
    <w:rsid w:val="00905E48"/>
    <w:rsid w:val="009060DD"/>
    <w:rsid w:val="009071BC"/>
    <w:rsid w:val="00907534"/>
    <w:rsid w:val="009078B9"/>
    <w:rsid w:val="00907F6C"/>
    <w:rsid w:val="0091004B"/>
    <w:rsid w:val="009105ED"/>
    <w:rsid w:val="00910B0A"/>
    <w:rsid w:val="0091168F"/>
    <w:rsid w:val="00911A1B"/>
    <w:rsid w:val="00911B4F"/>
    <w:rsid w:val="00911BF8"/>
    <w:rsid w:val="00911E5C"/>
    <w:rsid w:val="00912598"/>
    <w:rsid w:val="00912BC6"/>
    <w:rsid w:val="00912DBD"/>
    <w:rsid w:val="0091356D"/>
    <w:rsid w:val="00913AFA"/>
    <w:rsid w:val="00914744"/>
    <w:rsid w:val="0091556F"/>
    <w:rsid w:val="00916E65"/>
    <w:rsid w:val="0091708F"/>
    <w:rsid w:val="0092106B"/>
    <w:rsid w:val="009212C9"/>
    <w:rsid w:val="00921342"/>
    <w:rsid w:val="00921919"/>
    <w:rsid w:val="00922AFD"/>
    <w:rsid w:val="00923495"/>
    <w:rsid w:val="009249D1"/>
    <w:rsid w:val="00924CE0"/>
    <w:rsid w:val="00925072"/>
    <w:rsid w:val="00925739"/>
    <w:rsid w:val="00925DE7"/>
    <w:rsid w:val="00925EA1"/>
    <w:rsid w:val="009260E9"/>
    <w:rsid w:val="00926A4F"/>
    <w:rsid w:val="009301BA"/>
    <w:rsid w:val="009322EA"/>
    <w:rsid w:val="00932C1B"/>
    <w:rsid w:val="00932C9F"/>
    <w:rsid w:val="0093358B"/>
    <w:rsid w:val="00933953"/>
    <w:rsid w:val="00933BBE"/>
    <w:rsid w:val="00934D8D"/>
    <w:rsid w:val="00934F08"/>
    <w:rsid w:val="009355A0"/>
    <w:rsid w:val="00935942"/>
    <w:rsid w:val="00936007"/>
    <w:rsid w:val="0093624A"/>
    <w:rsid w:val="00940B07"/>
    <w:rsid w:val="00940BA0"/>
    <w:rsid w:val="00941179"/>
    <w:rsid w:val="00942160"/>
    <w:rsid w:val="0094265D"/>
    <w:rsid w:val="009429C0"/>
    <w:rsid w:val="00943378"/>
    <w:rsid w:val="00943702"/>
    <w:rsid w:val="0094370B"/>
    <w:rsid w:val="00944028"/>
    <w:rsid w:val="0094433C"/>
    <w:rsid w:val="00944532"/>
    <w:rsid w:val="009449B2"/>
    <w:rsid w:val="00944AA3"/>
    <w:rsid w:val="009458F9"/>
    <w:rsid w:val="00946FFD"/>
    <w:rsid w:val="00947039"/>
    <w:rsid w:val="009473C3"/>
    <w:rsid w:val="009508EC"/>
    <w:rsid w:val="00952024"/>
    <w:rsid w:val="00952873"/>
    <w:rsid w:val="00952C5F"/>
    <w:rsid w:val="00952FE9"/>
    <w:rsid w:val="009532C1"/>
    <w:rsid w:val="00955035"/>
    <w:rsid w:val="0095558E"/>
    <w:rsid w:val="00955ED7"/>
    <w:rsid w:val="00955FCD"/>
    <w:rsid w:val="0095693F"/>
    <w:rsid w:val="00957452"/>
    <w:rsid w:val="009579CB"/>
    <w:rsid w:val="00957D92"/>
    <w:rsid w:val="009605E1"/>
    <w:rsid w:val="00961410"/>
    <w:rsid w:val="00961B23"/>
    <w:rsid w:val="009625CC"/>
    <w:rsid w:val="00963376"/>
    <w:rsid w:val="00963DDC"/>
    <w:rsid w:val="00963E68"/>
    <w:rsid w:val="0096403E"/>
    <w:rsid w:val="0096444A"/>
    <w:rsid w:val="00964AAC"/>
    <w:rsid w:val="00966530"/>
    <w:rsid w:val="00966C36"/>
    <w:rsid w:val="00967831"/>
    <w:rsid w:val="00967878"/>
    <w:rsid w:val="00967F73"/>
    <w:rsid w:val="0097065D"/>
    <w:rsid w:val="00971DC0"/>
    <w:rsid w:val="009725F6"/>
    <w:rsid w:val="0097300D"/>
    <w:rsid w:val="00973042"/>
    <w:rsid w:val="00973C1C"/>
    <w:rsid w:val="009748E5"/>
    <w:rsid w:val="00974DBE"/>
    <w:rsid w:val="0097509D"/>
    <w:rsid w:val="00976584"/>
    <w:rsid w:val="00976E3A"/>
    <w:rsid w:val="00977953"/>
    <w:rsid w:val="00977ED4"/>
    <w:rsid w:val="00980188"/>
    <w:rsid w:val="009803F7"/>
    <w:rsid w:val="00980511"/>
    <w:rsid w:val="009820AD"/>
    <w:rsid w:val="009824D3"/>
    <w:rsid w:val="00982B66"/>
    <w:rsid w:val="0098351A"/>
    <w:rsid w:val="009837C9"/>
    <w:rsid w:val="00983BB9"/>
    <w:rsid w:val="00983D7D"/>
    <w:rsid w:val="009842A4"/>
    <w:rsid w:val="00985898"/>
    <w:rsid w:val="00986337"/>
    <w:rsid w:val="00986394"/>
    <w:rsid w:val="009864EC"/>
    <w:rsid w:val="00986620"/>
    <w:rsid w:val="0098691A"/>
    <w:rsid w:val="00987105"/>
    <w:rsid w:val="00987F27"/>
    <w:rsid w:val="0099022F"/>
    <w:rsid w:val="00990CC0"/>
    <w:rsid w:val="00991011"/>
    <w:rsid w:val="0099201E"/>
    <w:rsid w:val="00992641"/>
    <w:rsid w:val="009929B0"/>
    <w:rsid w:val="00992ABD"/>
    <w:rsid w:val="009937A7"/>
    <w:rsid w:val="00993CC0"/>
    <w:rsid w:val="00994403"/>
    <w:rsid w:val="009946C6"/>
    <w:rsid w:val="00994982"/>
    <w:rsid w:val="00994BE4"/>
    <w:rsid w:val="00994FE4"/>
    <w:rsid w:val="00995205"/>
    <w:rsid w:val="00996B8A"/>
    <w:rsid w:val="0099742B"/>
    <w:rsid w:val="009A02F8"/>
    <w:rsid w:val="009A033E"/>
    <w:rsid w:val="009A06C7"/>
    <w:rsid w:val="009A0FAF"/>
    <w:rsid w:val="009A0FC4"/>
    <w:rsid w:val="009A1C90"/>
    <w:rsid w:val="009A2E83"/>
    <w:rsid w:val="009A33C6"/>
    <w:rsid w:val="009A3933"/>
    <w:rsid w:val="009A3BEF"/>
    <w:rsid w:val="009A3FB4"/>
    <w:rsid w:val="009A4435"/>
    <w:rsid w:val="009A5308"/>
    <w:rsid w:val="009A5311"/>
    <w:rsid w:val="009A5504"/>
    <w:rsid w:val="009A58DF"/>
    <w:rsid w:val="009A66B5"/>
    <w:rsid w:val="009A6709"/>
    <w:rsid w:val="009A73D8"/>
    <w:rsid w:val="009A7595"/>
    <w:rsid w:val="009A78F1"/>
    <w:rsid w:val="009B162C"/>
    <w:rsid w:val="009B1875"/>
    <w:rsid w:val="009B1878"/>
    <w:rsid w:val="009B193E"/>
    <w:rsid w:val="009B19FB"/>
    <w:rsid w:val="009B2371"/>
    <w:rsid w:val="009B27F9"/>
    <w:rsid w:val="009B2B67"/>
    <w:rsid w:val="009B3A64"/>
    <w:rsid w:val="009B3E92"/>
    <w:rsid w:val="009B4052"/>
    <w:rsid w:val="009B4231"/>
    <w:rsid w:val="009B4D69"/>
    <w:rsid w:val="009B4E34"/>
    <w:rsid w:val="009B4EDA"/>
    <w:rsid w:val="009B5F9F"/>
    <w:rsid w:val="009B6C30"/>
    <w:rsid w:val="009B7087"/>
    <w:rsid w:val="009B7D7F"/>
    <w:rsid w:val="009B7E4C"/>
    <w:rsid w:val="009C058E"/>
    <w:rsid w:val="009C0E7C"/>
    <w:rsid w:val="009C126E"/>
    <w:rsid w:val="009C1566"/>
    <w:rsid w:val="009C187D"/>
    <w:rsid w:val="009C1AF8"/>
    <w:rsid w:val="009C1C57"/>
    <w:rsid w:val="009C36A5"/>
    <w:rsid w:val="009C4527"/>
    <w:rsid w:val="009C5013"/>
    <w:rsid w:val="009C5720"/>
    <w:rsid w:val="009C599A"/>
    <w:rsid w:val="009C6D97"/>
    <w:rsid w:val="009C6FE0"/>
    <w:rsid w:val="009C72C1"/>
    <w:rsid w:val="009C7352"/>
    <w:rsid w:val="009D0747"/>
    <w:rsid w:val="009D0EB0"/>
    <w:rsid w:val="009D1143"/>
    <w:rsid w:val="009D1752"/>
    <w:rsid w:val="009D1E25"/>
    <w:rsid w:val="009D3350"/>
    <w:rsid w:val="009D3720"/>
    <w:rsid w:val="009D3C09"/>
    <w:rsid w:val="009D3EF2"/>
    <w:rsid w:val="009D4EB8"/>
    <w:rsid w:val="009D5785"/>
    <w:rsid w:val="009D5EBA"/>
    <w:rsid w:val="009D611A"/>
    <w:rsid w:val="009D6A1B"/>
    <w:rsid w:val="009D790B"/>
    <w:rsid w:val="009E0163"/>
    <w:rsid w:val="009E032A"/>
    <w:rsid w:val="009E0938"/>
    <w:rsid w:val="009E0C35"/>
    <w:rsid w:val="009E118A"/>
    <w:rsid w:val="009E2307"/>
    <w:rsid w:val="009E254D"/>
    <w:rsid w:val="009E2BB2"/>
    <w:rsid w:val="009E2CCD"/>
    <w:rsid w:val="009E3FB1"/>
    <w:rsid w:val="009E41E9"/>
    <w:rsid w:val="009E4A84"/>
    <w:rsid w:val="009E4E31"/>
    <w:rsid w:val="009E58AE"/>
    <w:rsid w:val="009E5FCF"/>
    <w:rsid w:val="009E6D7F"/>
    <w:rsid w:val="009E7CBB"/>
    <w:rsid w:val="009E7DCD"/>
    <w:rsid w:val="009F057F"/>
    <w:rsid w:val="009F156E"/>
    <w:rsid w:val="009F2013"/>
    <w:rsid w:val="009F2230"/>
    <w:rsid w:val="009F2ADD"/>
    <w:rsid w:val="009F2C38"/>
    <w:rsid w:val="009F30A7"/>
    <w:rsid w:val="009F3EE3"/>
    <w:rsid w:val="009F42FD"/>
    <w:rsid w:val="009F4420"/>
    <w:rsid w:val="009F44CE"/>
    <w:rsid w:val="009F4D83"/>
    <w:rsid w:val="009F50B2"/>
    <w:rsid w:val="009F59C5"/>
    <w:rsid w:val="009F5C48"/>
    <w:rsid w:val="009F5CA6"/>
    <w:rsid w:val="009F6037"/>
    <w:rsid w:val="009F66FC"/>
    <w:rsid w:val="009F7D11"/>
    <w:rsid w:val="009F7E47"/>
    <w:rsid w:val="00A00573"/>
    <w:rsid w:val="00A02116"/>
    <w:rsid w:val="00A02773"/>
    <w:rsid w:val="00A03255"/>
    <w:rsid w:val="00A0328A"/>
    <w:rsid w:val="00A0357F"/>
    <w:rsid w:val="00A038BD"/>
    <w:rsid w:val="00A03CEE"/>
    <w:rsid w:val="00A046C6"/>
    <w:rsid w:val="00A05C81"/>
    <w:rsid w:val="00A06F4A"/>
    <w:rsid w:val="00A073B0"/>
    <w:rsid w:val="00A10AA7"/>
    <w:rsid w:val="00A1130C"/>
    <w:rsid w:val="00A11409"/>
    <w:rsid w:val="00A12EB6"/>
    <w:rsid w:val="00A1356A"/>
    <w:rsid w:val="00A13A38"/>
    <w:rsid w:val="00A14A2D"/>
    <w:rsid w:val="00A153BB"/>
    <w:rsid w:val="00A153FB"/>
    <w:rsid w:val="00A155A0"/>
    <w:rsid w:val="00A15792"/>
    <w:rsid w:val="00A157CE"/>
    <w:rsid w:val="00A159A9"/>
    <w:rsid w:val="00A15B26"/>
    <w:rsid w:val="00A15BD8"/>
    <w:rsid w:val="00A15D50"/>
    <w:rsid w:val="00A170D3"/>
    <w:rsid w:val="00A17170"/>
    <w:rsid w:val="00A2037E"/>
    <w:rsid w:val="00A20423"/>
    <w:rsid w:val="00A208F6"/>
    <w:rsid w:val="00A21571"/>
    <w:rsid w:val="00A215B6"/>
    <w:rsid w:val="00A21CBF"/>
    <w:rsid w:val="00A230A0"/>
    <w:rsid w:val="00A23249"/>
    <w:rsid w:val="00A232DF"/>
    <w:rsid w:val="00A238D2"/>
    <w:rsid w:val="00A23BC7"/>
    <w:rsid w:val="00A23E2F"/>
    <w:rsid w:val="00A23E33"/>
    <w:rsid w:val="00A24397"/>
    <w:rsid w:val="00A25375"/>
    <w:rsid w:val="00A25995"/>
    <w:rsid w:val="00A26131"/>
    <w:rsid w:val="00A26A69"/>
    <w:rsid w:val="00A275EA"/>
    <w:rsid w:val="00A27699"/>
    <w:rsid w:val="00A277D2"/>
    <w:rsid w:val="00A27AB4"/>
    <w:rsid w:val="00A308EF"/>
    <w:rsid w:val="00A31DDF"/>
    <w:rsid w:val="00A31E40"/>
    <w:rsid w:val="00A31E80"/>
    <w:rsid w:val="00A320BC"/>
    <w:rsid w:val="00A32220"/>
    <w:rsid w:val="00A32669"/>
    <w:rsid w:val="00A32CDE"/>
    <w:rsid w:val="00A33060"/>
    <w:rsid w:val="00A33D8E"/>
    <w:rsid w:val="00A343F0"/>
    <w:rsid w:val="00A344F5"/>
    <w:rsid w:val="00A34A54"/>
    <w:rsid w:val="00A34F06"/>
    <w:rsid w:val="00A35065"/>
    <w:rsid w:val="00A350BD"/>
    <w:rsid w:val="00A35A82"/>
    <w:rsid w:val="00A35C68"/>
    <w:rsid w:val="00A35CEE"/>
    <w:rsid w:val="00A3634B"/>
    <w:rsid w:val="00A365C6"/>
    <w:rsid w:val="00A3699D"/>
    <w:rsid w:val="00A369D4"/>
    <w:rsid w:val="00A40195"/>
    <w:rsid w:val="00A40304"/>
    <w:rsid w:val="00A41502"/>
    <w:rsid w:val="00A41B29"/>
    <w:rsid w:val="00A42174"/>
    <w:rsid w:val="00A423B7"/>
    <w:rsid w:val="00A42956"/>
    <w:rsid w:val="00A43D9A"/>
    <w:rsid w:val="00A44FA7"/>
    <w:rsid w:val="00A4568A"/>
    <w:rsid w:val="00A45B43"/>
    <w:rsid w:val="00A45D15"/>
    <w:rsid w:val="00A46563"/>
    <w:rsid w:val="00A467B8"/>
    <w:rsid w:val="00A46999"/>
    <w:rsid w:val="00A46D2F"/>
    <w:rsid w:val="00A46D9A"/>
    <w:rsid w:val="00A46DF4"/>
    <w:rsid w:val="00A471FC"/>
    <w:rsid w:val="00A47255"/>
    <w:rsid w:val="00A477B6"/>
    <w:rsid w:val="00A50312"/>
    <w:rsid w:val="00A5069E"/>
    <w:rsid w:val="00A50CA9"/>
    <w:rsid w:val="00A5151C"/>
    <w:rsid w:val="00A53825"/>
    <w:rsid w:val="00A540C0"/>
    <w:rsid w:val="00A557D3"/>
    <w:rsid w:val="00A55986"/>
    <w:rsid w:val="00A57609"/>
    <w:rsid w:val="00A57693"/>
    <w:rsid w:val="00A57F94"/>
    <w:rsid w:val="00A610B5"/>
    <w:rsid w:val="00A61363"/>
    <w:rsid w:val="00A61411"/>
    <w:rsid w:val="00A61BB6"/>
    <w:rsid w:val="00A61E42"/>
    <w:rsid w:val="00A62790"/>
    <w:rsid w:val="00A62D3E"/>
    <w:rsid w:val="00A62E43"/>
    <w:rsid w:val="00A62F69"/>
    <w:rsid w:val="00A6336B"/>
    <w:rsid w:val="00A635F4"/>
    <w:rsid w:val="00A6466F"/>
    <w:rsid w:val="00A64F42"/>
    <w:rsid w:val="00A65251"/>
    <w:rsid w:val="00A6535D"/>
    <w:rsid w:val="00A6642B"/>
    <w:rsid w:val="00A66A19"/>
    <w:rsid w:val="00A67632"/>
    <w:rsid w:val="00A67CB7"/>
    <w:rsid w:val="00A703C9"/>
    <w:rsid w:val="00A70767"/>
    <w:rsid w:val="00A70B4D"/>
    <w:rsid w:val="00A714E3"/>
    <w:rsid w:val="00A714EC"/>
    <w:rsid w:val="00A730CF"/>
    <w:rsid w:val="00A738EF"/>
    <w:rsid w:val="00A73FD0"/>
    <w:rsid w:val="00A74824"/>
    <w:rsid w:val="00A748C7"/>
    <w:rsid w:val="00A754BC"/>
    <w:rsid w:val="00A756F2"/>
    <w:rsid w:val="00A75D01"/>
    <w:rsid w:val="00A76289"/>
    <w:rsid w:val="00A7702E"/>
    <w:rsid w:val="00A773BB"/>
    <w:rsid w:val="00A77B0C"/>
    <w:rsid w:val="00A77BE1"/>
    <w:rsid w:val="00A80323"/>
    <w:rsid w:val="00A80991"/>
    <w:rsid w:val="00A8171D"/>
    <w:rsid w:val="00A81A9D"/>
    <w:rsid w:val="00A822E3"/>
    <w:rsid w:val="00A82522"/>
    <w:rsid w:val="00A8289F"/>
    <w:rsid w:val="00A83631"/>
    <w:rsid w:val="00A8462E"/>
    <w:rsid w:val="00A851A3"/>
    <w:rsid w:val="00A851B7"/>
    <w:rsid w:val="00A85206"/>
    <w:rsid w:val="00A854C6"/>
    <w:rsid w:val="00A856D2"/>
    <w:rsid w:val="00A85763"/>
    <w:rsid w:val="00A86502"/>
    <w:rsid w:val="00A87025"/>
    <w:rsid w:val="00A871AF"/>
    <w:rsid w:val="00A8797F"/>
    <w:rsid w:val="00A90198"/>
    <w:rsid w:val="00A9082C"/>
    <w:rsid w:val="00A90BA9"/>
    <w:rsid w:val="00A90F8D"/>
    <w:rsid w:val="00A911AC"/>
    <w:rsid w:val="00A91800"/>
    <w:rsid w:val="00A92B52"/>
    <w:rsid w:val="00A92F97"/>
    <w:rsid w:val="00A934B7"/>
    <w:rsid w:val="00A93975"/>
    <w:rsid w:val="00A93E70"/>
    <w:rsid w:val="00A94DA0"/>
    <w:rsid w:val="00A95567"/>
    <w:rsid w:val="00A95637"/>
    <w:rsid w:val="00A95C77"/>
    <w:rsid w:val="00A960AA"/>
    <w:rsid w:val="00A97035"/>
    <w:rsid w:val="00A9779C"/>
    <w:rsid w:val="00A97F1D"/>
    <w:rsid w:val="00A97F83"/>
    <w:rsid w:val="00A97FCD"/>
    <w:rsid w:val="00AA052E"/>
    <w:rsid w:val="00AA100E"/>
    <w:rsid w:val="00AA1608"/>
    <w:rsid w:val="00AA17FA"/>
    <w:rsid w:val="00AA1ACA"/>
    <w:rsid w:val="00AA1D1F"/>
    <w:rsid w:val="00AA32EB"/>
    <w:rsid w:val="00AA3901"/>
    <w:rsid w:val="00AA3A5D"/>
    <w:rsid w:val="00AA3E0E"/>
    <w:rsid w:val="00AA4701"/>
    <w:rsid w:val="00AA5134"/>
    <w:rsid w:val="00AA565C"/>
    <w:rsid w:val="00AA5E9B"/>
    <w:rsid w:val="00AA6183"/>
    <w:rsid w:val="00AA69E2"/>
    <w:rsid w:val="00AA6C4C"/>
    <w:rsid w:val="00AA6FE4"/>
    <w:rsid w:val="00AA7BA3"/>
    <w:rsid w:val="00AB03B7"/>
    <w:rsid w:val="00AB09F7"/>
    <w:rsid w:val="00AB0CE5"/>
    <w:rsid w:val="00AB0EB4"/>
    <w:rsid w:val="00AB16F4"/>
    <w:rsid w:val="00AB17CF"/>
    <w:rsid w:val="00AB1D3D"/>
    <w:rsid w:val="00AB1F37"/>
    <w:rsid w:val="00AB2355"/>
    <w:rsid w:val="00AB2636"/>
    <w:rsid w:val="00AB2FB0"/>
    <w:rsid w:val="00AB30BC"/>
    <w:rsid w:val="00AB38A8"/>
    <w:rsid w:val="00AB4C64"/>
    <w:rsid w:val="00AB519E"/>
    <w:rsid w:val="00AB532A"/>
    <w:rsid w:val="00AB53F1"/>
    <w:rsid w:val="00AB599F"/>
    <w:rsid w:val="00AB5AFB"/>
    <w:rsid w:val="00AB7C03"/>
    <w:rsid w:val="00AC0875"/>
    <w:rsid w:val="00AC10D6"/>
    <w:rsid w:val="00AC11BB"/>
    <w:rsid w:val="00AC1390"/>
    <w:rsid w:val="00AC13C6"/>
    <w:rsid w:val="00AC16E2"/>
    <w:rsid w:val="00AC3773"/>
    <w:rsid w:val="00AC3CC7"/>
    <w:rsid w:val="00AC43AD"/>
    <w:rsid w:val="00AC49BC"/>
    <w:rsid w:val="00AC5117"/>
    <w:rsid w:val="00AC6306"/>
    <w:rsid w:val="00AC632B"/>
    <w:rsid w:val="00AC6C35"/>
    <w:rsid w:val="00AC7869"/>
    <w:rsid w:val="00AD0357"/>
    <w:rsid w:val="00AD04C0"/>
    <w:rsid w:val="00AD0B56"/>
    <w:rsid w:val="00AD0D6F"/>
    <w:rsid w:val="00AD15B3"/>
    <w:rsid w:val="00AD1800"/>
    <w:rsid w:val="00AD1A51"/>
    <w:rsid w:val="00AD1B68"/>
    <w:rsid w:val="00AD2385"/>
    <w:rsid w:val="00AD2BED"/>
    <w:rsid w:val="00AD2F0D"/>
    <w:rsid w:val="00AD450A"/>
    <w:rsid w:val="00AD5036"/>
    <w:rsid w:val="00AD5B64"/>
    <w:rsid w:val="00AD6D0F"/>
    <w:rsid w:val="00AE0310"/>
    <w:rsid w:val="00AE1365"/>
    <w:rsid w:val="00AE15F5"/>
    <w:rsid w:val="00AE45F8"/>
    <w:rsid w:val="00AE4B3B"/>
    <w:rsid w:val="00AE4F6E"/>
    <w:rsid w:val="00AE6C0B"/>
    <w:rsid w:val="00AE6E7C"/>
    <w:rsid w:val="00AE70E0"/>
    <w:rsid w:val="00AE766C"/>
    <w:rsid w:val="00AE7F5C"/>
    <w:rsid w:val="00AF151D"/>
    <w:rsid w:val="00AF2D43"/>
    <w:rsid w:val="00AF2E2E"/>
    <w:rsid w:val="00AF3DA5"/>
    <w:rsid w:val="00AF3FA9"/>
    <w:rsid w:val="00AF4FAE"/>
    <w:rsid w:val="00AF5ADD"/>
    <w:rsid w:val="00AF5B15"/>
    <w:rsid w:val="00AF6A7F"/>
    <w:rsid w:val="00AF747B"/>
    <w:rsid w:val="00AF7588"/>
    <w:rsid w:val="00AF7727"/>
    <w:rsid w:val="00AF79AF"/>
    <w:rsid w:val="00B001AD"/>
    <w:rsid w:val="00B00F49"/>
    <w:rsid w:val="00B013D5"/>
    <w:rsid w:val="00B02509"/>
    <w:rsid w:val="00B03DA2"/>
    <w:rsid w:val="00B045F3"/>
    <w:rsid w:val="00B052AA"/>
    <w:rsid w:val="00B0533B"/>
    <w:rsid w:val="00B05979"/>
    <w:rsid w:val="00B059A2"/>
    <w:rsid w:val="00B06AEA"/>
    <w:rsid w:val="00B06BBA"/>
    <w:rsid w:val="00B075D2"/>
    <w:rsid w:val="00B11304"/>
    <w:rsid w:val="00B12A0B"/>
    <w:rsid w:val="00B13233"/>
    <w:rsid w:val="00B1416B"/>
    <w:rsid w:val="00B1488C"/>
    <w:rsid w:val="00B14A87"/>
    <w:rsid w:val="00B14D60"/>
    <w:rsid w:val="00B15159"/>
    <w:rsid w:val="00B158B6"/>
    <w:rsid w:val="00B168FD"/>
    <w:rsid w:val="00B170D6"/>
    <w:rsid w:val="00B178F7"/>
    <w:rsid w:val="00B20352"/>
    <w:rsid w:val="00B208D3"/>
    <w:rsid w:val="00B209DD"/>
    <w:rsid w:val="00B20AFB"/>
    <w:rsid w:val="00B21870"/>
    <w:rsid w:val="00B21F83"/>
    <w:rsid w:val="00B2208E"/>
    <w:rsid w:val="00B226A9"/>
    <w:rsid w:val="00B22860"/>
    <w:rsid w:val="00B22F53"/>
    <w:rsid w:val="00B23755"/>
    <w:rsid w:val="00B23F07"/>
    <w:rsid w:val="00B24D89"/>
    <w:rsid w:val="00B252ED"/>
    <w:rsid w:val="00B26880"/>
    <w:rsid w:val="00B27295"/>
    <w:rsid w:val="00B2760C"/>
    <w:rsid w:val="00B27A4E"/>
    <w:rsid w:val="00B3032F"/>
    <w:rsid w:val="00B307CC"/>
    <w:rsid w:val="00B3095F"/>
    <w:rsid w:val="00B30B15"/>
    <w:rsid w:val="00B31016"/>
    <w:rsid w:val="00B31538"/>
    <w:rsid w:val="00B318DB"/>
    <w:rsid w:val="00B31AB2"/>
    <w:rsid w:val="00B3404F"/>
    <w:rsid w:val="00B348C4"/>
    <w:rsid w:val="00B3499B"/>
    <w:rsid w:val="00B34B62"/>
    <w:rsid w:val="00B34C46"/>
    <w:rsid w:val="00B350EF"/>
    <w:rsid w:val="00B3510C"/>
    <w:rsid w:val="00B35549"/>
    <w:rsid w:val="00B35976"/>
    <w:rsid w:val="00B369BB"/>
    <w:rsid w:val="00B37796"/>
    <w:rsid w:val="00B37B26"/>
    <w:rsid w:val="00B37EC1"/>
    <w:rsid w:val="00B410C8"/>
    <w:rsid w:val="00B41556"/>
    <w:rsid w:val="00B42142"/>
    <w:rsid w:val="00B421DD"/>
    <w:rsid w:val="00B43B07"/>
    <w:rsid w:val="00B4438F"/>
    <w:rsid w:val="00B450DC"/>
    <w:rsid w:val="00B45BF8"/>
    <w:rsid w:val="00B461F5"/>
    <w:rsid w:val="00B462FA"/>
    <w:rsid w:val="00B470C7"/>
    <w:rsid w:val="00B473D9"/>
    <w:rsid w:val="00B50328"/>
    <w:rsid w:val="00B51597"/>
    <w:rsid w:val="00B517C1"/>
    <w:rsid w:val="00B517D8"/>
    <w:rsid w:val="00B51D42"/>
    <w:rsid w:val="00B529F7"/>
    <w:rsid w:val="00B52A5B"/>
    <w:rsid w:val="00B52CE8"/>
    <w:rsid w:val="00B531A0"/>
    <w:rsid w:val="00B53390"/>
    <w:rsid w:val="00B54C9F"/>
    <w:rsid w:val="00B54CA0"/>
    <w:rsid w:val="00B54DDB"/>
    <w:rsid w:val="00B55498"/>
    <w:rsid w:val="00B56B2F"/>
    <w:rsid w:val="00B56F35"/>
    <w:rsid w:val="00B577FF"/>
    <w:rsid w:val="00B57BDE"/>
    <w:rsid w:val="00B611A4"/>
    <w:rsid w:val="00B61998"/>
    <w:rsid w:val="00B61C3A"/>
    <w:rsid w:val="00B61F47"/>
    <w:rsid w:val="00B627E4"/>
    <w:rsid w:val="00B62A8F"/>
    <w:rsid w:val="00B6382D"/>
    <w:rsid w:val="00B6518E"/>
    <w:rsid w:val="00B653CD"/>
    <w:rsid w:val="00B659C3"/>
    <w:rsid w:val="00B661E5"/>
    <w:rsid w:val="00B6697C"/>
    <w:rsid w:val="00B66DB5"/>
    <w:rsid w:val="00B66E63"/>
    <w:rsid w:val="00B6734E"/>
    <w:rsid w:val="00B67D2C"/>
    <w:rsid w:val="00B70977"/>
    <w:rsid w:val="00B70F21"/>
    <w:rsid w:val="00B71075"/>
    <w:rsid w:val="00B715F9"/>
    <w:rsid w:val="00B71959"/>
    <w:rsid w:val="00B719AE"/>
    <w:rsid w:val="00B73DCD"/>
    <w:rsid w:val="00B743A6"/>
    <w:rsid w:val="00B746EC"/>
    <w:rsid w:val="00B74F76"/>
    <w:rsid w:val="00B7517C"/>
    <w:rsid w:val="00B7529E"/>
    <w:rsid w:val="00B758CE"/>
    <w:rsid w:val="00B759BB"/>
    <w:rsid w:val="00B76A2A"/>
    <w:rsid w:val="00B77159"/>
    <w:rsid w:val="00B77393"/>
    <w:rsid w:val="00B773CE"/>
    <w:rsid w:val="00B7765E"/>
    <w:rsid w:val="00B77D79"/>
    <w:rsid w:val="00B805D1"/>
    <w:rsid w:val="00B80D48"/>
    <w:rsid w:val="00B80F83"/>
    <w:rsid w:val="00B812C8"/>
    <w:rsid w:val="00B8130F"/>
    <w:rsid w:val="00B81B72"/>
    <w:rsid w:val="00B822E8"/>
    <w:rsid w:val="00B829F0"/>
    <w:rsid w:val="00B83AB5"/>
    <w:rsid w:val="00B850D3"/>
    <w:rsid w:val="00B86041"/>
    <w:rsid w:val="00B86FF5"/>
    <w:rsid w:val="00B876C1"/>
    <w:rsid w:val="00B8785B"/>
    <w:rsid w:val="00B902B5"/>
    <w:rsid w:val="00B90DB7"/>
    <w:rsid w:val="00B90E84"/>
    <w:rsid w:val="00B910F4"/>
    <w:rsid w:val="00B91256"/>
    <w:rsid w:val="00B91341"/>
    <w:rsid w:val="00B919D9"/>
    <w:rsid w:val="00B922E7"/>
    <w:rsid w:val="00B92DC9"/>
    <w:rsid w:val="00B93667"/>
    <w:rsid w:val="00B938DB"/>
    <w:rsid w:val="00B94089"/>
    <w:rsid w:val="00B9507B"/>
    <w:rsid w:val="00B9558F"/>
    <w:rsid w:val="00B9564C"/>
    <w:rsid w:val="00B956D3"/>
    <w:rsid w:val="00B95807"/>
    <w:rsid w:val="00B95925"/>
    <w:rsid w:val="00B95C41"/>
    <w:rsid w:val="00B95CB9"/>
    <w:rsid w:val="00B96077"/>
    <w:rsid w:val="00B96482"/>
    <w:rsid w:val="00B964C1"/>
    <w:rsid w:val="00B9652B"/>
    <w:rsid w:val="00B97B6A"/>
    <w:rsid w:val="00BA02EF"/>
    <w:rsid w:val="00BA0BCE"/>
    <w:rsid w:val="00BA182A"/>
    <w:rsid w:val="00BA1B3F"/>
    <w:rsid w:val="00BA2837"/>
    <w:rsid w:val="00BA294D"/>
    <w:rsid w:val="00BA2EB0"/>
    <w:rsid w:val="00BA3AE2"/>
    <w:rsid w:val="00BA3E24"/>
    <w:rsid w:val="00BA4374"/>
    <w:rsid w:val="00BA48D9"/>
    <w:rsid w:val="00BA4AFD"/>
    <w:rsid w:val="00BA53F7"/>
    <w:rsid w:val="00BA5B8F"/>
    <w:rsid w:val="00BA602F"/>
    <w:rsid w:val="00BA62C7"/>
    <w:rsid w:val="00BA637E"/>
    <w:rsid w:val="00BA7A40"/>
    <w:rsid w:val="00BA7AA5"/>
    <w:rsid w:val="00BA7B13"/>
    <w:rsid w:val="00BB0682"/>
    <w:rsid w:val="00BB0793"/>
    <w:rsid w:val="00BB09D3"/>
    <w:rsid w:val="00BB0E6F"/>
    <w:rsid w:val="00BB0EC3"/>
    <w:rsid w:val="00BB0ED9"/>
    <w:rsid w:val="00BB1F9D"/>
    <w:rsid w:val="00BB20F6"/>
    <w:rsid w:val="00BB27B9"/>
    <w:rsid w:val="00BB2F05"/>
    <w:rsid w:val="00BB3328"/>
    <w:rsid w:val="00BB397A"/>
    <w:rsid w:val="00BB3A89"/>
    <w:rsid w:val="00BB471B"/>
    <w:rsid w:val="00BB47DA"/>
    <w:rsid w:val="00BB5A33"/>
    <w:rsid w:val="00BB697A"/>
    <w:rsid w:val="00BB6CEE"/>
    <w:rsid w:val="00BB6FDD"/>
    <w:rsid w:val="00BB78EB"/>
    <w:rsid w:val="00BB794A"/>
    <w:rsid w:val="00BB7FCC"/>
    <w:rsid w:val="00BC0B8A"/>
    <w:rsid w:val="00BC10B9"/>
    <w:rsid w:val="00BC16C0"/>
    <w:rsid w:val="00BC238A"/>
    <w:rsid w:val="00BC2C60"/>
    <w:rsid w:val="00BC2E3E"/>
    <w:rsid w:val="00BC3682"/>
    <w:rsid w:val="00BC37C6"/>
    <w:rsid w:val="00BC4121"/>
    <w:rsid w:val="00BC4242"/>
    <w:rsid w:val="00BC43C8"/>
    <w:rsid w:val="00BC4C9D"/>
    <w:rsid w:val="00BC55C4"/>
    <w:rsid w:val="00BC5BC4"/>
    <w:rsid w:val="00BC60D9"/>
    <w:rsid w:val="00BC6408"/>
    <w:rsid w:val="00BC67BB"/>
    <w:rsid w:val="00BC6965"/>
    <w:rsid w:val="00BC6FE9"/>
    <w:rsid w:val="00BC758B"/>
    <w:rsid w:val="00BC773F"/>
    <w:rsid w:val="00BC7DF6"/>
    <w:rsid w:val="00BD03C2"/>
    <w:rsid w:val="00BD083B"/>
    <w:rsid w:val="00BD0A86"/>
    <w:rsid w:val="00BD1170"/>
    <w:rsid w:val="00BD165E"/>
    <w:rsid w:val="00BD25A7"/>
    <w:rsid w:val="00BD347A"/>
    <w:rsid w:val="00BD3B4A"/>
    <w:rsid w:val="00BD4041"/>
    <w:rsid w:val="00BD4735"/>
    <w:rsid w:val="00BD4846"/>
    <w:rsid w:val="00BD4F2F"/>
    <w:rsid w:val="00BD552A"/>
    <w:rsid w:val="00BD6509"/>
    <w:rsid w:val="00BD6E03"/>
    <w:rsid w:val="00BD6F55"/>
    <w:rsid w:val="00BD7379"/>
    <w:rsid w:val="00BD751F"/>
    <w:rsid w:val="00BD7B43"/>
    <w:rsid w:val="00BD7C8A"/>
    <w:rsid w:val="00BE0520"/>
    <w:rsid w:val="00BE0CFF"/>
    <w:rsid w:val="00BE12A9"/>
    <w:rsid w:val="00BE2271"/>
    <w:rsid w:val="00BE2520"/>
    <w:rsid w:val="00BE3B9B"/>
    <w:rsid w:val="00BE3C54"/>
    <w:rsid w:val="00BE4425"/>
    <w:rsid w:val="00BE478C"/>
    <w:rsid w:val="00BE4EEF"/>
    <w:rsid w:val="00BE596F"/>
    <w:rsid w:val="00BE6990"/>
    <w:rsid w:val="00BE75C8"/>
    <w:rsid w:val="00BF0BD8"/>
    <w:rsid w:val="00BF1078"/>
    <w:rsid w:val="00BF1171"/>
    <w:rsid w:val="00BF1ED8"/>
    <w:rsid w:val="00BF2168"/>
    <w:rsid w:val="00BF2348"/>
    <w:rsid w:val="00BF29D2"/>
    <w:rsid w:val="00BF4E68"/>
    <w:rsid w:val="00BF559E"/>
    <w:rsid w:val="00BF58B9"/>
    <w:rsid w:val="00BF645F"/>
    <w:rsid w:val="00BF6464"/>
    <w:rsid w:val="00BF6949"/>
    <w:rsid w:val="00BF6E8F"/>
    <w:rsid w:val="00BF74F2"/>
    <w:rsid w:val="00BF7506"/>
    <w:rsid w:val="00BF782F"/>
    <w:rsid w:val="00BF7926"/>
    <w:rsid w:val="00C00675"/>
    <w:rsid w:val="00C0096D"/>
    <w:rsid w:val="00C00FF1"/>
    <w:rsid w:val="00C022DC"/>
    <w:rsid w:val="00C02394"/>
    <w:rsid w:val="00C02CCB"/>
    <w:rsid w:val="00C02E09"/>
    <w:rsid w:val="00C02E14"/>
    <w:rsid w:val="00C02F10"/>
    <w:rsid w:val="00C03811"/>
    <w:rsid w:val="00C04200"/>
    <w:rsid w:val="00C04513"/>
    <w:rsid w:val="00C04844"/>
    <w:rsid w:val="00C049BF"/>
    <w:rsid w:val="00C04CFD"/>
    <w:rsid w:val="00C062B1"/>
    <w:rsid w:val="00C0693C"/>
    <w:rsid w:val="00C06FD1"/>
    <w:rsid w:val="00C07A97"/>
    <w:rsid w:val="00C10779"/>
    <w:rsid w:val="00C1167C"/>
    <w:rsid w:val="00C11756"/>
    <w:rsid w:val="00C11DA7"/>
    <w:rsid w:val="00C11E41"/>
    <w:rsid w:val="00C12260"/>
    <w:rsid w:val="00C12C5E"/>
    <w:rsid w:val="00C12FC1"/>
    <w:rsid w:val="00C13196"/>
    <w:rsid w:val="00C1450A"/>
    <w:rsid w:val="00C14850"/>
    <w:rsid w:val="00C1535A"/>
    <w:rsid w:val="00C17458"/>
    <w:rsid w:val="00C177CE"/>
    <w:rsid w:val="00C17984"/>
    <w:rsid w:val="00C17A99"/>
    <w:rsid w:val="00C20046"/>
    <w:rsid w:val="00C2067C"/>
    <w:rsid w:val="00C2188C"/>
    <w:rsid w:val="00C2191C"/>
    <w:rsid w:val="00C22C31"/>
    <w:rsid w:val="00C23233"/>
    <w:rsid w:val="00C234EF"/>
    <w:rsid w:val="00C246BD"/>
    <w:rsid w:val="00C24DC3"/>
    <w:rsid w:val="00C26336"/>
    <w:rsid w:val="00C27075"/>
    <w:rsid w:val="00C274A5"/>
    <w:rsid w:val="00C27870"/>
    <w:rsid w:val="00C27981"/>
    <w:rsid w:val="00C27B08"/>
    <w:rsid w:val="00C27F54"/>
    <w:rsid w:val="00C3101C"/>
    <w:rsid w:val="00C314FD"/>
    <w:rsid w:val="00C329E8"/>
    <w:rsid w:val="00C3312F"/>
    <w:rsid w:val="00C33757"/>
    <w:rsid w:val="00C33AF1"/>
    <w:rsid w:val="00C3443F"/>
    <w:rsid w:val="00C350C9"/>
    <w:rsid w:val="00C3513D"/>
    <w:rsid w:val="00C40ADB"/>
    <w:rsid w:val="00C41317"/>
    <w:rsid w:val="00C41FC2"/>
    <w:rsid w:val="00C43D64"/>
    <w:rsid w:val="00C44515"/>
    <w:rsid w:val="00C44DAA"/>
    <w:rsid w:val="00C45895"/>
    <w:rsid w:val="00C45D34"/>
    <w:rsid w:val="00C45D5F"/>
    <w:rsid w:val="00C45DD1"/>
    <w:rsid w:val="00C4610A"/>
    <w:rsid w:val="00C465F0"/>
    <w:rsid w:val="00C4671F"/>
    <w:rsid w:val="00C46833"/>
    <w:rsid w:val="00C471F1"/>
    <w:rsid w:val="00C47838"/>
    <w:rsid w:val="00C47DDF"/>
    <w:rsid w:val="00C47F1B"/>
    <w:rsid w:val="00C47FB3"/>
    <w:rsid w:val="00C50139"/>
    <w:rsid w:val="00C50AE7"/>
    <w:rsid w:val="00C5160A"/>
    <w:rsid w:val="00C518BA"/>
    <w:rsid w:val="00C51D2A"/>
    <w:rsid w:val="00C526BA"/>
    <w:rsid w:val="00C52DD4"/>
    <w:rsid w:val="00C53185"/>
    <w:rsid w:val="00C53297"/>
    <w:rsid w:val="00C5373C"/>
    <w:rsid w:val="00C543BC"/>
    <w:rsid w:val="00C54D9F"/>
    <w:rsid w:val="00C56AEB"/>
    <w:rsid w:val="00C570E7"/>
    <w:rsid w:val="00C57164"/>
    <w:rsid w:val="00C57271"/>
    <w:rsid w:val="00C5772B"/>
    <w:rsid w:val="00C6003C"/>
    <w:rsid w:val="00C60436"/>
    <w:rsid w:val="00C607B3"/>
    <w:rsid w:val="00C60DBC"/>
    <w:rsid w:val="00C61445"/>
    <w:rsid w:val="00C62047"/>
    <w:rsid w:val="00C620AB"/>
    <w:rsid w:val="00C620DA"/>
    <w:rsid w:val="00C63582"/>
    <w:rsid w:val="00C63E57"/>
    <w:rsid w:val="00C6462A"/>
    <w:rsid w:val="00C6469D"/>
    <w:rsid w:val="00C64CCF"/>
    <w:rsid w:val="00C64E5B"/>
    <w:rsid w:val="00C6580C"/>
    <w:rsid w:val="00C66263"/>
    <w:rsid w:val="00C67887"/>
    <w:rsid w:val="00C67B42"/>
    <w:rsid w:val="00C67E0B"/>
    <w:rsid w:val="00C7036D"/>
    <w:rsid w:val="00C71BE7"/>
    <w:rsid w:val="00C72AE4"/>
    <w:rsid w:val="00C72D6C"/>
    <w:rsid w:val="00C73CB4"/>
    <w:rsid w:val="00C74E98"/>
    <w:rsid w:val="00C75202"/>
    <w:rsid w:val="00C7574C"/>
    <w:rsid w:val="00C75909"/>
    <w:rsid w:val="00C75E4E"/>
    <w:rsid w:val="00C7749B"/>
    <w:rsid w:val="00C77709"/>
    <w:rsid w:val="00C77F10"/>
    <w:rsid w:val="00C805AA"/>
    <w:rsid w:val="00C80B3E"/>
    <w:rsid w:val="00C817EC"/>
    <w:rsid w:val="00C81CCE"/>
    <w:rsid w:val="00C81E3E"/>
    <w:rsid w:val="00C82739"/>
    <w:rsid w:val="00C83125"/>
    <w:rsid w:val="00C8347B"/>
    <w:rsid w:val="00C834B2"/>
    <w:rsid w:val="00C83656"/>
    <w:rsid w:val="00C84C5A"/>
    <w:rsid w:val="00C84C8D"/>
    <w:rsid w:val="00C851D7"/>
    <w:rsid w:val="00C855E0"/>
    <w:rsid w:val="00C858DD"/>
    <w:rsid w:val="00C85F1E"/>
    <w:rsid w:val="00C86171"/>
    <w:rsid w:val="00C86AF4"/>
    <w:rsid w:val="00C86B25"/>
    <w:rsid w:val="00C86CE8"/>
    <w:rsid w:val="00C87863"/>
    <w:rsid w:val="00C9101E"/>
    <w:rsid w:val="00C91E0F"/>
    <w:rsid w:val="00C92161"/>
    <w:rsid w:val="00C92C7C"/>
    <w:rsid w:val="00C9365B"/>
    <w:rsid w:val="00C9379B"/>
    <w:rsid w:val="00C93F53"/>
    <w:rsid w:val="00C94221"/>
    <w:rsid w:val="00C949D3"/>
    <w:rsid w:val="00C94C54"/>
    <w:rsid w:val="00C95090"/>
    <w:rsid w:val="00C953C3"/>
    <w:rsid w:val="00C95EF2"/>
    <w:rsid w:val="00C974F2"/>
    <w:rsid w:val="00C97F2B"/>
    <w:rsid w:val="00CA0329"/>
    <w:rsid w:val="00CA043C"/>
    <w:rsid w:val="00CA05C4"/>
    <w:rsid w:val="00CA0915"/>
    <w:rsid w:val="00CA1B06"/>
    <w:rsid w:val="00CA2963"/>
    <w:rsid w:val="00CA3039"/>
    <w:rsid w:val="00CA3211"/>
    <w:rsid w:val="00CA582C"/>
    <w:rsid w:val="00CA596D"/>
    <w:rsid w:val="00CA5A6E"/>
    <w:rsid w:val="00CA63C1"/>
    <w:rsid w:val="00CA7134"/>
    <w:rsid w:val="00CA7A54"/>
    <w:rsid w:val="00CA7C19"/>
    <w:rsid w:val="00CA7FEA"/>
    <w:rsid w:val="00CB0258"/>
    <w:rsid w:val="00CB0ADA"/>
    <w:rsid w:val="00CB1869"/>
    <w:rsid w:val="00CB1D6E"/>
    <w:rsid w:val="00CB1F4B"/>
    <w:rsid w:val="00CB22D6"/>
    <w:rsid w:val="00CB2502"/>
    <w:rsid w:val="00CB2B97"/>
    <w:rsid w:val="00CB35AB"/>
    <w:rsid w:val="00CB3660"/>
    <w:rsid w:val="00CB5C0E"/>
    <w:rsid w:val="00CB5FC0"/>
    <w:rsid w:val="00CB6085"/>
    <w:rsid w:val="00CB7B22"/>
    <w:rsid w:val="00CC0B0D"/>
    <w:rsid w:val="00CC16FA"/>
    <w:rsid w:val="00CC197C"/>
    <w:rsid w:val="00CC1CF0"/>
    <w:rsid w:val="00CC23BB"/>
    <w:rsid w:val="00CC469B"/>
    <w:rsid w:val="00CC4710"/>
    <w:rsid w:val="00CC4B3B"/>
    <w:rsid w:val="00CC4E69"/>
    <w:rsid w:val="00CC5BC5"/>
    <w:rsid w:val="00CC693E"/>
    <w:rsid w:val="00CC6F47"/>
    <w:rsid w:val="00CC7645"/>
    <w:rsid w:val="00CC797B"/>
    <w:rsid w:val="00CC7D26"/>
    <w:rsid w:val="00CC7FD8"/>
    <w:rsid w:val="00CD01CC"/>
    <w:rsid w:val="00CD0BF8"/>
    <w:rsid w:val="00CD106B"/>
    <w:rsid w:val="00CD1649"/>
    <w:rsid w:val="00CD210A"/>
    <w:rsid w:val="00CD2CC5"/>
    <w:rsid w:val="00CD3E6C"/>
    <w:rsid w:val="00CD4762"/>
    <w:rsid w:val="00CD5534"/>
    <w:rsid w:val="00CD594F"/>
    <w:rsid w:val="00CD5C29"/>
    <w:rsid w:val="00CD62FA"/>
    <w:rsid w:val="00CD69F6"/>
    <w:rsid w:val="00CD70C9"/>
    <w:rsid w:val="00CD75A1"/>
    <w:rsid w:val="00CE0882"/>
    <w:rsid w:val="00CE0886"/>
    <w:rsid w:val="00CE207B"/>
    <w:rsid w:val="00CE2987"/>
    <w:rsid w:val="00CE2A2E"/>
    <w:rsid w:val="00CE2CB1"/>
    <w:rsid w:val="00CE2D82"/>
    <w:rsid w:val="00CE300E"/>
    <w:rsid w:val="00CE332B"/>
    <w:rsid w:val="00CE424F"/>
    <w:rsid w:val="00CE4335"/>
    <w:rsid w:val="00CE459C"/>
    <w:rsid w:val="00CE462E"/>
    <w:rsid w:val="00CE49D0"/>
    <w:rsid w:val="00CE6188"/>
    <w:rsid w:val="00CE62A0"/>
    <w:rsid w:val="00CE758A"/>
    <w:rsid w:val="00CF01B0"/>
    <w:rsid w:val="00CF103D"/>
    <w:rsid w:val="00CF1B9B"/>
    <w:rsid w:val="00CF20CE"/>
    <w:rsid w:val="00CF360D"/>
    <w:rsid w:val="00CF37C3"/>
    <w:rsid w:val="00CF472A"/>
    <w:rsid w:val="00CF4924"/>
    <w:rsid w:val="00CF4CBA"/>
    <w:rsid w:val="00CF6F6E"/>
    <w:rsid w:val="00CF7547"/>
    <w:rsid w:val="00D0019C"/>
    <w:rsid w:val="00D00C10"/>
    <w:rsid w:val="00D00E0F"/>
    <w:rsid w:val="00D00FE0"/>
    <w:rsid w:val="00D0119B"/>
    <w:rsid w:val="00D01FA6"/>
    <w:rsid w:val="00D02900"/>
    <w:rsid w:val="00D0377B"/>
    <w:rsid w:val="00D04662"/>
    <w:rsid w:val="00D04BE6"/>
    <w:rsid w:val="00D04E2B"/>
    <w:rsid w:val="00D0514C"/>
    <w:rsid w:val="00D05654"/>
    <w:rsid w:val="00D0571E"/>
    <w:rsid w:val="00D058C8"/>
    <w:rsid w:val="00D06375"/>
    <w:rsid w:val="00D06D84"/>
    <w:rsid w:val="00D071EE"/>
    <w:rsid w:val="00D072DF"/>
    <w:rsid w:val="00D07DD5"/>
    <w:rsid w:val="00D107E3"/>
    <w:rsid w:val="00D10927"/>
    <w:rsid w:val="00D10C75"/>
    <w:rsid w:val="00D10ED3"/>
    <w:rsid w:val="00D10EE8"/>
    <w:rsid w:val="00D10FEF"/>
    <w:rsid w:val="00D11CF9"/>
    <w:rsid w:val="00D1224F"/>
    <w:rsid w:val="00D12C38"/>
    <w:rsid w:val="00D13529"/>
    <w:rsid w:val="00D13BBE"/>
    <w:rsid w:val="00D14B3D"/>
    <w:rsid w:val="00D14F28"/>
    <w:rsid w:val="00D15451"/>
    <w:rsid w:val="00D15703"/>
    <w:rsid w:val="00D173BB"/>
    <w:rsid w:val="00D173C9"/>
    <w:rsid w:val="00D17B18"/>
    <w:rsid w:val="00D17C57"/>
    <w:rsid w:val="00D17D74"/>
    <w:rsid w:val="00D208BD"/>
    <w:rsid w:val="00D20F91"/>
    <w:rsid w:val="00D21570"/>
    <w:rsid w:val="00D219B1"/>
    <w:rsid w:val="00D22142"/>
    <w:rsid w:val="00D2281A"/>
    <w:rsid w:val="00D22E78"/>
    <w:rsid w:val="00D23008"/>
    <w:rsid w:val="00D233C2"/>
    <w:rsid w:val="00D24581"/>
    <w:rsid w:val="00D24638"/>
    <w:rsid w:val="00D251D6"/>
    <w:rsid w:val="00D263F9"/>
    <w:rsid w:val="00D2651D"/>
    <w:rsid w:val="00D26A54"/>
    <w:rsid w:val="00D2730F"/>
    <w:rsid w:val="00D27899"/>
    <w:rsid w:val="00D27DB5"/>
    <w:rsid w:val="00D3024B"/>
    <w:rsid w:val="00D306C2"/>
    <w:rsid w:val="00D31107"/>
    <w:rsid w:val="00D31830"/>
    <w:rsid w:val="00D31D0F"/>
    <w:rsid w:val="00D31D73"/>
    <w:rsid w:val="00D32729"/>
    <w:rsid w:val="00D33826"/>
    <w:rsid w:val="00D339B3"/>
    <w:rsid w:val="00D33E9E"/>
    <w:rsid w:val="00D341F7"/>
    <w:rsid w:val="00D36347"/>
    <w:rsid w:val="00D36FA9"/>
    <w:rsid w:val="00D37708"/>
    <w:rsid w:val="00D434B6"/>
    <w:rsid w:val="00D435E4"/>
    <w:rsid w:val="00D444EE"/>
    <w:rsid w:val="00D44DB6"/>
    <w:rsid w:val="00D45134"/>
    <w:rsid w:val="00D4565F"/>
    <w:rsid w:val="00D45CA8"/>
    <w:rsid w:val="00D46B78"/>
    <w:rsid w:val="00D46C82"/>
    <w:rsid w:val="00D500B9"/>
    <w:rsid w:val="00D50118"/>
    <w:rsid w:val="00D503DA"/>
    <w:rsid w:val="00D5088F"/>
    <w:rsid w:val="00D5096D"/>
    <w:rsid w:val="00D50A19"/>
    <w:rsid w:val="00D50AAA"/>
    <w:rsid w:val="00D512BA"/>
    <w:rsid w:val="00D51E6E"/>
    <w:rsid w:val="00D52803"/>
    <w:rsid w:val="00D54854"/>
    <w:rsid w:val="00D54878"/>
    <w:rsid w:val="00D55901"/>
    <w:rsid w:val="00D55DFA"/>
    <w:rsid w:val="00D5611E"/>
    <w:rsid w:val="00D56E9B"/>
    <w:rsid w:val="00D56F88"/>
    <w:rsid w:val="00D57548"/>
    <w:rsid w:val="00D5797A"/>
    <w:rsid w:val="00D57DD6"/>
    <w:rsid w:val="00D608E4"/>
    <w:rsid w:val="00D60B7D"/>
    <w:rsid w:val="00D60C6A"/>
    <w:rsid w:val="00D61B43"/>
    <w:rsid w:val="00D61C87"/>
    <w:rsid w:val="00D61CBF"/>
    <w:rsid w:val="00D61E56"/>
    <w:rsid w:val="00D6272D"/>
    <w:rsid w:val="00D62D2F"/>
    <w:rsid w:val="00D62E26"/>
    <w:rsid w:val="00D62FA5"/>
    <w:rsid w:val="00D63816"/>
    <w:rsid w:val="00D6499E"/>
    <w:rsid w:val="00D64F22"/>
    <w:rsid w:val="00D64F25"/>
    <w:rsid w:val="00D6514C"/>
    <w:rsid w:val="00D6567E"/>
    <w:rsid w:val="00D659CB"/>
    <w:rsid w:val="00D659D1"/>
    <w:rsid w:val="00D66247"/>
    <w:rsid w:val="00D664A1"/>
    <w:rsid w:val="00D6683D"/>
    <w:rsid w:val="00D66E7E"/>
    <w:rsid w:val="00D66F8E"/>
    <w:rsid w:val="00D6730E"/>
    <w:rsid w:val="00D675BB"/>
    <w:rsid w:val="00D70328"/>
    <w:rsid w:val="00D7059B"/>
    <w:rsid w:val="00D7087F"/>
    <w:rsid w:val="00D7195D"/>
    <w:rsid w:val="00D72668"/>
    <w:rsid w:val="00D727AC"/>
    <w:rsid w:val="00D72804"/>
    <w:rsid w:val="00D72813"/>
    <w:rsid w:val="00D730BC"/>
    <w:rsid w:val="00D731FD"/>
    <w:rsid w:val="00D73662"/>
    <w:rsid w:val="00D736A4"/>
    <w:rsid w:val="00D73A43"/>
    <w:rsid w:val="00D741CB"/>
    <w:rsid w:val="00D75560"/>
    <w:rsid w:val="00D76C16"/>
    <w:rsid w:val="00D76CDB"/>
    <w:rsid w:val="00D77955"/>
    <w:rsid w:val="00D77C7B"/>
    <w:rsid w:val="00D80A58"/>
    <w:rsid w:val="00D80BCB"/>
    <w:rsid w:val="00D82BF1"/>
    <w:rsid w:val="00D82F12"/>
    <w:rsid w:val="00D837B0"/>
    <w:rsid w:val="00D83BBE"/>
    <w:rsid w:val="00D8422D"/>
    <w:rsid w:val="00D84D71"/>
    <w:rsid w:val="00D85257"/>
    <w:rsid w:val="00D85A19"/>
    <w:rsid w:val="00D866D7"/>
    <w:rsid w:val="00D87043"/>
    <w:rsid w:val="00D8737D"/>
    <w:rsid w:val="00D87688"/>
    <w:rsid w:val="00D9131C"/>
    <w:rsid w:val="00D953A0"/>
    <w:rsid w:val="00D96068"/>
    <w:rsid w:val="00D96ECF"/>
    <w:rsid w:val="00DA0DB7"/>
    <w:rsid w:val="00DA1A46"/>
    <w:rsid w:val="00DA1C56"/>
    <w:rsid w:val="00DA1D62"/>
    <w:rsid w:val="00DA1F09"/>
    <w:rsid w:val="00DA2E4A"/>
    <w:rsid w:val="00DA3103"/>
    <w:rsid w:val="00DA358F"/>
    <w:rsid w:val="00DA3DFC"/>
    <w:rsid w:val="00DA3ECF"/>
    <w:rsid w:val="00DA44A3"/>
    <w:rsid w:val="00DA4E8B"/>
    <w:rsid w:val="00DA52F0"/>
    <w:rsid w:val="00DA5450"/>
    <w:rsid w:val="00DA54C8"/>
    <w:rsid w:val="00DA5548"/>
    <w:rsid w:val="00DA59EF"/>
    <w:rsid w:val="00DA5C2F"/>
    <w:rsid w:val="00DA5CDB"/>
    <w:rsid w:val="00DA603C"/>
    <w:rsid w:val="00DA615D"/>
    <w:rsid w:val="00DA7188"/>
    <w:rsid w:val="00DA7A7F"/>
    <w:rsid w:val="00DB032D"/>
    <w:rsid w:val="00DB0CEE"/>
    <w:rsid w:val="00DB11CB"/>
    <w:rsid w:val="00DB136A"/>
    <w:rsid w:val="00DB1848"/>
    <w:rsid w:val="00DB1A01"/>
    <w:rsid w:val="00DB1EB3"/>
    <w:rsid w:val="00DB2455"/>
    <w:rsid w:val="00DB27F4"/>
    <w:rsid w:val="00DB2A60"/>
    <w:rsid w:val="00DB2A95"/>
    <w:rsid w:val="00DB2D8D"/>
    <w:rsid w:val="00DB34F4"/>
    <w:rsid w:val="00DB3C1F"/>
    <w:rsid w:val="00DB3CCB"/>
    <w:rsid w:val="00DB4C3F"/>
    <w:rsid w:val="00DB4FDC"/>
    <w:rsid w:val="00DB60BA"/>
    <w:rsid w:val="00DB6237"/>
    <w:rsid w:val="00DB63CA"/>
    <w:rsid w:val="00DB6B36"/>
    <w:rsid w:val="00DB6CE2"/>
    <w:rsid w:val="00DB70BF"/>
    <w:rsid w:val="00DB7106"/>
    <w:rsid w:val="00DB7160"/>
    <w:rsid w:val="00DB7827"/>
    <w:rsid w:val="00DB78D3"/>
    <w:rsid w:val="00DC0324"/>
    <w:rsid w:val="00DC1C56"/>
    <w:rsid w:val="00DC1DA4"/>
    <w:rsid w:val="00DC273E"/>
    <w:rsid w:val="00DC2CE1"/>
    <w:rsid w:val="00DC329C"/>
    <w:rsid w:val="00DC3D5B"/>
    <w:rsid w:val="00DC52FF"/>
    <w:rsid w:val="00DC705C"/>
    <w:rsid w:val="00DC7089"/>
    <w:rsid w:val="00DC7177"/>
    <w:rsid w:val="00DC78D9"/>
    <w:rsid w:val="00DC7C33"/>
    <w:rsid w:val="00DC7D97"/>
    <w:rsid w:val="00DD1939"/>
    <w:rsid w:val="00DD2188"/>
    <w:rsid w:val="00DD231C"/>
    <w:rsid w:val="00DD2716"/>
    <w:rsid w:val="00DD2CA7"/>
    <w:rsid w:val="00DD3A5F"/>
    <w:rsid w:val="00DD3F27"/>
    <w:rsid w:val="00DD435D"/>
    <w:rsid w:val="00DD486C"/>
    <w:rsid w:val="00DD4D14"/>
    <w:rsid w:val="00DD59A6"/>
    <w:rsid w:val="00DD640D"/>
    <w:rsid w:val="00DE00EE"/>
    <w:rsid w:val="00DE080A"/>
    <w:rsid w:val="00DE0B18"/>
    <w:rsid w:val="00DE0DE4"/>
    <w:rsid w:val="00DE13A0"/>
    <w:rsid w:val="00DE1402"/>
    <w:rsid w:val="00DE14C7"/>
    <w:rsid w:val="00DE161D"/>
    <w:rsid w:val="00DE246E"/>
    <w:rsid w:val="00DE2690"/>
    <w:rsid w:val="00DE2937"/>
    <w:rsid w:val="00DE2B30"/>
    <w:rsid w:val="00DE30DD"/>
    <w:rsid w:val="00DE310A"/>
    <w:rsid w:val="00DE3C34"/>
    <w:rsid w:val="00DE3EA4"/>
    <w:rsid w:val="00DE4040"/>
    <w:rsid w:val="00DE41CF"/>
    <w:rsid w:val="00DE44F0"/>
    <w:rsid w:val="00DE4BB4"/>
    <w:rsid w:val="00DE4E63"/>
    <w:rsid w:val="00DE50F6"/>
    <w:rsid w:val="00DE59B9"/>
    <w:rsid w:val="00DE5B78"/>
    <w:rsid w:val="00DE63F1"/>
    <w:rsid w:val="00DE6523"/>
    <w:rsid w:val="00DE66AE"/>
    <w:rsid w:val="00DE6CC6"/>
    <w:rsid w:val="00DE738E"/>
    <w:rsid w:val="00DE77CB"/>
    <w:rsid w:val="00DE77D4"/>
    <w:rsid w:val="00DE7C11"/>
    <w:rsid w:val="00DF1234"/>
    <w:rsid w:val="00DF12F8"/>
    <w:rsid w:val="00DF1CB4"/>
    <w:rsid w:val="00DF2AE4"/>
    <w:rsid w:val="00DF382C"/>
    <w:rsid w:val="00DF3A7A"/>
    <w:rsid w:val="00DF3BB3"/>
    <w:rsid w:val="00DF49E3"/>
    <w:rsid w:val="00DF500C"/>
    <w:rsid w:val="00DF54C7"/>
    <w:rsid w:val="00DF56C1"/>
    <w:rsid w:val="00DF5BFD"/>
    <w:rsid w:val="00DF5D29"/>
    <w:rsid w:val="00DF64B8"/>
    <w:rsid w:val="00DF6521"/>
    <w:rsid w:val="00DF674C"/>
    <w:rsid w:val="00DF6DE6"/>
    <w:rsid w:val="00E0003E"/>
    <w:rsid w:val="00E000CD"/>
    <w:rsid w:val="00E00A2E"/>
    <w:rsid w:val="00E00F61"/>
    <w:rsid w:val="00E00FDC"/>
    <w:rsid w:val="00E012C6"/>
    <w:rsid w:val="00E02332"/>
    <w:rsid w:val="00E0312E"/>
    <w:rsid w:val="00E03767"/>
    <w:rsid w:val="00E0387B"/>
    <w:rsid w:val="00E03C71"/>
    <w:rsid w:val="00E04243"/>
    <w:rsid w:val="00E05055"/>
    <w:rsid w:val="00E054D0"/>
    <w:rsid w:val="00E059E2"/>
    <w:rsid w:val="00E05CDE"/>
    <w:rsid w:val="00E0616B"/>
    <w:rsid w:val="00E07384"/>
    <w:rsid w:val="00E073E8"/>
    <w:rsid w:val="00E10121"/>
    <w:rsid w:val="00E10B0B"/>
    <w:rsid w:val="00E112CB"/>
    <w:rsid w:val="00E113C0"/>
    <w:rsid w:val="00E114CE"/>
    <w:rsid w:val="00E119CB"/>
    <w:rsid w:val="00E12DD4"/>
    <w:rsid w:val="00E12EB9"/>
    <w:rsid w:val="00E13316"/>
    <w:rsid w:val="00E13377"/>
    <w:rsid w:val="00E133E0"/>
    <w:rsid w:val="00E142BF"/>
    <w:rsid w:val="00E15023"/>
    <w:rsid w:val="00E1514D"/>
    <w:rsid w:val="00E15192"/>
    <w:rsid w:val="00E15308"/>
    <w:rsid w:val="00E155B6"/>
    <w:rsid w:val="00E1572B"/>
    <w:rsid w:val="00E15D97"/>
    <w:rsid w:val="00E177A7"/>
    <w:rsid w:val="00E2010F"/>
    <w:rsid w:val="00E20251"/>
    <w:rsid w:val="00E2120D"/>
    <w:rsid w:val="00E218EE"/>
    <w:rsid w:val="00E2238E"/>
    <w:rsid w:val="00E22AC9"/>
    <w:rsid w:val="00E235F3"/>
    <w:rsid w:val="00E2368F"/>
    <w:rsid w:val="00E238D2"/>
    <w:rsid w:val="00E23C2B"/>
    <w:rsid w:val="00E23DF0"/>
    <w:rsid w:val="00E23F4B"/>
    <w:rsid w:val="00E23F6C"/>
    <w:rsid w:val="00E24041"/>
    <w:rsid w:val="00E24ADC"/>
    <w:rsid w:val="00E24F99"/>
    <w:rsid w:val="00E25398"/>
    <w:rsid w:val="00E25813"/>
    <w:rsid w:val="00E25ACB"/>
    <w:rsid w:val="00E265EF"/>
    <w:rsid w:val="00E26A03"/>
    <w:rsid w:val="00E26A6F"/>
    <w:rsid w:val="00E26A8A"/>
    <w:rsid w:val="00E26C80"/>
    <w:rsid w:val="00E31056"/>
    <w:rsid w:val="00E31176"/>
    <w:rsid w:val="00E344B4"/>
    <w:rsid w:val="00E35304"/>
    <w:rsid w:val="00E353F9"/>
    <w:rsid w:val="00E358A5"/>
    <w:rsid w:val="00E35F43"/>
    <w:rsid w:val="00E369B3"/>
    <w:rsid w:val="00E36B0E"/>
    <w:rsid w:val="00E36C35"/>
    <w:rsid w:val="00E372F0"/>
    <w:rsid w:val="00E37899"/>
    <w:rsid w:val="00E37A91"/>
    <w:rsid w:val="00E37B88"/>
    <w:rsid w:val="00E37C76"/>
    <w:rsid w:val="00E37EBA"/>
    <w:rsid w:val="00E40001"/>
    <w:rsid w:val="00E40199"/>
    <w:rsid w:val="00E40832"/>
    <w:rsid w:val="00E41214"/>
    <w:rsid w:val="00E423DF"/>
    <w:rsid w:val="00E4250A"/>
    <w:rsid w:val="00E42703"/>
    <w:rsid w:val="00E427A4"/>
    <w:rsid w:val="00E43004"/>
    <w:rsid w:val="00E43A63"/>
    <w:rsid w:val="00E43B08"/>
    <w:rsid w:val="00E43F99"/>
    <w:rsid w:val="00E44438"/>
    <w:rsid w:val="00E44A5D"/>
    <w:rsid w:val="00E450BE"/>
    <w:rsid w:val="00E45281"/>
    <w:rsid w:val="00E46CBB"/>
    <w:rsid w:val="00E47364"/>
    <w:rsid w:val="00E4764A"/>
    <w:rsid w:val="00E50C92"/>
    <w:rsid w:val="00E51184"/>
    <w:rsid w:val="00E51190"/>
    <w:rsid w:val="00E516B4"/>
    <w:rsid w:val="00E51D5D"/>
    <w:rsid w:val="00E51FCF"/>
    <w:rsid w:val="00E5229A"/>
    <w:rsid w:val="00E5251F"/>
    <w:rsid w:val="00E526CF"/>
    <w:rsid w:val="00E52975"/>
    <w:rsid w:val="00E53744"/>
    <w:rsid w:val="00E53A87"/>
    <w:rsid w:val="00E53C77"/>
    <w:rsid w:val="00E548CA"/>
    <w:rsid w:val="00E5561E"/>
    <w:rsid w:val="00E565AB"/>
    <w:rsid w:val="00E56D8A"/>
    <w:rsid w:val="00E60421"/>
    <w:rsid w:val="00E60A07"/>
    <w:rsid w:val="00E60BBE"/>
    <w:rsid w:val="00E617D3"/>
    <w:rsid w:val="00E61D86"/>
    <w:rsid w:val="00E620EB"/>
    <w:rsid w:val="00E62440"/>
    <w:rsid w:val="00E62999"/>
    <w:rsid w:val="00E62CC2"/>
    <w:rsid w:val="00E62DEB"/>
    <w:rsid w:val="00E62EE2"/>
    <w:rsid w:val="00E631F1"/>
    <w:rsid w:val="00E63981"/>
    <w:rsid w:val="00E65219"/>
    <w:rsid w:val="00E6557F"/>
    <w:rsid w:val="00E65A77"/>
    <w:rsid w:val="00E65A90"/>
    <w:rsid w:val="00E65B95"/>
    <w:rsid w:val="00E65FDA"/>
    <w:rsid w:val="00E662D6"/>
    <w:rsid w:val="00E6632F"/>
    <w:rsid w:val="00E667E8"/>
    <w:rsid w:val="00E66A55"/>
    <w:rsid w:val="00E66FA4"/>
    <w:rsid w:val="00E67E32"/>
    <w:rsid w:val="00E708BF"/>
    <w:rsid w:val="00E7196E"/>
    <w:rsid w:val="00E71D4B"/>
    <w:rsid w:val="00E72912"/>
    <w:rsid w:val="00E7306A"/>
    <w:rsid w:val="00E73D3C"/>
    <w:rsid w:val="00E741F0"/>
    <w:rsid w:val="00E7428E"/>
    <w:rsid w:val="00E74505"/>
    <w:rsid w:val="00E746BC"/>
    <w:rsid w:val="00E74A88"/>
    <w:rsid w:val="00E75BE1"/>
    <w:rsid w:val="00E76094"/>
    <w:rsid w:val="00E766E3"/>
    <w:rsid w:val="00E768D9"/>
    <w:rsid w:val="00E76A91"/>
    <w:rsid w:val="00E76F8E"/>
    <w:rsid w:val="00E80FF7"/>
    <w:rsid w:val="00E81CB8"/>
    <w:rsid w:val="00E8325A"/>
    <w:rsid w:val="00E83977"/>
    <w:rsid w:val="00E84B1E"/>
    <w:rsid w:val="00E84B47"/>
    <w:rsid w:val="00E85DA7"/>
    <w:rsid w:val="00E8651D"/>
    <w:rsid w:val="00E86A8C"/>
    <w:rsid w:val="00E86BB3"/>
    <w:rsid w:val="00E87123"/>
    <w:rsid w:val="00E87959"/>
    <w:rsid w:val="00E879DE"/>
    <w:rsid w:val="00E87F29"/>
    <w:rsid w:val="00E90251"/>
    <w:rsid w:val="00E906DB"/>
    <w:rsid w:val="00E911EF"/>
    <w:rsid w:val="00E912B0"/>
    <w:rsid w:val="00E91656"/>
    <w:rsid w:val="00E9187A"/>
    <w:rsid w:val="00E918FE"/>
    <w:rsid w:val="00E91DB6"/>
    <w:rsid w:val="00E91EDA"/>
    <w:rsid w:val="00E925A0"/>
    <w:rsid w:val="00E929C5"/>
    <w:rsid w:val="00E93498"/>
    <w:rsid w:val="00E939EC"/>
    <w:rsid w:val="00E944F8"/>
    <w:rsid w:val="00E9489E"/>
    <w:rsid w:val="00E95173"/>
    <w:rsid w:val="00E955DB"/>
    <w:rsid w:val="00E95C86"/>
    <w:rsid w:val="00E95D89"/>
    <w:rsid w:val="00E974D3"/>
    <w:rsid w:val="00E975E7"/>
    <w:rsid w:val="00E97B8F"/>
    <w:rsid w:val="00EA011A"/>
    <w:rsid w:val="00EA01D5"/>
    <w:rsid w:val="00EA0439"/>
    <w:rsid w:val="00EA0BB5"/>
    <w:rsid w:val="00EA0E4B"/>
    <w:rsid w:val="00EA18B8"/>
    <w:rsid w:val="00EA2F4E"/>
    <w:rsid w:val="00EA3177"/>
    <w:rsid w:val="00EA347A"/>
    <w:rsid w:val="00EA3605"/>
    <w:rsid w:val="00EA414E"/>
    <w:rsid w:val="00EA49D2"/>
    <w:rsid w:val="00EA4E70"/>
    <w:rsid w:val="00EA6A85"/>
    <w:rsid w:val="00EA7788"/>
    <w:rsid w:val="00EB0B9C"/>
    <w:rsid w:val="00EB260D"/>
    <w:rsid w:val="00EB331D"/>
    <w:rsid w:val="00EB34BF"/>
    <w:rsid w:val="00EB3FA5"/>
    <w:rsid w:val="00EB492D"/>
    <w:rsid w:val="00EB4BCC"/>
    <w:rsid w:val="00EB574C"/>
    <w:rsid w:val="00EB58CB"/>
    <w:rsid w:val="00EB68D8"/>
    <w:rsid w:val="00EB6915"/>
    <w:rsid w:val="00EB775E"/>
    <w:rsid w:val="00EC00B8"/>
    <w:rsid w:val="00EC0709"/>
    <w:rsid w:val="00EC0D30"/>
    <w:rsid w:val="00EC0F93"/>
    <w:rsid w:val="00EC2496"/>
    <w:rsid w:val="00EC2A98"/>
    <w:rsid w:val="00EC4185"/>
    <w:rsid w:val="00EC4341"/>
    <w:rsid w:val="00EC4749"/>
    <w:rsid w:val="00EC4DDB"/>
    <w:rsid w:val="00EC51EB"/>
    <w:rsid w:val="00EC58CD"/>
    <w:rsid w:val="00EC5EBF"/>
    <w:rsid w:val="00EC5EDB"/>
    <w:rsid w:val="00EC6E74"/>
    <w:rsid w:val="00EC6EA9"/>
    <w:rsid w:val="00ED08B8"/>
    <w:rsid w:val="00ED091B"/>
    <w:rsid w:val="00ED0E57"/>
    <w:rsid w:val="00ED142C"/>
    <w:rsid w:val="00ED369F"/>
    <w:rsid w:val="00ED425F"/>
    <w:rsid w:val="00ED4746"/>
    <w:rsid w:val="00ED496A"/>
    <w:rsid w:val="00ED4BBE"/>
    <w:rsid w:val="00ED4EE6"/>
    <w:rsid w:val="00ED6068"/>
    <w:rsid w:val="00ED7AE9"/>
    <w:rsid w:val="00EE16B1"/>
    <w:rsid w:val="00EE177B"/>
    <w:rsid w:val="00EE1CCA"/>
    <w:rsid w:val="00EE26E4"/>
    <w:rsid w:val="00EE32DA"/>
    <w:rsid w:val="00EE34DF"/>
    <w:rsid w:val="00EE41B5"/>
    <w:rsid w:val="00EE45E5"/>
    <w:rsid w:val="00EE4CE7"/>
    <w:rsid w:val="00EE4D5A"/>
    <w:rsid w:val="00EE4E30"/>
    <w:rsid w:val="00EE5088"/>
    <w:rsid w:val="00EE56FE"/>
    <w:rsid w:val="00EE5B71"/>
    <w:rsid w:val="00EE6023"/>
    <w:rsid w:val="00EE7548"/>
    <w:rsid w:val="00EF0E01"/>
    <w:rsid w:val="00EF1B97"/>
    <w:rsid w:val="00EF21FC"/>
    <w:rsid w:val="00EF2241"/>
    <w:rsid w:val="00EF2B81"/>
    <w:rsid w:val="00EF3F27"/>
    <w:rsid w:val="00EF4945"/>
    <w:rsid w:val="00EF4C75"/>
    <w:rsid w:val="00EF4F24"/>
    <w:rsid w:val="00EF51FA"/>
    <w:rsid w:val="00EF68FB"/>
    <w:rsid w:val="00EF6946"/>
    <w:rsid w:val="00EF7585"/>
    <w:rsid w:val="00EF75F6"/>
    <w:rsid w:val="00EF78E7"/>
    <w:rsid w:val="00F005AC"/>
    <w:rsid w:val="00F00F90"/>
    <w:rsid w:val="00F01334"/>
    <w:rsid w:val="00F0180F"/>
    <w:rsid w:val="00F02346"/>
    <w:rsid w:val="00F02488"/>
    <w:rsid w:val="00F029A8"/>
    <w:rsid w:val="00F03F60"/>
    <w:rsid w:val="00F04780"/>
    <w:rsid w:val="00F05843"/>
    <w:rsid w:val="00F066BD"/>
    <w:rsid w:val="00F06D4F"/>
    <w:rsid w:val="00F06DDA"/>
    <w:rsid w:val="00F07082"/>
    <w:rsid w:val="00F0738D"/>
    <w:rsid w:val="00F074E1"/>
    <w:rsid w:val="00F077AF"/>
    <w:rsid w:val="00F07D30"/>
    <w:rsid w:val="00F1099E"/>
    <w:rsid w:val="00F10B2A"/>
    <w:rsid w:val="00F11361"/>
    <w:rsid w:val="00F11CFA"/>
    <w:rsid w:val="00F12457"/>
    <w:rsid w:val="00F13B84"/>
    <w:rsid w:val="00F150B0"/>
    <w:rsid w:val="00F15296"/>
    <w:rsid w:val="00F158AB"/>
    <w:rsid w:val="00F15D6A"/>
    <w:rsid w:val="00F16141"/>
    <w:rsid w:val="00F162B1"/>
    <w:rsid w:val="00F205CC"/>
    <w:rsid w:val="00F207D7"/>
    <w:rsid w:val="00F210E5"/>
    <w:rsid w:val="00F21B76"/>
    <w:rsid w:val="00F21FAA"/>
    <w:rsid w:val="00F2210A"/>
    <w:rsid w:val="00F22379"/>
    <w:rsid w:val="00F225A8"/>
    <w:rsid w:val="00F232FE"/>
    <w:rsid w:val="00F233A4"/>
    <w:rsid w:val="00F2359E"/>
    <w:rsid w:val="00F2455B"/>
    <w:rsid w:val="00F24888"/>
    <w:rsid w:val="00F24A0D"/>
    <w:rsid w:val="00F2565C"/>
    <w:rsid w:val="00F25A9C"/>
    <w:rsid w:val="00F262C8"/>
    <w:rsid w:val="00F26AA1"/>
    <w:rsid w:val="00F26CCB"/>
    <w:rsid w:val="00F26EF2"/>
    <w:rsid w:val="00F27309"/>
    <w:rsid w:val="00F273AA"/>
    <w:rsid w:val="00F2743F"/>
    <w:rsid w:val="00F30095"/>
    <w:rsid w:val="00F316FB"/>
    <w:rsid w:val="00F31B0F"/>
    <w:rsid w:val="00F31FBF"/>
    <w:rsid w:val="00F324FC"/>
    <w:rsid w:val="00F326A1"/>
    <w:rsid w:val="00F32A46"/>
    <w:rsid w:val="00F32B8A"/>
    <w:rsid w:val="00F32BFD"/>
    <w:rsid w:val="00F33A31"/>
    <w:rsid w:val="00F33F35"/>
    <w:rsid w:val="00F34BCA"/>
    <w:rsid w:val="00F359F2"/>
    <w:rsid w:val="00F3663C"/>
    <w:rsid w:val="00F3670D"/>
    <w:rsid w:val="00F36F4B"/>
    <w:rsid w:val="00F3725B"/>
    <w:rsid w:val="00F37498"/>
    <w:rsid w:val="00F377FC"/>
    <w:rsid w:val="00F37BC9"/>
    <w:rsid w:val="00F40470"/>
    <w:rsid w:val="00F40D72"/>
    <w:rsid w:val="00F40F8D"/>
    <w:rsid w:val="00F4157B"/>
    <w:rsid w:val="00F41B07"/>
    <w:rsid w:val="00F41C8E"/>
    <w:rsid w:val="00F42030"/>
    <w:rsid w:val="00F42252"/>
    <w:rsid w:val="00F42729"/>
    <w:rsid w:val="00F42A70"/>
    <w:rsid w:val="00F42CF3"/>
    <w:rsid w:val="00F43E99"/>
    <w:rsid w:val="00F44284"/>
    <w:rsid w:val="00F44AAE"/>
    <w:rsid w:val="00F44FEC"/>
    <w:rsid w:val="00F4515F"/>
    <w:rsid w:val="00F45247"/>
    <w:rsid w:val="00F465E6"/>
    <w:rsid w:val="00F476A1"/>
    <w:rsid w:val="00F47FDD"/>
    <w:rsid w:val="00F50317"/>
    <w:rsid w:val="00F50477"/>
    <w:rsid w:val="00F506F3"/>
    <w:rsid w:val="00F517E9"/>
    <w:rsid w:val="00F51B55"/>
    <w:rsid w:val="00F51CFB"/>
    <w:rsid w:val="00F5269A"/>
    <w:rsid w:val="00F52AAC"/>
    <w:rsid w:val="00F532D6"/>
    <w:rsid w:val="00F533F6"/>
    <w:rsid w:val="00F536EE"/>
    <w:rsid w:val="00F53877"/>
    <w:rsid w:val="00F540A9"/>
    <w:rsid w:val="00F54465"/>
    <w:rsid w:val="00F54588"/>
    <w:rsid w:val="00F5460D"/>
    <w:rsid w:val="00F54699"/>
    <w:rsid w:val="00F550E0"/>
    <w:rsid w:val="00F55896"/>
    <w:rsid w:val="00F55DDA"/>
    <w:rsid w:val="00F5651B"/>
    <w:rsid w:val="00F5661D"/>
    <w:rsid w:val="00F56678"/>
    <w:rsid w:val="00F5715C"/>
    <w:rsid w:val="00F5788D"/>
    <w:rsid w:val="00F606A8"/>
    <w:rsid w:val="00F60BFB"/>
    <w:rsid w:val="00F60FBD"/>
    <w:rsid w:val="00F61874"/>
    <w:rsid w:val="00F62080"/>
    <w:rsid w:val="00F620AC"/>
    <w:rsid w:val="00F62398"/>
    <w:rsid w:val="00F625A6"/>
    <w:rsid w:val="00F62986"/>
    <w:rsid w:val="00F63498"/>
    <w:rsid w:val="00F64E0C"/>
    <w:rsid w:val="00F656F1"/>
    <w:rsid w:val="00F6591C"/>
    <w:rsid w:val="00F65CD3"/>
    <w:rsid w:val="00F66099"/>
    <w:rsid w:val="00F660E6"/>
    <w:rsid w:val="00F66943"/>
    <w:rsid w:val="00F671CA"/>
    <w:rsid w:val="00F67A80"/>
    <w:rsid w:val="00F67CD3"/>
    <w:rsid w:val="00F67DF0"/>
    <w:rsid w:val="00F67FA1"/>
    <w:rsid w:val="00F7006E"/>
    <w:rsid w:val="00F7089E"/>
    <w:rsid w:val="00F71244"/>
    <w:rsid w:val="00F712B7"/>
    <w:rsid w:val="00F71CED"/>
    <w:rsid w:val="00F7296D"/>
    <w:rsid w:val="00F72AC8"/>
    <w:rsid w:val="00F72E8C"/>
    <w:rsid w:val="00F73153"/>
    <w:rsid w:val="00F73219"/>
    <w:rsid w:val="00F748FD"/>
    <w:rsid w:val="00F74FD9"/>
    <w:rsid w:val="00F755AF"/>
    <w:rsid w:val="00F755BE"/>
    <w:rsid w:val="00F75FE6"/>
    <w:rsid w:val="00F76428"/>
    <w:rsid w:val="00F76BD4"/>
    <w:rsid w:val="00F7705C"/>
    <w:rsid w:val="00F77396"/>
    <w:rsid w:val="00F8003D"/>
    <w:rsid w:val="00F80C59"/>
    <w:rsid w:val="00F82840"/>
    <w:rsid w:val="00F839D6"/>
    <w:rsid w:val="00F83D38"/>
    <w:rsid w:val="00F8478F"/>
    <w:rsid w:val="00F84B60"/>
    <w:rsid w:val="00F84F3E"/>
    <w:rsid w:val="00F850F9"/>
    <w:rsid w:val="00F85933"/>
    <w:rsid w:val="00F86304"/>
    <w:rsid w:val="00F87652"/>
    <w:rsid w:val="00F87DFC"/>
    <w:rsid w:val="00F91E6E"/>
    <w:rsid w:val="00F92BA8"/>
    <w:rsid w:val="00F92D33"/>
    <w:rsid w:val="00F937CA"/>
    <w:rsid w:val="00F93AB0"/>
    <w:rsid w:val="00F93F3F"/>
    <w:rsid w:val="00F94055"/>
    <w:rsid w:val="00F94309"/>
    <w:rsid w:val="00F954B3"/>
    <w:rsid w:val="00F95913"/>
    <w:rsid w:val="00F95A2A"/>
    <w:rsid w:val="00F96D63"/>
    <w:rsid w:val="00F97964"/>
    <w:rsid w:val="00F979C5"/>
    <w:rsid w:val="00F97B98"/>
    <w:rsid w:val="00FA03A6"/>
    <w:rsid w:val="00FA1B3A"/>
    <w:rsid w:val="00FA27CE"/>
    <w:rsid w:val="00FA2937"/>
    <w:rsid w:val="00FA29C4"/>
    <w:rsid w:val="00FA2E47"/>
    <w:rsid w:val="00FA3168"/>
    <w:rsid w:val="00FA3580"/>
    <w:rsid w:val="00FA40C4"/>
    <w:rsid w:val="00FA455E"/>
    <w:rsid w:val="00FA461D"/>
    <w:rsid w:val="00FA4787"/>
    <w:rsid w:val="00FA47C5"/>
    <w:rsid w:val="00FA4A73"/>
    <w:rsid w:val="00FA518F"/>
    <w:rsid w:val="00FA6328"/>
    <w:rsid w:val="00FA6737"/>
    <w:rsid w:val="00FA7E2F"/>
    <w:rsid w:val="00FB1AC8"/>
    <w:rsid w:val="00FB1B41"/>
    <w:rsid w:val="00FB1B5B"/>
    <w:rsid w:val="00FB22C1"/>
    <w:rsid w:val="00FB2834"/>
    <w:rsid w:val="00FB5E6D"/>
    <w:rsid w:val="00FB602F"/>
    <w:rsid w:val="00FB66C7"/>
    <w:rsid w:val="00FB6EDA"/>
    <w:rsid w:val="00FB7D70"/>
    <w:rsid w:val="00FC08F4"/>
    <w:rsid w:val="00FC159C"/>
    <w:rsid w:val="00FC17F9"/>
    <w:rsid w:val="00FC2001"/>
    <w:rsid w:val="00FC2CFE"/>
    <w:rsid w:val="00FC2FFA"/>
    <w:rsid w:val="00FC30FA"/>
    <w:rsid w:val="00FC317D"/>
    <w:rsid w:val="00FC335E"/>
    <w:rsid w:val="00FC36AE"/>
    <w:rsid w:val="00FC397E"/>
    <w:rsid w:val="00FC4215"/>
    <w:rsid w:val="00FC4792"/>
    <w:rsid w:val="00FC550A"/>
    <w:rsid w:val="00FC6491"/>
    <w:rsid w:val="00FC6861"/>
    <w:rsid w:val="00FC74EC"/>
    <w:rsid w:val="00FC7718"/>
    <w:rsid w:val="00FD0612"/>
    <w:rsid w:val="00FD088E"/>
    <w:rsid w:val="00FD1822"/>
    <w:rsid w:val="00FD1A7E"/>
    <w:rsid w:val="00FD1FCB"/>
    <w:rsid w:val="00FD22CE"/>
    <w:rsid w:val="00FD230F"/>
    <w:rsid w:val="00FD302F"/>
    <w:rsid w:val="00FD32A0"/>
    <w:rsid w:val="00FD3902"/>
    <w:rsid w:val="00FD4A4C"/>
    <w:rsid w:val="00FD5655"/>
    <w:rsid w:val="00FD6099"/>
    <w:rsid w:val="00FD6168"/>
    <w:rsid w:val="00FD793B"/>
    <w:rsid w:val="00FE00E5"/>
    <w:rsid w:val="00FE10E2"/>
    <w:rsid w:val="00FE1601"/>
    <w:rsid w:val="00FE17B0"/>
    <w:rsid w:val="00FE17F1"/>
    <w:rsid w:val="00FE28D8"/>
    <w:rsid w:val="00FE2EE9"/>
    <w:rsid w:val="00FE2F29"/>
    <w:rsid w:val="00FE3E9E"/>
    <w:rsid w:val="00FE3FAF"/>
    <w:rsid w:val="00FE4446"/>
    <w:rsid w:val="00FE4469"/>
    <w:rsid w:val="00FE513D"/>
    <w:rsid w:val="00FE532F"/>
    <w:rsid w:val="00FE5B92"/>
    <w:rsid w:val="00FE5D93"/>
    <w:rsid w:val="00FE6833"/>
    <w:rsid w:val="00FE7007"/>
    <w:rsid w:val="00FE75F2"/>
    <w:rsid w:val="00FE766D"/>
    <w:rsid w:val="00FF0573"/>
    <w:rsid w:val="00FF0BBA"/>
    <w:rsid w:val="00FF0F09"/>
    <w:rsid w:val="00FF1AA0"/>
    <w:rsid w:val="00FF1CB0"/>
    <w:rsid w:val="00FF1F37"/>
    <w:rsid w:val="00FF20F9"/>
    <w:rsid w:val="00FF2417"/>
    <w:rsid w:val="00FF25F5"/>
    <w:rsid w:val="00FF26D8"/>
    <w:rsid w:val="00FF318E"/>
    <w:rsid w:val="00FF338E"/>
    <w:rsid w:val="00FF3A4E"/>
    <w:rsid w:val="00FF3B15"/>
    <w:rsid w:val="00FF3BB9"/>
    <w:rsid w:val="00FF4374"/>
    <w:rsid w:val="00FF50C6"/>
    <w:rsid w:val="00FF54B7"/>
    <w:rsid w:val="00FF55E6"/>
    <w:rsid w:val="00FF5BC5"/>
    <w:rsid w:val="00FF5EC2"/>
    <w:rsid w:val="00FF6361"/>
    <w:rsid w:val="00FF7131"/>
    <w:rsid w:val="00FF726D"/>
    <w:rsid w:val="00FF7BAA"/>
    <w:rsid w:val="00FF7D71"/>
    <w:rsid w:val="00FF7F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023"/>
  </w:style>
  <w:style w:type="paragraph" w:styleId="Ttulo1">
    <w:name w:val="heading 1"/>
    <w:basedOn w:val="Normal"/>
    <w:link w:val="Ttulo1Char"/>
    <w:uiPriority w:val="9"/>
    <w:qFormat/>
    <w:rsid w:val="004D4A6B"/>
    <w:pPr>
      <w:spacing w:after="0" w:line="360" w:lineRule="auto"/>
      <w:outlineLvl w:val="0"/>
    </w:pPr>
    <w:rPr>
      <w:rFonts w:ascii="Arial" w:eastAsia="Times New Roman" w:hAnsi="Arial" w:cs="Times New Roman"/>
      <w:b/>
      <w:bCs/>
      <w:kern w:val="36"/>
      <w:sz w:val="24"/>
      <w:szCs w:val="48"/>
      <w:lang w:eastAsia="pt-BR"/>
    </w:rPr>
  </w:style>
  <w:style w:type="paragraph" w:styleId="Ttulo2">
    <w:name w:val="heading 2"/>
    <w:basedOn w:val="Normal"/>
    <w:next w:val="Normal"/>
    <w:link w:val="Ttulo2Char"/>
    <w:uiPriority w:val="9"/>
    <w:unhideWhenUsed/>
    <w:qFormat/>
    <w:rsid w:val="004D4A6B"/>
    <w:pPr>
      <w:keepNext/>
      <w:keepLines/>
      <w:spacing w:after="0" w:line="360" w:lineRule="auto"/>
      <w:outlineLvl w:val="1"/>
    </w:pPr>
    <w:rPr>
      <w:rFonts w:ascii="Arial" w:eastAsiaTheme="majorEastAsia" w:hAnsi="Arial" w:cstheme="majorBidi"/>
      <w:bCs/>
      <w:sz w:val="24"/>
      <w:szCs w:val="26"/>
    </w:rPr>
  </w:style>
  <w:style w:type="paragraph" w:styleId="Ttulo3">
    <w:name w:val="heading 3"/>
    <w:basedOn w:val="Normal"/>
    <w:next w:val="Normal"/>
    <w:link w:val="Ttulo3Char"/>
    <w:uiPriority w:val="9"/>
    <w:unhideWhenUsed/>
    <w:qFormat/>
    <w:rsid w:val="00582961"/>
    <w:pPr>
      <w:keepNext/>
      <w:keepLines/>
      <w:spacing w:after="0" w:line="360" w:lineRule="auto"/>
      <w:jc w:val="center"/>
      <w:outlineLvl w:val="2"/>
    </w:pPr>
    <w:rPr>
      <w:rFonts w:ascii="Arial" w:eastAsiaTheme="majorEastAsia" w:hAnsi="Arial" w:cstheme="majorBidi"/>
      <w:b/>
      <w:b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5A1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736A4"/>
    <w:rPr>
      <w:color w:val="0000FF"/>
      <w:u w:val="single"/>
    </w:rPr>
  </w:style>
  <w:style w:type="character" w:styleId="Refdecomentrio">
    <w:name w:val="annotation reference"/>
    <w:uiPriority w:val="99"/>
    <w:semiHidden/>
    <w:unhideWhenUsed/>
    <w:rsid w:val="00EB34BF"/>
    <w:rPr>
      <w:sz w:val="16"/>
      <w:szCs w:val="16"/>
    </w:rPr>
  </w:style>
  <w:style w:type="paragraph" w:styleId="Textodecomentrio">
    <w:name w:val="annotation text"/>
    <w:basedOn w:val="Normal"/>
    <w:link w:val="TextodecomentrioChar"/>
    <w:uiPriority w:val="99"/>
    <w:semiHidden/>
    <w:unhideWhenUsed/>
    <w:rsid w:val="00EB34BF"/>
    <w:pPr>
      <w:spacing w:line="240" w:lineRule="auto"/>
    </w:pPr>
    <w:rPr>
      <w:rFonts w:ascii="Calibri" w:eastAsia="Calibri" w:hAnsi="Calibri" w:cs="Times New Roman"/>
      <w:sz w:val="20"/>
      <w:szCs w:val="20"/>
    </w:rPr>
  </w:style>
  <w:style w:type="character" w:customStyle="1" w:styleId="TextodecomentrioChar">
    <w:name w:val="Texto de comentário Char"/>
    <w:basedOn w:val="Fontepargpadro"/>
    <w:link w:val="Textodecomentrio"/>
    <w:uiPriority w:val="99"/>
    <w:semiHidden/>
    <w:rsid w:val="00EB34BF"/>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EB34BF"/>
    <w:rPr>
      <w:b/>
      <w:bCs/>
    </w:rPr>
  </w:style>
  <w:style w:type="character" w:customStyle="1" w:styleId="AssuntodocomentrioChar">
    <w:name w:val="Assunto do comentário Char"/>
    <w:basedOn w:val="TextodecomentrioChar"/>
    <w:link w:val="Assuntodocomentrio"/>
    <w:uiPriority w:val="99"/>
    <w:semiHidden/>
    <w:rsid w:val="00EB34BF"/>
    <w:rPr>
      <w:rFonts w:ascii="Calibri" w:eastAsia="Calibri" w:hAnsi="Calibri" w:cs="Times New Roman"/>
      <w:b/>
      <w:bCs/>
      <w:sz w:val="20"/>
      <w:szCs w:val="20"/>
    </w:rPr>
  </w:style>
  <w:style w:type="paragraph" w:styleId="Textodebalo">
    <w:name w:val="Balloon Text"/>
    <w:basedOn w:val="Normal"/>
    <w:link w:val="TextodebaloChar"/>
    <w:uiPriority w:val="99"/>
    <w:semiHidden/>
    <w:unhideWhenUsed/>
    <w:rsid w:val="00EB34BF"/>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uiPriority w:val="99"/>
    <w:semiHidden/>
    <w:rsid w:val="00EB34BF"/>
    <w:rPr>
      <w:rFonts w:ascii="Tahoma" w:eastAsia="Calibri" w:hAnsi="Tahoma" w:cs="Tahoma"/>
      <w:sz w:val="16"/>
      <w:szCs w:val="16"/>
    </w:rPr>
  </w:style>
  <w:style w:type="character" w:customStyle="1" w:styleId="apple-converted-space">
    <w:name w:val="apple-converted-space"/>
    <w:basedOn w:val="Fontepargpadro"/>
    <w:rsid w:val="00EB34BF"/>
  </w:style>
  <w:style w:type="paragraph" w:styleId="Cabealho">
    <w:name w:val="header"/>
    <w:basedOn w:val="Normal"/>
    <w:link w:val="CabealhoChar"/>
    <w:uiPriority w:val="99"/>
    <w:unhideWhenUsed/>
    <w:rsid w:val="00EB34BF"/>
    <w:pPr>
      <w:tabs>
        <w:tab w:val="center" w:pos="4252"/>
        <w:tab w:val="right" w:pos="8504"/>
      </w:tabs>
      <w:spacing w:after="0" w:line="240" w:lineRule="auto"/>
    </w:pPr>
    <w:rPr>
      <w:rFonts w:ascii="Calibri" w:eastAsia="Calibri" w:hAnsi="Calibri" w:cs="Times New Roman"/>
    </w:rPr>
  </w:style>
  <w:style w:type="character" w:customStyle="1" w:styleId="CabealhoChar">
    <w:name w:val="Cabeçalho Char"/>
    <w:basedOn w:val="Fontepargpadro"/>
    <w:link w:val="Cabealho"/>
    <w:uiPriority w:val="99"/>
    <w:rsid w:val="00EB34BF"/>
    <w:rPr>
      <w:rFonts w:ascii="Calibri" w:eastAsia="Calibri" w:hAnsi="Calibri" w:cs="Times New Roman"/>
    </w:rPr>
  </w:style>
  <w:style w:type="paragraph" w:styleId="Rodap">
    <w:name w:val="footer"/>
    <w:basedOn w:val="Normal"/>
    <w:link w:val="RodapChar"/>
    <w:uiPriority w:val="99"/>
    <w:unhideWhenUsed/>
    <w:rsid w:val="00EB34BF"/>
    <w:pPr>
      <w:tabs>
        <w:tab w:val="center" w:pos="4252"/>
        <w:tab w:val="right" w:pos="8504"/>
      </w:tabs>
      <w:spacing w:after="0" w:line="240" w:lineRule="auto"/>
    </w:pPr>
    <w:rPr>
      <w:rFonts w:ascii="Calibri" w:eastAsia="Calibri" w:hAnsi="Calibri" w:cs="Times New Roman"/>
    </w:rPr>
  </w:style>
  <w:style w:type="character" w:customStyle="1" w:styleId="RodapChar">
    <w:name w:val="Rodapé Char"/>
    <w:basedOn w:val="Fontepargpadro"/>
    <w:link w:val="Rodap"/>
    <w:uiPriority w:val="99"/>
    <w:rsid w:val="00EB34BF"/>
    <w:rPr>
      <w:rFonts w:ascii="Calibri" w:eastAsia="Calibri" w:hAnsi="Calibri" w:cs="Times New Roman"/>
    </w:rPr>
  </w:style>
  <w:style w:type="character" w:styleId="HiperlinkVisitado">
    <w:name w:val="FollowedHyperlink"/>
    <w:uiPriority w:val="99"/>
    <w:semiHidden/>
    <w:unhideWhenUsed/>
    <w:rsid w:val="00EB34BF"/>
    <w:rPr>
      <w:color w:val="800080"/>
      <w:u w:val="single"/>
    </w:rPr>
  </w:style>
  <w:style w:type="character" w:customStyle="1" w:styleId="reftitle">
    <w:name w:val="reftitle"/>
    <w:rsid w:val="00EB34BF"/>
  </w:style>
  <w:style w:type="character" w:styleId="TextodoEspaoReservado">
    <w:name w:val="Placeholder Text"/>
    <w:basedOn w:val="Fontepargpadro"/>
    <w:uiPriority w:val="99"/>
    <w:semiHidden/>
    <w:rsid w:val="003A4645"/>
    <w:rPr>
      <w:color w:val="808080"/>
    </w:rPr>
  </w:style>
  <w:style w:type="character" w:customStyle="1" w:styleId="Ttulo1Char">
    <w:name w:val="Título 1 Char"/>
    <w:basedOn w:val="Fontepargpadro"/>
    <w:link w:val="Ttulo1"/>
    <w:uiPriority w:val="9"/>
    <w:rsid w:val="004D4A6B"/>
    <w:rPr>
      <w:rFonts w:ascii="Arial" w:eastAsia="Times New Roman" w:hAnsi="Arial" w:cs="Times New Roman"/>
      <w:b/>
      <w:bCs/>
      <w:kern w:val="36"/>
      <w:sz w:val="24"/>
      <w:szCs w:val="48"/>
      <w:lang w:eastAsia="pt-BR"/>
    </w:rPr>
  </w:style>
  <w:style w:type="character" w:customStyle="1" w:styleId="elsevierstylesection">
    <w:name w:val="elsevierstylesection"/>
    <w:basedOn w:val="Fontepargpadro"/>
    <w:rsid w:val="00DA0DB7"/>
  </w:style>
  <w:style w:type="character" w:customStyle="1" w:styleId="elsevierstylesup">
    <w:name w:val="elsevierstylesup"/>
    <w:basedOn w:val="Fontepargpadro"/>
    <w:rsid w:val="00DA0DB7"/>
  </w:style>
  <w:style w:type="character" w:customStyle="1" w:styleId="Ttulo2Char">
    <w:name w:val="Título 2 Char"/>
    <w:basedOn w:val="Fontepargpadro"/>
    <w:link w:val="Ttulo2"/>
    <w:uiPriority w:val="9"/>
    <w:rsid w:val="004D4A6B"/>
    <w:rPr>
      <w:rFonts w:ascii="Arial" w:eastAsiaTheme="majorEastAsia" w:hAnsi="Arial" w:cstheme="majorBidi"/>
      <w:bCs/>
      <w:sz w:val="24"/>
      <w:szCs w:val="26"/>
    </w:rPr>
  </w:style>
  <w:style w:type="paragraph" w:styleId="Ttulo">
    <w:name w:val="Title"/>
    <w:basedOn w:val="Normal"/>
    <w:next w:val="Normal"/>
    <w:link w:val="TtuloChar"/>
    <w:uiPriority w:val="10"/>
    <w:qFormat/>
    <w:rsid w:val="000E4ED3"/>
    <w:pPr>
      <w:pBdr>
        <w:bottom w:val="single" w:sz="8" w:space="4" w:color="4F81BD" w:themeColor="accent1"/>
      </w:pBdr>
      <w:spacing w:after="0" w:line="360" w:lineRule="auto"/>
      <w:contextualSpacing/>
      <w:jc w:val="center"/>
    </w:pPr>
    <w:rPr>
      <w:rFonts w:ascii="Arial" w:eastAsiaTheme="majorEastAsia" w:hAnsi="Arial" w:cstheme="majorBidi"/>
      <w:b/>
      <w:spacing w:val="5"/>
      <w:kern w:val="28"/>
      <w:sz w:val="24"/>
      <w:szCs w:val="52"/>
    </w:rPr>
  </w:style>
  <w:style w:type="character" w:customStyle="1" w:styleId="TtuloChar">
    <w:name w:val="Título Char"/>
    <w:basedOn w:val="Fontepargpadro"/>
    <w:link w:val="Ttulo"/>
    <w:uiPriority w:val="10"/>
    <w:rsid w:val="000E4ED3"/>
    <w:rPr>
      <w:rFonts w:ascii="Arial" w:eastAsiaTheme="majorEastAsia" w:hAnsi="Arial" w:cstheme="majorBidi"/>
      <w:b/>
      <w:spacing w:val="5"/>
      <w:kern w:val="28"/>
      <w:sz w:val="24"/>
      <w:szCs w:val="52"/>
    </w:rPr>
  </w:style>
  <w:style w:type="paragraph" w:styleId="CabealhodoSumrio">
    <w:name w:val="TOC Heading"/>
    <w:basedOn w:val="Ttulo1"/>
    <w:next w:val="Normal"/>
    <w:uiPriority w:val="39"/>
    <w:semiHidden/>
    <w:unhideWhenUsed/>
    <w:qFormat/>
    <w:rsid w:val="004D4A6B"/>
    <w:pPr>
      <w:keepNext/>
      <w:keepLines/>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umrio1">
    <w:name w:val="toc 1"/>
    <w:basedOn w:val="Normal"/>
    <w:next w:val="Normal"/>
    <w:autoRedefine/>
    <w:uiPriority w:val="39"/>
    <w:unhideWhenUsed/>
    <w:rsid w:val="00334185"/>
    <w:pPr>
      <w:tabs>
        <w:tab w:val="right" w:leader="dot" w:pos="9061"/>
      </w:tabs>
      <w:spacing w:after="0" w:line="360" w:lineRule="auto"/>
    </w:pPr>
    <w:rPr>
      <w:rFonts w:ascii="Arial" w:hAnsi="Arial" w:cs="Arial"/>
      <w:b/>
      <w:noProof/>
      <w:sz w:val="24"/>
      <w:szCs w:val="24"/>
    </w:rPr>
  </w:style>
  <w:style w:type="character" w:customStyle="1" w:styleId="Ttulo3Char">
    <w:name w:val="Título 3 Char"/>
    <w:basedOn w:val="Fontepargpadro"/>
    <w:link w:val="Ttulo3"/>
    <w:uiPriority w:val="9"/>
    <w:rsid w:val="00582961"/>
    <w:rPr>
      <w:rFonts w:ascii="Arial" w:eastAsiaTheme="majorEastAsia" w:hAnsi="Arial" w:cstheme="majorBidi"/>
      <w:b/>
      <w:bCs/>
      <w:sz w:val="24"/>
    </w:rPr>
  </w:style>
  <w:style w:type="paragraph" w:styleId="Sumrio2">
    <w:name w:val="toc 2"/>
    <w:basedOn w:val="Normal"/>
    <w:next w:val="Normal"/>
    <w:autoRedefine/>
    <w:uiPriority w:val="39"/>
    <w:unhideWhenUsed/>
    <w:rsid w:val="00334185"/>
    <w:pPr>
      <w:tabs>
        <w:tab w:val="right" w:leader="dot" w:pos="9061"/>
      </w:tabs>
      <w:spacing w:after="0" w:line="360" w:lineRule="auto"/>
    </w:pPr>
    <w:rPr>
      <w:rFonts w:ascii="Arial" w:hAnsi="Arial" w:cs="Arial"/>
      <w:noProof/>
      <w:sz w:val="24"/>
      <w:szCs w:val="24"/>
    </w:rPr>
  </w:style>
  <w:style w:type="paragraph" w:styleId="Sumrio3">
    <w:name w:val="toc 3"/>
    <w:basedOn w:val="Normal"/>
    <w:next w:val="Normal"/>
    <w:autoRedefine/>
    <w:uiPriority w:val="39"/>
    <w:unhideWhenUsed/>
    <w:rsid w:val="00334185"/>
    <w:pPr>
      <w:tabs>
        <w:tab w:val="right" w:leader="dot" w:pos="9061"/>
      </w:tabs>
      <w:spacing w:after="0" w:line="360" w:lineRule="auto"/>
    </w:pPr>
    <w:rPr>
      <w:rFonts w:ascii="Arial" w:hAnsi="Arial" w:cs="Arial"/>
      <w:b/>
      <w:noProof/>
      <w:sz w:val="24"/>
      <w:szCs w:val="24"/>
    </w:rPr>
  </w:style>
  <w:style w:type="paragraph" w:styleId="Legenda">
    <w:name w:val="caption"/>
    <w:basedOn w:val="Normal"/>
    <w:next w:val="Normal"/>
    <w:link w:val="LegendaChar"/>
    <w:uiPriority w:val="35"/>
    <w:unhideWhenUsed/>
    <w:qFormat/>
    <w:rsid w:val="003C435F"/>
    <w:pPr>
      <w:spacing w:line="240" w:lineRule="auto"/>
    </w:pPr>
    <w:rPr>
      <w:b/>
      <w:bCs/>
      <w:color w:val="4F81BD" w:themeColor="accent1"/>
      <w:sz w:val="18"/>
      <w:szCs w:val="18"/>
    </w:rPr>
  </w:style>
  <w:style w:type="paragraph" w:customStyle="1" w:styleId="EstiloDissertao">
    <w:name w:val="Estilo Dissertação"/>
    <w:basedOn w:val="Legenda"/>
    <w:link w:val="EstiloDissertaoChar"/>
    <w:qFormat/>
    <w:rsid w:val="00FA2937"/>
    <w:pPr>
      <w:keepNext/>
      <w:spacing w:after="0"/>
      <w:jc w:val="both"/>
    </w:pPr>
    <w:rPr>
      <w:rFonts w:ascii="Arial" w:hAnsi="Arial"/>
      <w:b w:val="0"/>
      <w:color w:val="auto"/>
      <w:sz w:val="24"/>
    </w:rPr>
  </w:style>
  <w:style w:type="paragraph" w:styleId="ndicedeilustraes">
    <w:name w:val="table of figures"/>
    <w:basedOn w:val="Normal"/>
    <w:next w:val="Normal"/>
    <w:uiPriority w:val="99"/>
    <w:unhideWhenUsed/>
    <w:rsid w:val="0057350C"/>
    <w:pPr>
      <w:spacing w:after="0"/>
    </w:pPr>
  </w:style>
  <w:style w:type="character" w:customStyle="1" w:styleId="LegendaChar">
    <w:name w:val="Legenda Char"/>
    <w:basedOn w:val="Fontepargpadro"/>
    <w:link w:val="Legenda"/>
    <w:uiPriority w:val="35"/>
    <w:rsid w:val="001D2F5D"/>
    <w:rPr>
      <w:b/>
      <w:bCs/>
      <w:color w:val="4F81BD" w:themeColor="accent1"/>
      <w:sz w:val="18"/>
      <w:szCs w:val="18"/>
    </w:rPr>
  </w:style>
  <w:style w:type="character" w:customStyle="1" w:styleId="EstiloDissertaoChar">
    <w:name w:val="Estilo Dissertação Char"/>
    <w:basedOn w:val="LegendaChar"/>
    <w:link w:val="EstiloDissertao"/>
    <w:rsid w:val="00FA2937"/>
    <w:rPr>
      <w:rFonts w:ascii="Arial" w:hAnsi="Arial"/>
      <w:b w:val="0"/>
      <w:bCs/>
      <w:color w:val="4F81BD" w:themeColor="accent1"/>
      <w:sz w:val="24"/>
      <w:szCs w:val="18"/>
    </w:rPr>
  </w:style>
  <w:style w:type="paragraph" w:styleId="PargrafodaLista">
    <w:name w:val="List Paragraph"/>
    <w:basedOn w:val="Normal"/>
    <w:uiPriority w:val="34"/>
    <w:qFormat/>
    <w:rsid w:val="00080C1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023"/>
  </w:style>
  <w:style w:type="paragraph" w:styleId="Ttulo1">
    <w:name w:val="heading 1"/>
    <w:basedOn w:val="Normal"/>
    <w:link w:val="Ttulo1Char"/>
    <w:uiPriority w:val="9"/>
    <w:qFormat/>
    <w:rsid w:val="004D4A6B"/>
    <w:pPr>
      <w:spacing w:after="0" w:line="360" w:lineRule="auto"/>
      <w:outlineLvl w:val="0"/>
    </w:pPr>
    <w:rPr>
      <w:rFonts w:ascii="Arial" w:eastAsia="Times New Roman" w:hAnsi="Arial" w:cs="Times New Roman"/>
      <w:b/>
      <w:bCs/>
      <w:kern w:val="36"/>
      <w:sz w:val="24"/>
      <w:szCs w:val="48"/>
      <w:lang w:eastAsia="pt-BR"/>
    </w:rPr>
  </w:style>
  <w:style w:type="paragraph" w:styleId="Ttulo2">
    <w:name w:val="heading 2"/>
    <w:basedOn w:val="Normal"/>
    <w:next w:val="Normal"/>
    <w:link w:val="Ttulo2Char"/>
    <w:uiPriority w:val="9"/>
    <w:unhideWhenUsed/>
    <w:qFormat/>
    <w:rsid w:val="004D4A6B"/>
    <w:pPr>
      <w:keepNext/>
      <w:keepLines/>
      <w:spacing w:after="0" w:line="360" w:lineRule="auto"/>
      <w:outlineLvl w:val="1"/>
    </w:pPr>
    <w:rPr>
      <w:rFonts w:ascii="Arial" w:eastAsiaTheme="majorEastAsia" w:hAnsi="Arial" w:cstheme="majorBidi"/>
      <w:bCs/>
      <w:sz w:val="24"/>
      <w:szCs w:val="26"/>
    </w:rPr>
  </w:style>
  <w:style w:type="paragraph" w:styleId="Ttulo3">
    <w:name w:val="heading 3"/>
    <w:basedOn w:val="Normal"/>
    <w:next w:val="Normal"/>
    <w:link w:val="Ttulo3Char"/>
    <w:uiPriority w:val="9"/>
    <w:unhideWhenUsed/>
    <w:qFormat/>
    <w:rsid w:val="00582961"/>
    <w:pPr>
      <w:keepNext/>
      <w:keepLines/>
      <w:spacing w:after="0" w:line="360" w:lineRule="auto"/>
      <w:jc w:val="center"/>
      <w:outlineLvl w:val="2"/>
    </w:pPr>
    <w:rPr>
      <w:rFonts w:ascii="Arial" w:eastAsiaTheme="majorEastAsia" w:hAnsi="Arial" w:cstheme="majorBidi"/>
      <w:b/>
      <w:b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5A1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736A4"/>
    <w:rPr>
      <w:color w:val="0000FF"/>
      <w:u w:val="single"/>
    </w:rPr>
  </w:style>
  <w:style w:type="character" w:styleId="Refdecomentrio">
    <w:name w:val="annotation reference"/>
    <w:uiPriority w:val="99"/>
    <w:semiHidden/>
    <w:unhideWhenUsed/>
    <w:rsid w:val="00EB34BF"/>
    <w:rPr>
      <w:sz w:val="16"/>
      <w:szCs w:val="16"/>
    </w:rPr>
  </w:style>
  <w:style w:type="paragraph" w:styleId="Textodecomentrio">
    <w:name w:val="annotation text"/>
    <w:basedOn w:val="Normal"/>
    <w:link w:val="TextodecomentrioChar"/>
    <w:uiPriority w:val="99"/>
    <w:semiHidden/>
    <w:unhideWhenUsed/>
    <w:rsid w:val="00EB34BF"/>
    <w:pPr>
      <w:spacing w:line="240" w:lineRule="auto"/>
    </w:pPr>
    <w:rPr>
      <w:rFonts w:ascii="Calibri" w:eastAsia="Calibri" w:hAnsi="Calibri" w:cs="Times New Roman"/>
      <w:sz w:val="20"/>
      <w:szCs w:val="20"/>
    </w:rPr>
  </w:style>
  <w:style w:type="character" w:customStyle="1" w:styleId="TextodecomentrioChar">
    <w:name w:val="Texto de comentário Char"/>
    <w:basedOn w:val="Fontepargpadro"/>
    <w:link w:val="Textodecomentrio"/>
    <w:uiPriority w:val="99"/>
    <w:semiHidden/>
    <w:rsid w:val="00EB34BF"/>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EB34BF"/>
    <w:rPr>
      <w:b/>
      <w:bCs/>
    </w:rPr>
  </w:style>
  <w:style w:type="character" w:customStyle="1" w:styleId="AssuntodocomentrioChar">
    <w:name w:val="Assunto do comentário Char"/>
    <w:basedOn w:val="TextodecomentrioChar"/>
    <w:link w:val="Assuntodocomentrio"/>
    <w:uiPriority w:val="99"/>
    <w:semiHidden/>
    <w:rsid w:val="00EB34BF"/>
    <w:rPr>
      <w:rFonts w:ascii="Calibri" w:eastAsia="Calibri" w:hAnsi="Calibri" w:cs="Times New Roman"/>
      <w:b/>
      <w:bCs/>
      <w:sz w:val="20"/>
      <w:szCs w:val="20"/>
    </w:rPr>
  </w:style>
  <w:style w:type="paragraph" w:styleId="Textodebalo">
    <w:name w:val="Balloon Text"/>
    <w:basedOn w:val="Normal"/>
    <w:link w:val="TextodebaloChar"/>
    <w:uiPriority w:val="99"/>
    <w:semiHidden/>
    <w:unhideWhenUsed/>
    <w:rsid w:val="00EB34BF"/>
    <w:pPr>
      <w:spacing w:after="0" w:line="240" w:lineRule="auto"/>
    </w:pPr>
    <w:rPr>
      <w:rFonts w:ascii="Tahoma" w:eastAsia="Calibri" w:hAnsi="Tahoma" w:cs="Tahoma"/>
      <w:sz w:val="16"/>
      <w:szCs w:val="16"/>
    </w:rPr>
  </w:style>
  <w:style w:type="character" w:customStyle="1" w:styleId="TextodebaloChar">
    <w:name w:val="Texto de balão Char"/>
    <w:basedOn w:val="Fontepargpadro"/>
    <w:link w:val="Textodebalo"/>
    <w:uiPriority w:val="99"/>
    <w:semiHidden/>
    <w:rsid w:val="00EB34BF"/>
    <w:rPr>
      <w:rFonts w:ascii="Tahoma" w:eastAsia="Calibri" w:hAnsi="Tahoma" w:cs="Tahoma"/>
      <w:sz w:val="16"/>
      <w:szCs w:val="16"/>
    </w:rPr>
  </w:style>
  <w:style w:type="character" w:customStyle="1" w:styleId="apple-converted-space">
    <w:name w:val="apple-converted-space"/>
    <w:basedOn w:val="Fontepargpadro"/>
    <w:rsid w:val="00EB34BF"/>
  </w:style>
  <w:style w:type="paragraph" w:styleId="Cabealho">
    <w:name w:val="header"/>
    <w:basedOn w:val="Normal"/>
    <w:link w:val="CabealhoChar"/>
    <w:uiPriority w:val="99"/>
    <w:unhideWhenUsed/>
    <w:rsid w:val="00EB34BF"/>
    <w:pPr>
      <w:tabs>
        <w:tab w:val="center" w:pos="4252"/>
        <w:tab w:val="right" w:pos="8504"/>
      </w:tabs>
      <w:spacing w:after="0" w:line="240" w:lineRule="auto"/>
    </w:pPr>
    <w:rPr>
      <w:rFonts w:ascii="Calibri" w:eastAsia="Calibri" w:hAnsi="Calibri" w:cs="Times New Roman"/>
    </w:rPr>
  </w:style>
  <w:style w:type="character" w:customStyle="1" w:styleId="CabealhoChar">
    <w:name w:val="Cabeçalho Char"/>
    <w:basedOn w:val="Fontepargpadro"/>
    <w:link w:val="Cabealho"/>
    <w:uiPriority w:val="99"/>
    <w:rsid w:val="00EB34BF"/>
    <w:rPr>
      <w:rFonts w:ascii="Calibri" w:eastAsia="Calibri" w:hAnsi="Calibri" w:cs="Times New Roman"/>
    </w:rPr>
  </w:style>
  <w:style w:type="paragraph" w:styleId="Rodap">
    <w:name w:val="footer"/>
    <w:basedOn w:val="Normal"/>
    <w:link w:val="RodapChar"/>
    <w:uiPriority w:val="99"/>
    <w:unhideWhenUsed/>
    <w:rsid w:val="00EB34BF"/>
    <w:pPr>
      <w:tabs>
        <w:tab w:val="center" w:pos="4252"/>
        <w:tab w:val="right" w:pos="8504"/>
      </w:tabs>
      <w:spacing w:after="0" w:line="240" w:lineRule="auto"/>
    </w:pPr>
    <w:rPr>
      <w:rFonts w:ascii="Calibri" w:eastAsia="Calibri" w:hAnsi="Calibri" w:cs="Times New Roman"/>
    </w:rPr>
  </w:style>
  <w:style w:type="character" w:customStyle="1" w:styleId="RodapChar">
    <w:name w:val="Rodapé Char"/>
    <w:basedOn w:val="Fontepargpadro"/>
    <w:link w:val="Rodap"/>
    <w:uiPriority w:val="99"/>
    <w:rsid w:val="00EB34BF"/>
    <w:rPr>
      <w:rFonts w:ascii="Calibri" w:eastAsia="Calibri" w:hAnsi="Calibri" w:cs="Times New Roman"/>
    </w:rPr>
  </w:style>
  <w:style w:type="character" w:styleId="HiperlinkVisitado">
    <w:name w:val="FollowedHyperlink"/>
    <w:uiPriority w:val="99"/>
    <w:semiHidden/>
    <w:unhideWhenUsed/>
    <w:rsid w:val="00EB34BF"/>
    <w:rPr>
      <w:color w:val="800080"/>
      <w:u w:val="single"/>
    </w:rPr>
  </w:style>
  <w:style w:type="character" w:customStyle="1" w:styleId="reftitle">
    <w:name w:val="reftitle"/>
    <w:rsid w:val="00EB34BF"/>
  </w:style>
  <w:style w:type="character" w:styleId="TextodoEspaoReservado">
    <w:name w:val="Placeholder Text"/>
    <w:basedOn w:val="Fontepargpadro"/>
    <w:uiPriority w:val="99"/>
    <w:semiHidden/>
    <w:rsid w:val="003A4645"/>
    <w:rPr>
      <w:color w:val="808080"/>
    </w:rPr>
  </w:style>
  <w:style w:type="character" w:customStyle="1" w:styleId="Ttulo1Char">
    <w:name w:val="Título 1 Char"/>
    <w:basedOn w:val="Fontepargpadro"/>
    <w:link w:val="Ttulo1"/>
    <w:uiPriority w:val="9"/>
    <w:rsid w:val="004D4A6B"/>
    <w:rPr>
      <w:rFonts w:ascii="Arial" w:eastAsia="Times New Roman" w:hAnsi="Arial" w:cs="Times New Roman"/>
      <w:b/>
      <w:bCs/>
      <w:kern w:val="36"/>
      <w:sz w:val="24"/>
      <w:szCs w:val="48"/>
      <w:lang w:eastAsia="pt-BR"/>
    </w:rPr>
  </w:style>
  <w:style w:type="character" w:customStyle="1" w:styleId="elsevierstylesection">
    <w:name w:val="elsevierstylesection"/>
    <w:basedOn w:val="Fontepargpadro"/>
    <w:rsid w:val="00DA0DB7"/>
  </w:style>
  <w:style w:type="character" w:customStyle="1" w:styleId="elsevierstylesup">
    <w:name w:val="elsevierstylesup"/>
    <w:basedOn w:val="Fontepargpadro"/>
    <w:rsid w:val="00DA0DB7"/>
  </w:style>
  <w:style w:type="character" w:customStyle="1" w:styleId="Ttulo2Char">
    <w:name w:val="Título 2 Char"/>
    <w:basedOn w:val="Fontepargpadro"/>
    <w:link w:val="Ttulo2"/>
    <w:uiPriority w:val="9"/>
    <w:rsid w:val="004D4A6B"/>
    <w:rPr>
      <w:rFonts w:ascii="Arial" w:eastAsiaTheme="majorEastAsia" w:hAnsi="Arial" w:cstheme="majorBidi"/>
      <w:bCs/>
      <w:sz w:val="24"/>
      <w:szCs w:val="26"/>
    </w:rPr>
  </w:style>
  <w:style w:type="paragraph" w:styleId="Ttulo">
    <w:name w:val="Title"/>
    <w:basedOn w:val="Normal"/>
    <w:next w:val="Normal"/>
    <w:link w:val="TtuloChar"/>
    <w:uiPriority w:val="10"/>
    <w:qFormat/>
    <w:rsid w:val="000E4ED3"/>
    <w:pPr>
      <w:pBdr>
        <w:bottom w:val="single" w:sz="8" w:space="4" w:color="4F81BD" w:themeColor="accent1"/>
      </w:pBdr>
      <w:spacing w:after="0" w:line="360" w:lineRule="auto"/>
      <w:contextualSpacing/>
      <w:jc w:val="center"/>
    </w:pPr>
    <w:rPr>
      <w:rFonts w:ascii="Arial" w:eastAsiaTheme="majorEastAsia" w:hAnsi="Arial" w:cstheme="majorBidi"/>
      <w:b/>
      <w:spacing w:val="5"/>
      <w:kern w:val="28"/>
      <w:sz w:val="24"/>
      <w:szCs w:val="52"/>
    </w:rPr>
  </w:style>
  <w:style w:type="character" w:customStyle="1" w:styleId="TtuloChar">
    <w:name w:val="Título Char"/>
    <w:basedOn w:val="Fontepargpadro"/>
    <w:link w:val="Ttulo"/>
    <w:uiPriority w:val="10"/>
    <w:rsid w:val="000E4ED3"/>
    <w:rPr>
      <w:rFonts w:ascii="Arial" w:eastAsiaTheme="majorEastAsia" w:hAnsi="Arial" w:cstheme="majorBidi"/>
      <w:b/>
      <w:spacing w:val="5"/>
      <w:kern w:val="28"/>
      <w:sz w:val="24"/>
      <w:szCs w:val="52"/>
    </w:rPr>
  </w:style>
  <w:style w:type="paragraph" w:styleId="CabealhodoSumrio">
    <w:name w:val="TOC Heading"/>
    <w:basedOn w:val="Ttulo1"/>
    <w:next w:val="Normal"/>
    <w:uiPriority w:val="39"/>
    <w:semiHidden/>
    <w:unhideWhenUsed/>
    <w:qFormat/>
    <w:rsid w:val="004D4A6B"/>
    <w:pPr>
      <w:keepNext/>
      <w:keepLines/>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umrio1">
    <w:name w:val="toc 1"/>
    <w:basedOn w:val="Normal"/>
    <w:next w:val="Normal"/>
    <w:autoRedefine/>
    <w:uiPriority w:val="39"/>
    <w:unhideWhenUsed/>
    <w:rsid w:val="00334185"/>
    <w:pPr>
      <w:tabs>
        <w:tab w:val="right" w:leader="dot" w:pos="9061"/>
      </w:tabs>
      <w:spacing w:after="0" w:line="360" w:lineRule="auto"/>
    </w:pPr>
    <w:rPr>
      <w:rFonts w:ascii="Arial" w:hAnsi="Arial" w:cs="Arial"/>
      <w:b/>
      <w:noProof/>
      <w:sz w:val="24"/>
      <w:szCs w:val="24"/>
    </w:rPr>
  </w:style>
  <w:style w:type="character" w:customStyle="1" w:styleId="Ttulo3Char">
    <w:name w:val="Título 3 Char"/>
    <w:basedOn w:val="Fontepargpadro"/>
    <w:link w:val="Ttulo3"/>
    <w:uiPriority w:val="9"/>
    <w:rsid w:val="00582961"/>
    <w:rPr>
      <w:rFonts w:ascii="Arial" w:eastAsiaTheme="majorEastAsia" w:hAnsi="Arial" w:cstheme="majorBidi"/>
      <w:b/>
      <w:bCs/>
      <w:sz w:val="24"/>
    </w:rPr>
  </w:style>
  <w:style w:type="paragraph" w:styleId="Sumrio2">
    <w:name w:val="toc 2"/>
    <w:basedOn w:val="Normal"/>
    <w:next w:val="Normal"/>
    <w:autoRedefine/>
    <w:uiPriority w:val="39"/>
    <w:unhideWhenUsed/>
    <w:rsid w:val="00334185"/>
    <w:pPr>
      <w:tabs>
        <w:tab w:val="right" w:leader="dot" w:pos="9061"/>
      </w:tabs>
      <w:spacing w:after="0" w:line="360" w:lineRule="auto"/>
    </w:pPr>
    <w:rPr>
      <w:rFonts w:ascii="Arial" w:hAnsi="Arial" w:cs="Arial"/>
      <w:noProof/>
      <w:sz w:val="24"/>
      <w:szCs w:val="24"/>
    </w:rPr>
  </w:style>
  <w:style w:type="paragraph" w:styleId="Sumrio3">
    <w:name w:val="toc 3"/>
    <w:basedOn w:val="Normal"/>
    <w:next w:val="Normal"/>
    <w:autoRedefine/>
    <w:uiPriority w:val="39"/>
    <w:unhideWhenUsed/>
    <w:rsid w:val="00334185"/>
    <w:pPr>
      <w:tabs>
        <w:tab w:val="right" w:leader="dot" w:pos="9061"/>
      </w:tabs>
      <w:spacing w:after="0" w:line="360" w:lineRule="auto"/>
    </w:pPr>
    <w:rPr>
      <w:rFonts w:ascii="Arial" w:hAnsi="Arial" w:cs="Arial"/>
      <w:b/>
      <w:noProof/>
      <w:sz w:val="24"/>
      <w:szCs w:val="24"/>
    </w:rPr>
  </w:style>
  <w:style w:type="paragraph" w:styleId="Legenda">
    <w:name w:val="caption"/>
    <w:basedOn w:val="Normal"/>
    <w:next w:val="Normal"/>
    <w:link w:val="LegendaChar"/>
    <w:uiPriority w:val="35"/>
    <w:unhideWhenUsed/>
    <w:qFormat/>
    <w:rsid w:val="003C435F"/>
    <w:pPr>
      <w:spacing w:line="240" w:lineRule="auto"/>
    </w:pPr>
    <w:rPr>
      <w:b/>
      <w:bCs/>
      <w:color w:val="4F81BD" w:themeColor="accent1"/>
      <w:sz w:val="18"/>
      <w:szCs w:val="18"/>
    </w:rPr>
  </w:style>
  <w:style w:type="paragraph" w:customStyle="1" w:styleId="EstiloDissertao">
    <w:name w:val="Estilo Dissertação"/>
    <w:basedOn w:val="Legenda"/>
    <w:link w:val="EstiloDissertaoChar"/>
    <w:qFormat/>
    <w:rsid w:val="00FA2937"/>
    <w:pPr>
      <w:keepNext/>
      <w:spacing w:after="0"/>
      <w:jc w:val="both"/>
    </w:pPr>
    <w:rPr>
      <w:rFonts w:ascii="Arial" w:hAnsi="Arial"/>
      <w:b w:val="0"/>
      <w:color w:val="auto"/>
      <w:sz w:val="24"/>
    </w:rPr>
  </w:style>
  <w:style w:type="paragraph" w:styleId="ndicedeilustraes">
    <w:name w:val="table of figures"/>
    <w:basedOn w:val="Normal"/>
    <w:next w:val="Normal"/>
    <w:uiPriority w:val="99"/>
    <w:unhideWhenUsed/>
    <w:rsid w:val="0057350C"/>
    <w:pPr>
      <w:spacing w:after="0"/>
    </w:pPr>
  </w:style>
  <w:style w:type="character" w:customStyle="1" w:styleId="LegendaChar">
    <w:name w:val="Legenda Char"/>
    <w:basedOn w:val="Fontepargpadro"/>
    <w:link w:val="Legenda"/>
    <w:uiPriority w:val="35"/>
    <w:rsid w:val="001D2F5D"/>
    <w:rPr>
      <w:b/>
      <w:bCs/>
      <w:color w:val="4F81BD" w:themeColor="accent1"/>
      <w:sz w:val="18"/>
      <w:szCs w:val="18"/>
    </w:rPr>
  </w:style>
  <w:style w:type="character" w:customStyle="1" w:styleId="EstiloDissertaoChar">
    <w:name w:val="Estilo Dissertação Char"/>
    <w:basedOn w:val="LegendaChar"/>
    <w:link w:val="EstiloDissertao"/>
    <w:rsid w:val="00FA2937"/>
    <w:rPr>
      <w:rFonts w:ascii="Arial" w:hAnsi="Arial"/>
      <w:b w:val="0"/>
      <w:bCs/>
      <w:color w:val="4F81BD" w:themeColor="accent1"/>
      <w:sz w:val="24"/>
      <w:szCs w:val="18"/>
    </w:rPr>
  </w:style>
  <w:style w:type="paragraph" w:styleId="PargrafodaLista">
    <w:name w:val="List Paragraph"/>
    <w:basedOn w:val="Normal"/>
    <w:uiPriority w:val="34"/>
    <w:qFormat/>
    <w:rsid w:val="00080C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61071">
      <w:bodyDiv w:val="1"/>
      <w:marLeft w:val="0"/>
      <w:marRight w:val="0"/>
      <w:marTop w:val="0"/>
      <w:marBottom w:val="0"/>
      <w:divBdr>
        <w:top w:val="none" w:sz="0" w:space="0" w:color="auto"/>
        <w:left w:val="none" w:sz="0" w:space="0" w:color="auto"/>
        <w:bottom w:val="none" w:sz="0" w:space="0" w:color="auto"/>
        <w:right w:val="none" w:sz="0" w:space="0" w:color="auto"/>
      </w:divBdr>
    </w:div>
    <w:div w:id="1005402497">
      <w:bodyDiv w:val="1"/>
      <w:marLeft w:val="0"/>
      <w:marRight w:val="0"/>
      <w:marTop w:val="0"/>
      <w:marBottom w:val="0"/>
      <w:divBdr>
        <w:top w:val="none" w:sz="0" w:space="0" w:color="auto"/>
        <w:left w:val="none" w:sz="0" w:space="0" w:color="auto"/>
        <w:bottom w:val="none" w:sz="0" w:space="0" w:color="auto"/>
        <w:right w:val="none" w:sz="0" w:space="0" w:color="auto"/>
      </w:divBdr>
    </w:div>
    <w:div w:id="1153327215">
      <w:bodyDiv w:val="1"/>
      <w:marLeft w:val="0"/>
      <w:marRight w:val="0"/>
      <w:marTop w:val="0"/>
      <w:marBottom w:val="0"/>
      <w:divBdr>
        <w:top w:val="none" w:sz="0" w:space="0" w:color="auto"/>
        <w:left w:val="none" w:sz="0" w:space="0" w:color="auto"/>
        <w:bottom w:val="none" w:sz="0" w:space="0" w:color="auto"/>
        <w:right w:val="none" w:sz="0" w:space="0" w:color="auto"/>
      </w:divBdr>
    </w:div>
    <w:div w:id="1239442458">
      <w:bodyDiv w:val="1"/>
      <w:marLeft w:val="0"/>
      <w:marRight w:val="0"/>
      <w:marTop w:val="0"/>
      <w:marBottom w:val="0"/>
      <w:divBdr>
        <w:top w:val="none" w:sz="0" w:space="0" w:color="auto"/>
        <w:left w:val="none" w:sz="0" w:space="0" w:color="auto"/>
        <w:bottom w:val="none" w:sz="0" w:space="0" w:color="auto"/>
        <w:right w:val="none" w:sz="0" w:space="0" w:color="auto"/>
      </w:divBdr>
    </w:div>
    <w:div w:id="1714696059">
      <w:bodyDiv w:val="1"/>
      <w:marLeft w:val="0"/>
      <w:marRight w:val="0"/>
      <w:marTop w:val="0"/>
      <w:marBottom w:val="0"/>
      <w:divBdr>
        <w:top w:val="none" w:sz="0" w:space="0" w:color="auto"/>
        <w:left w:val="none" w:sz="0" w:space="0" w:color="auto"/>
        <w:bottom w:val="none" w:sz="0" w:space="0" w:color="auto"/>
        <w:right w:val="none" w:sz="0" w:space="0" w:color="auto"/>
      </w:divBdr>
    </w:div>
    <w:div w:id="182635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EBMSP\2017.2\Disserta&#231;&#227;o%20-%20Ap&#243;s%20Qualifica&#231;&#227;o%2021%20Outubro\Disserta&#231;&#227;o%20Atualizada%20ap&#243;s%20Qualifica&#231;&#227;o%20-%20Atualizada%2026.10.2017.docx" TargetMode="External"/><Relationship Id="rId18" Type="http://schemas.openxmlformats.org/officeDocument/2006/relationships/header" Target="header1.xml"/><Relationship Id="rId26" Type="http://schemas.openxmlformats.org/officeDocument/2006/relationships/header" Target="header2.xml"/><Relationship Id="rId39" Type="http://schemas.openxmlformats.org/officeDocument/2006/relationships/hyperlink" Target="http://dx.doi.org/10.2223/jped.1743" TargetMode="External"/><Relationship Id="rId21" Type="http://schemas.openxmlformats.org/officeDocument/2006/relationships/image" Target="media/image5.png"/><Relationship Id="rId34" Type="http://schemas.openxmlformats.org/officeDocument/2006/relationships/hyperlink" Target="https://dx.doi.org/10.1186%2F1750-1172-5-5" TargetMode="External"/><Relationship Id="rId42" Type="http://schemas.openxmlformats.org/officeDocument/2006/relationships/hyperlink" Target="https://doi.org/10.1007/s10545-007-0529-7" TargetMode="External"/><Relationship Id="rId47" Type="http://schemas.openxmlformats.org/officeDocument/2006/relationships/hyperlink" Target="https://doi.org/10.1016/j.pediatrneurol.2013.08.019" TargetMode="External"/><Relationship Id="rId50" Type="http://schemas.openxmlformats.org/officeDocument/2006/relationships/hyperlink" Target="http://dx.doi.org/10.5935/0104-7795.20010002" TargetMode="External"/><Relationship Id="rId55" Type="http://schemas.openxmlformats.org/officeDocument/2006/relationships/hyperlink" Target="https://dx.doi.org/10.1517%2F21678707.2015.1086640" TargetMode="External"/><Relationship Id="rId63" Type="http://schemas.openxmlformats.org/officeDocument/2006/relationships/hyperlink" Target="https://doi.org/10.1093/rheumatology/ker397" TargetMode="External"/><Relationship Id="rId68" Type="http://schemas.openxmlformats.org/officeDocument/2006/relationships/image" Target="media/image14.png"/><Relationship Id="rId76" Type="http://schemas.openxmlformats.org/officeDocument/2006/relationships/image" Target="media/image22.png"/><Relationship Id="rId84" Type="http://schemas.openxmlformats.org/officeDocument/2006/relationships/image" Target="media/image23.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file:///E:\EBMSP\2017.2\Disserta&#231;&#227;o%20-%20Ap&#243;s%20Qualifica&#231;&#227;o%2021%20Outubro\Disserta&#231;&#227;o%20Atualizada%20ap&#243;s%20Qualifica&#231;&#227;o%20-%20Atualizada%2026.10.2017.docx" TargetMode="External"/><Relationship Id="rId29" Type="http://schemas.openxmlformats.org/officeDocument/2006/relationships/hyperlink" Target="https://dx.doi.org/10.1590%2FS1413-78522013000200009" TargetMode="Externa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s://doi.org/10.1007/s10545-005-0112-z" TargetMode="External"/><Relationship Id="rId37" Type="http://schemas.openxmlformats.org/officeDocument/2006/relationships/hyperlink" Target="https://dx.doi.org/10.2147%2FTACG.S69080" TargetMode="External"/><Relationship Id="rId40" Type="http://schemas.openxmlformats.org/officeDocument/2006/relationships/hyperlink" Target="https://doi.org/10.1016/j.otorri.2011.05.003" TargetMode="External"/><Relationship Id="rId45" Type="http://schemas.openxmlformats.org/officeDocument/2006/relationships/hyperlink" Target="http://dx.doi.org/10.1016/j.ymgme.2016.06.002" TargetMode="External"/><Relationship Id="rId53" Type="http://schemas.openxmlformats.org/officeDocument/2006/relationships/hyperlink" Target="http://dx.doi.org/10.11606/issn.2238-6149.v24i3p267-272" TargetMode="External"/><Relationship Id="rId58" Type="http://schemas.openxmlformats.org/officeDocument/2006/relationships/hyperlink" Target="https://dx.doi.org/10.1186%2Fs13023-016-0478-z" TargetMode="External"/><Relationship Id="rId66" Type="http://schemas.openxmlformats.org/officeDocument/2006/relationships/image" Target="media/image12.png"/><Relationship Id="rId74" Type="http://schemas.openxmlformats.org/officeDocument/2006/relationships/image" Target="media/image20.png"/><Relationship Id="rId79" Type="http://schemas.openxmlformats.org/officeDocument/2006/relationships/hyperlink" Target="https://doi.org/10.1016/j.braindev.2006.08.015" TargetMode="External"/><Relationship Id="rId87" Type="http://schemas.openxmlformats.org/officeDocument/2006/relationships/image" Target="media/image24.gif"/><Relationship Id="rId5" Type="http://schemas.openxmlformats.org/officeDocument/2006/relationships/settings" Target="settings.xml"/><Relationship Id="rId61" Type="http://schemas.openxmlformats.org/officeDocument/2006/relationships/hyperlink" Target="https://doi.org/10.1002/ajmg.a.30579" TargetMode="External"/><Relationship Id="rId82" Type="http://schemas.openxmlformats.org/officeDocument/2006/relationships/hyperlink" Target="https://doi.org/10.1002/ajmg.a.34013" TargetMode="External"/><Relationship Id="rId19" Type="http://schemas.openxmlformats.org/officeDocument/2006/relationships/hyperlink" Target="http://dx.doi.org/10.2223/jped.174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E:\EBMSP\2017.2\Disserta&#231;&#227;o%20-%20Ap&#243;s%20Qualifica&#231;&#227;o%2021%20Outubro\Disserta&#231;&#227;o%20Atualizada%20ap&#243;s%20Qualifica&#231;&#227;o%20-%20Atualizada%2026.10.2017.docx" TargetMode="External"/><Relationship Id="rId22" Type="http://schemas.openxmlformats.org/officeDocument/2006/relationships/image" Target="media/image6.png"/><Relationship Id="rId27" Type="http://schemas.openxmlformats.org/officeDocument/2006/relationships/hyperlink" Target="http://dx.doi.org/10.1590/s1980-220x2016042503226" TargetMode="External"/><Relationship Id="rId30" Type="http://schemas.openxmlformats.org/officeDocument/2006/relationships/hyperlink" Target="https://dx.doi.org/10.1186%2Fs13023-016-0503-2" TargetMode="External"/><Relationship Id="rId35" Type="http://schemas.openxmlformats.org/officeDocument/2006/relationships/hyperlink" Target="https://doi.org/10.5604/15093492.1084240" TargetMode="External"/><Relationship Id="rId43" Type="http://schemas.openxmlformats.org/officeDocument/2006/relationships/hyperlink" Target="https://doi.org/10.2147/RRED.S37278" TargetMode="External"/><Relationship Id="rId48" Type="http://schemas.openxmlformats.org/officeDocument/2006/relationships/hyperlink" Target="https://doi.org/10.1002/ajmg.a.34013" TargetMode="External"/><Relationship Id="rId56" Type="http://schemas.openxmlformats.org/officeDocument/2006/relationships/hyperlink" Target="https://dx.doi.org/10.1007%2Fs10545-015-9900-2" TargetMode="External"/><Relationship Id="rId64" Type="http://schemas.openxmlformats.org/officeDocument/2006/relationships/image" Target="media/image10.png"/><Relationship Id="rId69" Type="http://schemas.openxmlformats.org/officeDocument/2006/relationships/image" Target="media/image15.png"/><Relationship Id="rId77" Type="http://schemas.openxmlformats.org/officeDocument/2006/relationships/hyperlink" Target="http://dx.doi.org/10.1016/j.ymgme.2016.06.002" TargetMode="External"/><Relationship Id="rId8" Type="http://schemas.openxmlformats.org/officeDocument/2006/relationships/endnotes" Target="endnotes.xml"/><Relationship Id="rId51" Type="http://schemas.openxmlformats.org/officeDocument/2006/relationships/hyperlink" Target="https://dx.doi.org/10.5935%2F0103-507X.20130019" TargetMode="External"/><Relationship Id="rId72" Type="http://schemas.openxmlformats.org/officeDocument/2006/relationships/image" Target="media/image18.png"/><Relationship Id="rId80" Type="http://schemas.openxmlformats.org/officeDocument/2006/relationships/hyperlink" Target="http://dx.doi.org/10.5935/0104-7795.20040003" TargetMode="External"/><Relationship Id="rId85" Type="http://schemas.openxmlformats.org/officeDocument/2006/relationships/hyperlink" Target="http://submission.scielo.br/index.php/aob/author/downloadFile/187274/893498/3" TargetMode="External"/><Relationship Id="rId3" Type="http://schemas.openxmlformats.org/officeDocument/2006/relationships/styles" Target="styles.xml"/><Relationship Id="rId12" Type="http://schemas.openxmlformats.org/officeDocument/2006/relationships/hyperlink" Target="file:///E:\EBMSP\2017.2\Disserta&#231;&#227;o%20-%20Ap&#243;s%20Qualifica&#231;&#227;o%2021%20Outubro\Disserta&#231;&#227;o%20Atualizada%20ap&#243;s%20Qualifica&#231;&#227;o%20-%20Atualizada%2026.10.2017.docx" TargetMode="External"/><Relationship Id="rId17" Type="http://schemas.openxmlformats.org/officeDocument/2006/relationships/hyperlink" Target="file:///E:\EBMSP\2017.2\Disserta&#231;&#227;o%20-%20Ap&#243;s%20Qualifica&#231;&#227;o%2021%20Outubro\Disserta&#231;&#227;o%20Atualizada%20ap&#243;s%20Qualifica&#231;&#227;o%20-%20Atualizada%2026.10.2017.docx" TargetMode="External"/><Relationship Id="rId25" Type="http://schemas.openxmlformats.org/officeDocument/2006/relationships/image" Target="media/image9.png"/><Relationship Id="rId33" Type="http://schemas.openxmlformats.org/officeDocument/2006/relationships/hyperlink" Target="https://doi.org/10.1017/S0021932012000673" TargetMode="External"/><Relationship Id="rId38" Type="http://schemas.openxmlformats.org/officeDocument/2006/relationships/hyperlink" Target="https://doi.org/10.1016/j.braindev.2006.08.015" TargetMode="External"/><Relationship Id="rId46" Type="http://schemas.openxmlformats.org/officeDocument/2006/relationships/hyperlink" Target="https://doi.org/10.1016/j.ymgme.2013.03.004" TargetMode="External"/><Relationship Id="rId59" Type="http://schemas.openxmlformats.org/officeDocument/2006/relationships/hyperlink" Target="http://dx.doi.org/10.15448/1980-6108" TargetMode="External"/><Relationship Id="rId67" Type="http://schemas.openxmlformats.org/officeDocument/2006/relationships/image" Target="media/image13.png"/><Relationship Id="rId20" Type="http://schemas.openxmlformats.org/officeDocument/2006/relationships/image" Target="media/image4.png"/><Relationship Id="rId41" Type="http://schemas.openxmlformats.org/officeDocument/2006/relationships/hyperlink" Target="https://dx.doi.org/10.1007%2Fs13353-014-0262-5" TargetMode="External"/><Relationship Id="rId54" Type="http://schemas.openxmlformats.org/officeDocument/2006/relationships/hyperlink" Target="https://doi.org/10.1016/S0003-9993(98)90000-4" TargetMode="External"/><Relationship Id="rId62" Type="http://schemas.openxmlformats.org/officeDocument/2006/relationships/hyperlink" Target="https://dx.doi.org/10.1186%2F1750-1172-9-32" TargetMode="External"/><Relationship Id="rId70" Type="http://schemas.openxmlformats.org/officeDocument/2006/relationships/image" Target="media/image16.png"/><Relationship Id="rId75" Type="http://schemas.openxmlformats.org/officeDocument/2006/relationships/image" Target="media/image21.png"/><Relationship Id="rId83" Type="http://schemas.openxmlformats.org/officeDocument/2006/relationships/hyperlink" Target="https://dx.doi.org/10.1186%2F1750-1172-9-32"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E:\EBMSP\2017.2\Disserta&#231;&#227;o%20-%20Ap&#243;s%20Qualifica&#231;&#227;o%2021%20Outubro\Disserta&#231;&#227;o%20Atualizada%20ap&#243;s%20Qualifica&#231;&#227;o%20-%20Atualizada%2026.10.2017.docx" TargetMode="External"/><Relationship Id="rId23" Type="http://schemas.openxmlformats.org/officeDocument/2006/relationships/image" Target="media/image7.png"/><Relationship Id="rId28" Type="http://schemas.openxmlformats.org/officeDocument/2006/relationships/hyperlink" Target="https://dx.doi.org/10.1016%2Fj.ymgme.2014.12.001" TargetMode="External"/><Relationship Id="rId36" Type="http://schemas.openxmlformats.org/officeDocument/2006/relationships/hyperlink" Target="https://doi.org/doi:10.2223/JPED.1801" TargetMode="External"/><Relationship Id="rId49" Type="http://schemas.openxmlformats.org/officeDocument/2006/relationships/hyperlink" Target="http://dx.doi.org/10.5935/0104-7795.20040003" TargetMode="External"/><Relationship Id="rId57" Type="http://schemas.openxmlformats.org/officeDocument/2006/relationships/hyperlink" Target="https://dx.doi.org/10.1007%2Fs10545-014-9715-6" TargetMode="External"/><Relationship Id="rId10" Type="http://schemas.openxmlformats.org/officeDocument/2006/relationships/image" Target="media/image2.png"/><Relationship Id="rId31" Type="http://schemas.openxmlformats.org/officeDocument/2006/relationships/hyperlink" Target="https://dx.doi.org/10.1016%2Fj.ymgmr.2016.03.005" TargetMode="External"/><Relationship Id="rId44" Type="http://schemas.openxmlformats.org/officeDocument/2006/relationships/hyperlink" Target="https://doi.org/10.1043/0003-3219(2006)076%5b0335:MTAOMS%5d2.0.CO;2" TargetMode="External"/><Relationship Id="rId52" Type="http://schemas.openxmlformats.org/officeDocument/2006/relationships/hyperlink" Target="https://doi.org/10.1007/BF03020496" TargetMode="External"/><Relationship Id="rId60" Type="http://schemas.openxmlformats.org/officeDocument/2006/relationships/hyperlink" Target="https://dx.doi.org/10.1186%2F1477-7525-11-152" TargetMode="External"/><Relationship Id="rId65" Type="http://schemas.openxmlformats.org/officeDocument/2006/relationships/image" Target="media/image11.png"/><Relationship Id="rId73" Type="http://schemas.openxmlformats.org/officeDocument/2006/relationships/image" Target="media/image19.png"/><Relationship Id="rId78" Type="http://schemas.openxmlformats.org/officeDocument/2006/relationships/hyperlink" Target="https://dx.doi.org/10.1590%2FS1413-78522013000200009" TargetMode="External"/><Relationship Id="rId81" Type="http://schemas.openxmlformats.org/officeDocument/2006/relationships/hyperlink" Target="https://dx.doi.org/10.1186%2F1750-1172-5-5" TargetMode="External"/><Relationship Id="rId86" Type="http://schemas.openxmlformats.org/officeDocument/2006/relationships/hyperlink" Target="http://submission.scielo.br/index.php/aob/user/email?to%5b%5d=Srta.%20Paloma%20Silva%20Lopes%20%3cpalomaslopes82@gmail.com%3e&amp;redirectUrl=http://submission.scielo.br/index.php/aob/author/submission/187274&amp;subject=Independ%C3%AAncia%20funcional%20de%20pacientes%20pedi%C3%A1tricos%20com%20mucopolissacaridoses&amp;articleId=187274"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F010C-D26B-4131-B04C-4BCE0E38C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108</Pages>
  <Words>203200</Words>
  <Characters>1097286</Characters>
  <Application>Microsoft Office Word</Application>
  <DocSecurity>0</DocSecurity>
  <Lines>9144</Lines>
  <Paragraphs>2595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1297891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Palloma</dc:creator>
  <cp:lastModifiedBy>Palloma</cp:lastModifiedBy>
  <cp:revision>43</cp:revision>
  <cp:lastPrinted>2018-02-18T23:12:00Z</cp:lastPrinted>
  <dcterms:created xsi:type="dcterms:W3CDTF">2017-11-19T13:58:00Z</dcterms:created>
  <dcterms:modified xsi:type="dcterms:W3CDTF">2018-02-18T23:15:00Z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palomaslopes82@gmail.com@www.mendeley.com</vt:lpwstr>
  </property>
  <property fmtid="{D5CDD505-2E9C-101B-9397-08002B2CF9AE}" pid="4" name="Mendeley Citation Style_1">
    <vt:lpwstr>http://www.zotero.org/styles/vancouver-superscript</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http://www.zotero.org/styles/associacao-brasileira-de-normas-tecnicas</vt:lpwstr>
  </property>
  <property fmtid="{D5CDD505-2E9C-101B-9397-08002B2CF9AE}" pid="8" name="Mendeley Recent Style Name 1_1">
    <vt:lpwstr>Associação Brasileira de Normas Técnicas (Portuguese - Brazil)</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http://www.zotero.org/styles/vancouver-superscript</vt:lpwstr>
  </property>
  <property fmtid="{D5CDD505-2E9C-101B-9397-08002B2CF9AE}" pid="24" name="Mendeley Recent Style Name 9_1">
    <vt:lpwstr>Vancouver (superscript)</vt:lpwstr>
  </property>
</Properties>
</file>