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73" w:rsidRPr="001C5A73" w:rsidRDefault="001C5A73" w:rsidP="001C5A73">
      <w:pPr>
        <w:spacing w:after="60"/>
        <w:jc w:val="center"/>
        <w:rPr>
          <w:rFonts w:asciiTheme="minorHAnsi" w:hAnsiTheme="minorHAnsi"/>
          <w:b/>
          <w:sz w:val="22"/>
          <w:szCs w:val="22"/>
        </w:rPr>
      </w:pPr>
      <w:bookmarkStart w:id="0" w:name="_GoBack"/>
      <w:bookmarkEnd w:id="0"/>
      <w:r w:rsidRPr="001C5A73">
        <w:rPr>
          <w:rFonts w:asciiTheme="minorHAnsi" w:hAnsiTheme="minorHAnsi" w:cs="Arial"/>
          <w:b/>
          <w:sz w:val="22"/>
          <w:szCs w:val="22"/>
        </w:rPr>
        <w:t>Desenvolvimento de Competência</w:t>
      </w:r>
      <w:r w:rsidR="00FD6E05">
        <w:rPr>
          <w:rFonts w:asciiTheme="minorHAnsi" w:hAnsiTheme="minorHAnsi" w:cs="Arial"/>
          <w:b/>
          <w:sz w:val="22"/>
          <w:szCs w:val="22"/>
        </w:rPr>
        <w:t>s humanísticas</w:t>
      </w:r>
      <w:r w:rsidR="002076A7">
        <w:rPr>
          <w:rFonts w:asciiTheme="minorHAnsi" w:hAnsiTheme="minorHAnsi" w:cs="Arial"/>
          <w:b/>
          <w:sz w:val="22"/>
          <w:szCs w:val="22"/>
        </w:rPr>
        <w:t xml:space="preserve"> no currículo de cursos da área da saúde</w:t>
      </w:r>
      <w:r w:rsidR="008F445A">
        <w:rPr>
          <w:rFonts w:asciiTheme="minorHAnsi" w:hAnsiTheme="minorHAnsi" w:cs="Arial"/>
          <w:b/>
          <w:sz w:val="22"/>
          <w:szCs w:val="22"/>
        </w:rPr>
        <w:t>.</w:t>
      </w:r>
    </w:p>
    <w:p w:rsidR="007A4F26" w:rsidRPr="00E36524" w:rsidRDefault="007A4F26" w:rsidP="006E532A">
      <w:pPr>
        <w:spacing w:after="60"/>
        <w:jc w:val="both"/>
        <w:rPr>
          <w:rFonts w:asciiTheme="minorHAnsi" w:hAnsiTheme="minorHAnsi"/>
          <w:sz w:val="20"/>
          <w:szCs w:val="20"/>
        </w:rPr>
      </w:pPr>
      <w:r w:rsidRPr="00E36524">
        <w:rPr>
          <w:rFonts w:asciiTheme="minorHAnsi" w:hAnsiTheme="minorHAnsi"/>
          <w:sz w:val="20"/>
          <w:szCs w:val="20"/>
        </w:rPr>
        <w:t>Frente às necessidades de se formar um profissional com um perfil contemporâneo e baseado em competências instituíram-se no início do século XXI, as Diretrizes Curriculares Nacionais para os Cursos de Graduação</w:t>
      </w:r>
      <w:r w:rsidR="00A1618D" w:rsidRPr="00E36524">
        <w:rPr>
          <w:rFonts w:asciiTheme="minorHAnsi" w:hAnsiTheme="minorHAnsi"/>
          <w:sz w:val="20"/>
          <w:szCs w:val="20"/>
        </w:rPr>
        <w:t>.</w:t>
      </w:r>
      <w:r w:rsidRPr="00E36524">
        <w:rPr>
          <w:rFonts w:asciiTheme="minorHAnsi" w:hAnsiTheme="minorHAnsi"/>
          <w:sz w:val="20"/>
          <w:szCs w:val="20"/>
        </w:rPr>
        <w:t xml:space="preserve"> </w:t>
      </w:r>
    </w:p>
    <w:p w:rsidR="007A4F26" w:rsidRPr="00E36524" w:rsidRDefault="007A4F26" w:rsidP="001C5A73">
      <w:pPr>
        <w:spacing w:after="60"/>
        <w:jc w:val="both"/>
        <w:rPr>
          <w:rFonts w:asciiTheme="minorHAnsi" w:hAnsiTheme="minorHAnsi"/>
          <w:sz w:val="20"/>
          <w:szCs w:val="20"/>
        </w:rPr>
      </w:pPr>
      <w:r w:rsidRPr="00E36524">
        <w:rPr>
          <w:rFonts w:asciiTheme="minorHAnsi" w:hAnsiTheme="minorHAnsi"/>
          <w:sz w:val="20"/>
          <w:szCs w:val="20"/>
        </w:rPr>
        <w:t xml:space="preserve">Para atender o preconizado nas DCN, que estabelece competências gerais e específicas, subentende-se que as escolas das profissões da saúde devem considerar uma proposta curricular que contemple um currículo baseado em competências (CBC). </w:t>
      </w:r>
    </w:p>
    <w:p w:rsidR="007A4F26" w:rsidRPr="00E36524" w:rsidRDefault="007A4F26" w:rsidP="001C5A73">
      <w:pPr>
        <w:tabs>
          <w:tab w:val="num" w:pos="0"/>
        </w:tabs>
        <w:spacing w:after="60"/>
        <w:jc w:val="both"/>
        <w:rPr>
          <w:rFonts w:asciiTheme="minorHAnsi" w:hAnsiTheme="minorHAnsi"/>
          <w:sz w:val="20"/>
          <w:szCs w:val="20"/>
        </w:rPr>
      </w:pPr>
      <w:r w:rsidRPr="00E36524">
        <w:rPr>
          <w:rFonts w:asciiTheme="minorHAnsi" w:hAnsiTheme="minorHAnsi"/>
          <w:sz w:val="20"/>
          <w:szCs w:val="20"/>
        </w:rPr>
        <w:t>São vários os fatores que devem ser valorizados no desenho e implementação de um currículo, a saber: teorias de aprendizagem; teorias de prática profissional; valores sociais; expansão constante da base de conhecimento; profissionalismo; desenvolvimento dos serviços e do sistema de saúde; aspectos políticos; transparência e responsabilidade. A partir disto devemos estar cientes de que a escolha do “desenho ou modelo do currículo” não é uma entidade “objetiva e exclusivamente racional”, mas sim uma construção social, política, acadêmica e profissional. (Grant, 2006)</w:t>
      </w:r>
    </w:p>
    <w:p w:rsidR="007A4F26" w:rsidRPr="00E36524" w:rsidRDefault="007A4F26" w:rsidP="001C5A73">
      <w:pPr>
        <w:tabs>
          <w:tab w:val="num" w:pos="0"/>
        </w:tabs>
        <w:spacing w:after="60"/>
        <w:jc w:val="both"/>
        <w:rPr>
          <w:rFonts w:asciiTheme="minorHAnsi" w:hAnsiTheme="minorHAnsi"/>
          <w:sz w:val="20"/>
          <w:szCs w:val="20"/>
        </w:rPr>
      </w:pPr>
      <w:r w:rsidRPr="00E36524">
        <w:rPr>
          <w:rFonts w:asciiTheme="minorHAnsi" w:hAnsiTheme="minorHAnsi"/>
          <w:sz w:val="20"/>
          <w:szCs w:val="20"/>
        </w:rPr>
        <w:t>Tyler em meados do século XX estabeleceu pela primeira vez a idéia de que para desenhar um currículo seria necessário ter uma concepção das metas que se espera alcançar. Neste contexto a definição de objetivos de aprendizagem se torna um referencial para a seleção de material de estudo, definição de conteúdos, escolha dos métodos de instrução e os exames e provas a serem elaborados. Sem um currículo claramente definido não há como estabelecer um sistema de avaliação objetivo, representativo, válido, reprodutível e justo. (Tyler , 1949)</w:t>
      </w:r>
    </w:p>
    <w:p w:rsidR="007A4F26" w:rsidRPr="00E36524" w:rsidRDefault="007A4F26" w:rsidP="001C5A73">
      <w:pPr>
        <w:tabs>
          <w:tab w:val="num" w:pos="0"/>
        </w:tabs>
        <w:spacing w:after="60"/>
        <w:jc w:val="both"/>
        <w:rPr>
          <w:rFonts w:asciiTheme="minorHAnsi" w:hAnsiTheme="minorHAnsi"/>
          <w:sz w:val="20"/>
          <w:szCs w:val="20"/>
        </w:rPr>
      </w:pPr>
      <w:r w:rsidRPr="00E36524">
        <w:rPr>
          <w:rFonts w:asciiTheme="minorHAnsi" w:hAnsiTheme="minorHAnsi"/>
          <w:sz w:val="20"/>
          <w:szCs w:val="20"/>
        </w:rPr>
        <w:t xml:space="preserve">A idéia de um currículo baseado em competências parte da premissa que devemos estabelecer os resultados esperados com aquela experiência educacional, e defini-los </w:t>
      </w:r>
      <w:r w:rsidR="00CA6902" w:rsidRPr="00E36524">
        <w:rPr>
          <w:rFonts w:asciiTheme="minorHAnsi" w:hAnsiTheme="minorHAnsi"/>
          <w:sz w:val="20"/>
          <w:szCs w:val="20"/>
        </w:rPr>
        <w:t>como</w:t>
      </w:r>
      <w:r w:rsidRPr="00E36524">
        <w:rPr>
          <w:rFonts w:asciiTheme="minorHAnsi" w:hAnsiTheme="minorHAnsi"/>
          <w:sz w:val="20"/>
          <w:szCs w:val="20"/>
        </w:rPr>
        <w:t xml:space="preserve"> competências gerais e específicas</w:t>
      </w:r>
      <w:r w:rsidR="00CA6902" w:rsidRPr="00E36524">
        <w:rPr>
          <w:rFonts w:asciiTheme="minorHAnsi" w:hAnsiTheme="minorHAnsi"/>
          <w:sz w:val="20"/>
          <w:szCs w:val="20"/>
        </w:rPr>
        <w:t xml:space="preserve">, e estas </w:t>
      </w:r>
      <w:r w:rsidRPr="00E36524">
        <w:rPr>
          <w:rFonts w:asciiTheme="minorHAnsi" w:hAnsiTheme="minorHAnsi"/>
          <w:sz w:val="20"/>
          <w:szCs w:val="20"/>
        </w:rPr>
        <w:t xml:space="preserve">podem ser descritas de forma mais ou menos detalhada através de objetivos de aprendizagem. </w:t>
      </w:r>
      <w:r w:rsidRPr="00E36524">
        <w:rPr>
          <w:rFonts w:asciiTheme="minorHAnsi" w:hAnsiTheme="minorHAnsi"/>
          <w:sz w:val="20"/>
          <w:szCs w:val="20"/>
          <w:u w:val="single"/>
        </w:rPr>
        <w:t>Este modelo parte do princípio de que se pudermos definir as competências esperadas, poderemos criar as condições de aprendizagem necessárias para que os estudantes as desenvolvam com proficiência, bem como saber através de processos robustos de avaliação se os resultados desejados foram realmente alcançados</w:t>
      </w:r>
      <w:r w:rsidRPr="00E36524">
        <w:rPr>
          <w:rFonts w:asciiTheme="minorHAnsi" w:hAnsiTheme="minorHAnsi"/>
          <w:sz w:val="20"/>
          <w:szCs w:val="20"/>
        </w:rPr>
        <w:t xml:space="preserve">. </w:t>
      </w:r>
    </w:p>
    <w:p w:rsidR="007A4F26" w:rsidRPr="00E36524" w:rsidRDefault="007A4F26" w:rsidP="001C5A73">
      <w:pPr>
        <w:spacing w:after="60"/>
        <w:jc w:val="both"/>
        <w:rPr>
          <w:rFonts w:asciiTheme="minorHAnsi" w:hAnsiTheme="minorHAnsi"/>
          <w:b/>
          <w:bCs/>
          <w:sz w:val="20"/>
          <w:szCs w:val="20"/>
        </w:rPr>
      </w:pPr>
      <w:r w:rsidRPr="00E36524">
        <w:rPr>
          <w:rFonts w:asciiTheme="minorHAnsi" w:hAnsiTheme="minorHAnsi"/>
          <w:b/>
          <w:bCs/>
          <w:sz w:val="20"/>
          <w:szCs w:val="20"/>
        </w:rPr>
        <w:t>Afinal de contas, qual o significado de competência</w:t>
      </w:r>
      <w:r w:rsidR="00A05270">
        <w:rPr>
          <w:rFonts w:asciiTheme="minorHAnsi" w:hAnsiTheme="minorHAnsi"/>
          <w:b/>
          <w:bCs/>
          <w:sz w:val="20"/>
          <w:szCs w:val="20"/>
        </w:rPr>
        <w:t xml:space="preserve"> na área médica</w:t>
      </w:r>
      <w:r w:rsidRPr="00E36524">
        <w:rPr>
          <w:rFonts w:asciiTheme="minorHAnsi" w:hAnsiTheme="minorHAnsi"/>
          <w:b/>
          <w:bCs/>
          <w:sz w:val="20"/>
          <w:szCs w:val="20"/>
        </w:rPr>
        <w:t>?</w:t>
      </w:r>
    </w:p>
    <w:p w:rsidR="007A4F26" w:rsidRPr="00E36524" w:rsidRDefault="007A4F26" w:rsidP="001C5A73">
      <w:pPr>
        <w:spacing w:after="60"/>
        <w:jc w:val="both"/>
        <w:rPr>
          <w:rFonts w:asciiTheme="minorHAnsi" w:hAnsiTheme="minorHAnsi"/>
          <w:sz w:val="20"/>
          <w:szCs w:val="20"/>
        </w:rPr>
      </w:pPr>
      <w:r w:rsidRPr="00E36524">
        <w:rPr>
          <w:rFonts w:asciiTheme="minorHAnsi" w:hAnsiTheme="minorHAnsi"/>
          <w:sz w:val="20"/>
          <w:szCs w:val="20"/>
        </w:rPr>
        <w:t xml:space="preserve">Existe uma grande confusão relacionada à definição de competência, com várias compreensões </w:t>
      </w:r>
      <w:r w:rsidR="00CA6902" w:rsidRPr="00E36524">
        <w:rPr>
          <w:rFonts w:asciiTheme="minorHAnsi" w:hAnsiTheme="minorHAnsi"/>
          <w:sz w:val="20"/>
          <w:szCs w:val="20"/>
        </w:rPr>
        <w:t xml:space="preserve">distintas </w:t>
      </w:r>
      <w:r w:rsidRPr="00E36524">
        <w:rPr>
          <w:rFonts w:asciiTheme="minorHAnsi" w:hAnsiTheme="minorHAnsi"/>
          <w:sz w:val="20"/>
          <w:szCs w:val="20"/>
        </w:rPr>
        <w:t>sobre o tema. A natureza de uma competência é complexa, pois se trata de uma combinação de pré-requisitos interligados como habilidades cognitivas e práticas, conhecimento (tácito e explícito), motivação, orientação de valores, atitudes e emoções. Conseqüentemente, competência não é sinônimo de habilidade. Habilidade geralmente é usada para designar a capacidade de realizar atos cognitivos e/ou práticos de alta complexidade (raciocínio clínico, punção venosa central, exame físico, etc..). O termo competência tem caráter mais amplo e inclui conhecimento, atitudes, habilidades cognitivas e práticas em um caráter mais holístico. EPSTEIN &amp; HUNDERT (2002) definem competência profissional a partir de uma ampla revisão da literatura</w:t>
      </w:r>
      <w:r w:rsidR="00A1618D" w:rsidRPr="00E36524">
        <w:rPr>
          <w:rFonts w:asciiTheme="minorHAnsi" w:hAnsiTheme="minorHAnsi"/>
          <w:sz w:val="20"/>
          <w:szCs w:val="20"/>
        </w:rPr>
        <w:t xml:space="preserve">. </w:t>
      </w:r>
      <w:r w:rsidRPr="00E36524">
        <w:rPr>
          <w:rFonts w:asciiTheme="minorHAnsi" w:hAnsiTheme="minorHAnsi"/>
          <w:sz w:val="20"/>
          <w:szCs w:val="20"/>
        </w:rPr>
        <w:t>A competência foi então definida nesse estudo como:</w:t>
      </w:r>
    </w:p>
    <w:p w:rsidR="007A4F26" w:rsidRPr="00E36524" w:rsidRDefault="007A4F26" w:rsidP="001C5A73">
      <w:pPr>
        <w:pStyle w:val="Recuodecorpodetexto"/>
        <w:spacing w:after="60"/>
        <w:ind w:left="540"/>
        <w:rPr>
          <w:rFonts w:asciiTheme="minorHAnsi" w:hAnsiTheme="minorHAnsi"/>
          <w:i/>
          <w:sz w:val="20"/>
          <w:szCs w:val="20"/>
        </w:rPr>
      </w:pPr>
      <w:r w:rsidRPr="00E36524">
        <w:rPr>
          <w:rFonts w:asciiTheme="minorHAnsi" w:hAnsiTheme="minorHAnsi"/>
          <w:i/>
          <w:sz w:val="20"/>
          <w:szCs w:val="20"/>
        </w:rPr>
        <w:t>“O uso habitual e criterioso da comunicação, conhecimento, do raciocínio, da capacidade de integração de dados, habilidade técnica, emoções, capacidade reflexiva, e capacidade de se manter atualizado, que o médico lança mão para servir as pessoas e comunidades que dele necessitarem”</w:t>
      </w:r>
    </w:p>
    <w:p w:rsidR="007A4F26" w:rsidRPr="00E36524" w:rsidRDefault="007A4F26" w:rsidP="001C5A73">
      <w:pPr>
        <w:spacing w:after="60"/>
        <w:jc w:val="both"/>
        <w:rPr>
          <w:rFonts w:asciiTheme="minorHAnsi" w:hAnsiTheme="minorHAnsi"/>
          <w:sz w:val="20"/>
          <w:szCs w:val="20"/>
        </w:rPr>
      </w:pPr>
      <w:r w:rsidRPr="00E36524">
        <w:rPr>
          <w:rFonts w:asciiTheme="minorHAnsi" w:hAnsiTheme="minorHAnsi"/>
          <w:sz w:val="20"/>
          <w:szCs w:val="20"/>
        </w:rPr>
        <w:t>Os autores entendem que a competência se fundamenta nas habilidades clínicas básicas, no conhecimento científico e nos atributos morais e éticos. As dimensões da competência profissional incluiriam portanto:</w:t>
      </w:r>
    </w:p>
    <w:p w:rsidR="007A4F26" w:rsidRPr="00E36524" w:rsidRDefault="007A4F26" w:rsidP="001C5A73">
      <w:pPr>
        <w:numPr>
          <w:ilvl w:val="0"/>
          <w:numId w:val="16"/>
        </w:numPr>
        <w:tabs>
          <w:tab w:val="clear" w:pos="5892"/>
          <w:tab w:val="num" w:pos="540"/>
        </w:tabs>
        <w:spacing w:after="60"/>
        <w:ind w:left="540" w:firstLine="0"/>
        <w:jc w:val="both"/>
        <w:rPr>
          <w:rFonts w:asciiTheme="minorHAnsi" w:hAnsiTheme="minorHAnsi"/>
          <w:sz w:val="20"/>
          <w:szCs w:val="20"/>
        </w:rPr>
      </w:pPr>
      <w:r w:rsidRPr="00E36524">
        <w:rPr>
          <w:rFonts w:asciiTheme="minorHAnsi" w:hAnsiTheme="minorHAnsi"/>
          <w:sz w:val="20"/>
          <w:szCs w:val="20"/>
          <w:u w:val="single"/>
        </w:rPr>
        <w:t>Função cognitiva</w:t>
      </w:r>
      <w:r w:rsidRPr="00E36524">
        <w:rPr>
          <w:rFonts w:asciiTheme="minorHAnsi" w:hAnsiTheme="minorHAnsi"/>
          <w:sz w:val="20"/>
          <w:szCs w:val="20"/>
        </w:rPr>
        <w:t>: aquisição e utilização do conhecimento para resolver problemas da vida real.</w:t>
      </w:r>
    </w:p>
    <w:p w:rsidR="007A4F26" w:rsidRPr="00E36524" w:rsidRDefault="007A4F26" w:rsidP="001C5A73">
      <w:pPr>
        <w:numPr>
          <w:ilvl w:val="0"/>
          <w:numId w:val="16"/>
        </w:numPr>
        <w:tabs>
          <w:tab w:val="clear" w:pos="5892"/>
          <w:tab w:val="num" w:pos="540"/>
        </w:tabs>
        <w:spacing w:after="60"/>
        <w:ind w:left="540" w:firstLine="0"/>
        <w:jc w:val="both"/>
        <w:rPr>
          <w:rFonts w:asciiTheme="minorHAnsi" w:hAnsiTheme="minorHAnsi"/>
          <w:sz w:val="20"/>
          <w:szCs w:val="20"/>
        </w:rPr>
      </w:pPr>
      <w:r w:rsidRPr="00E36524">
        <w:rPr>
          <w:rFonts w:asciiTheme="minorHAnsi" w:hAnsiTheme="minorHAnsi"/>
          <w:sz w:val="20"/>
          <w:szCs w:val="20"/>
          <w:u w:val="single"/>
        </w:rPr>
        <w:t>Função integrativa</w:t>
      </w:r>
      <w:r w:rsidRPr="00E36524">
        <w:rPr>
          <w:rFonts w:asciiTheme="minorHAnsi" w:hAnsiTheme="minorHAnsi"/>
          <w:sz w:val="20"/>
          <w:szCs w:val="20"/>
        </w:rPr>
        <w:t>: utilização de dados biomédicos e psicossociais para a elaboração do raciocínio clínico.</w:t>
      </w:r>
    </w:p>
    <w:p w:rsidR="007A4F26" w:rsidRPr="00E36524" w:rsidRDefault="007A4F26" w:rsidP="001C5A73">
      <w:pPr>
        <w:numPr>
          <w:ilvl w:val="0"/>
          <w:numId w:val="16"/>
        </w:numPr>
        <w:tabs>
          <w:tab w:val="clear" w:pos="5892"/>
          <w:tab w:val="num" w:pos="540"/>
        </w:tabs>
        <w:spacing w:after="60"/>
        <w:ind w:left="540" w:firstLine="0"/>
        <w:jc w:val="both"/>
        <w:rPr>
          <w:rFonts w:asciiTheme="minorHAnsi" w:hAnsiTheme="minorHAnsi"/>
          <w:sz w:val="20"/>
          <w:szCs w:val="20"/>
        </w:rPr>
      </w:pPr>
      <w:r w:rsidRPr="00E36524">
        <w:rPr>
          <w:rFonts w:asciiTheme="minorHAnsi" w:hAnsiTheme="minorHAnsi"/>
          <w:sz w:val="20"/>
          <w:szCs w:val="20"/>
          <w:u w:val="single"/>
        </w:rPr>
        <w:t>Função de relacionamento</w:t>
      </w:r>
      <w:r w:rsidRPr="00E36524">
        <w:rPr>
          <w:rFonts w:asciiTheme="minorHAnsi" w:hAnsiTheme="minorHAnsi"/>
          <w:sz w:val="20"/>
          <w:szCs w:val="20"/>
        </w:rPr>
        <w:t>: efetiva comunicação com pacientes, familiares e membros da equipe de saúde.</w:t>
      </w:r>
    </w:p>
    <w:p w:rsidR="007A4F26" w:rsidRPr="00E36524" w:rsidRDefault="007A4F26" w:rsidP="001C5A73">
      <w:pPr>
        <w:numPr>
          <w:ilvl w:val="0"/>
          <w:numId w:val="16"/>
        </w:numPr>
        <w:tabs>
          <w:tab w:val="clear" w:pos="5892"/>
          <w:tab w:val="num" w:pos="540"/>
        </w:tabs>
        <w:spacing w:after="60"/>
        <w:ind w:left="540" w:firstLine="0"/>
        <w:jc w:val="both"/>
        <w:rPr>
          <w:rFonts w:asciiTheme="minorHAnsi" w:hAnsiTheme="minorHAnsi"/>
          <w:sz w:val="20"/>
          <w:szCs w:val="20"/>
        </w:rPr>
      </w:pPr>
      <w:r w:rsidRPr="00E36524">
        <w:rPr>
          <w:rFonts w:asciiTheme="minorHAnsi" w:hAnsiTheme="minorHAnsi"/>
          <w:sz w:val="20"/>
          <w:szCs w:val="20"/>
          <w:u w:val="single"/>
        </w:rPr>
        <w:t>Função Afetiva e Moral</w:t>
      </w:r>
      <w:r w:rsidRPr="00E36524">
        <w:rPr>
          <w:rFonts w:asciiTheme="minorHAnsi" w:hAnsiTheme="minorHAnsi"/>
          <w:sz w:val="20"/>
          <w:szCs w:val="20"/>
        </w:rPr>
        <w:t>: disponibilidade, paciência, tolerância, respeito e a capacidade de utilizar esses atributos de forma criteriosa e humana.</w:t>
      </w:r>
    </w:p>
    <w:p w:rsidR="007A4F26" w:rsidRPr="00E36524" w:rsidRDefault="007A4F26" w:rsidP="001C5A73">
      <w:pPr>
        <w:spacing w:after="60"/>
        <w:jc w:val="both"/>
        <w:rPr>
          <w:rFonts w:asciiTheme="minorHAnsi" w:hAnsiTheme="minorHAnsi"/>
          <w:sz w:val="20"/>
          <w:szCs w:val="20"/>
        </w:rPr>
      </w:pPr>
      <w:r w:rsidRPr="00E36524">
        <w:rPr>
          <w:rFonts w:asciiTheme="minorHAnsi" w:hAnsiTheme="minorHAnsi"/>
          <w:b/>
          <w:bCs/>
          <w:sz w:val="20"/>
          <w:szCs w:val="20"/>
        </w:rPr>
        <w:t>Currículo Baseado em Competências</w:t>
      </w:r>
    </w:p>
    <w:p w:rsidR="007A4F26" w:rsidRPr="00E36524" w:rsidRDefault="007A4F26" w:rsidP="001C5A73">
      <w:pPr>
        <w:spacing w:after="60"/>
        <w:jc w:val="both"/>
        <w:rPr>
          <w:rFonts w:asciiTheme="minorHAnsi" w:hAnsiTheme="minorHAnsi"/>
          <w:sz w:val="20"/>
          <w:szCs w:val="20"/>
        </w:rPr>
      </w:pPr>
      <w:r w:rsidRPr="00E36524">
        <w:rPr>
          <w:rFonts w:asciiTheme="minorHAnsi" w:hAnsiTheme="minorHAnsi"/>
          <w:sz w:val="20"/>
          <w:szCs w:val="20"/>
        </w:rPr>
        <w:t xml:space="preserve">Outra definição que merece destaque é a de currículo baseado em competências (CBC). Segundo o documento </w:t>
      </w:r>
      <w:r w:rsidRPr="00E36524">
        <w:rPr>
          <w:rFonts w:asciiTheme="minorHAnsi" w:hAnsiTheme="minorHAnsi"/>
          <w:i/>
          <w:sz w:val="20"/>
          <w:szCs w:val="20"/>
        </w:rPr>
        <w:t>Outcome Project</w:t>
      </w:r>
      <w:r w:rsidRPr="00E36524">
        <w:rPr>
          <w:rFonts w:asciiTheme="minorHAnsi" w:hAnsiTheme="minorHAnsi"/>
          <w:sz w:val="20"/>
          <w:szCs w:val="20"/>
        </w:rPr>
        <w:t xml:space="preserve"> da ACGME/ABMS (2006), CBC é aquele que deixa claro as competências que se espera do aprendiz e deve ser descrito em termos de objetivos de aprendizagem específicos. Cada objetivo deve estar relacionado com um plano que descreva “</w:t>
      </w:r>
      <w:r w:rsidRPr="00E36524">
        <w:rPr>
          <w:rFonts w:asciiTheme="minorHAnsi" w:hAnsiTheme="minorHAnsi"/>
          <w:i/>
          <w:iCs/>
          <w:sz w:val="20"/>
          <w:szCs w:val="20"/>
        </w:rPr>
        <w:t>como ele será alcançado</w:t>
      </w:r>
      <w:r w:rsidRPr="00E36524">
        <w:rPr>
          <w:rFonts w:asciiTheme="minorHAnsi" w:hAnsiTheme="minorHAnsi"/>
          <w:sz w:val="20"/>
          <w:szCs w:val="20"/>
        </w:rPr>
        <w:t>”</w:t>
      </w:r>
      <w:r w:rsidRPr="00E36524">
        <w:rPr>
          <w:rFonts w:asciiTheme="minorHAnsi" w:hAnsiTheme="minorHAnsi"/>
          <w:i/>
          <w:iCs/>
          <w:sz w:val="20"/>
          <w:szCs w:val="20"/>
        </w:rPr>
        <w:t xml:space="preserve"> </w:t>
      </w:r>
      <w:r w:rsidRPr="00E36524">
        <w:rPr>
          <w:rFonts w:asciiTheme="minorHAnsi" w:hAnsiTheme="minorHAnsi"/>
          <w:sz w:val="20"/>
          <w:szCs w:val="20"/>
        </w:rPr>
        <w:t>e “</w:t>
      </w:r>
      <w:r w:rsidRPr="00E36524">
        <w:rPr>
          <w:rFonts w:asciiTheme="minorHAnsi" w:hAnsiTheme="minorHAnsi"/>
          <w:i/>
          <w:iCs/>
          <w:sz w:val="20"/>
          <w:szCs w:val="20"/>
        </w:rPr>
        <w:t>como essa aquisição será avaliada</w:t>
      </w:r>
      <w:r w:rsidRPr="00E36524">
        <w:rPr>
          <w:rFonts w:asciiTheme="minorHAnsi" w:hAnsiTheme="minorHAnsi"/>
          <w:sz w:val="20"/>
          <w:szCs w:val="20"/>
        </w:rPr>
        <w:t>” (Joyce, 2006)</w:t>
      </w:r>
      <w:r w:rsidR="00D310D4" w:rsidRPr="00E36524">
        <w:rPr>
          <w:rFonts w:asciiTheme="minorHAnsi" w:hAnsiTheme="minorHAnsi"/>
          <w:sz w:val="20"/>
          <w:szCs w:val="20"/>
        </w:rPr>
        <w:t>.</w:t>
      </w:r>
      <w:r w:rsidRPr="00E36524">
        <w:rPr>
          <w:rFonts w:asciiTheme="minorHAnsi" w:hAnsiTheme="minorHAnsi"/>
          <w:sz w:val="20"/>
          <w:szCs w:val="20"/>
        </w:rPr>
        <w:t xml:space="preserve"> </w:t>
      </w:r>
    </w:p>
    <w:p w:rsidR="007A4F26" w:rsidRPr="00E36524" w:rsidRDefault="007A4F26" w:rsidP="001C5A73">
      <w:pPr>
        <w:spacing w:after="60"/>
        <w:jc w:val="both"/>
        <w:rPr>
          <w:rFonts w:asciiTheme="minorHAnsi" w:hAnsiTheme="minorHAnsi"/>
          <w:sz w:val="20"/>
          <w:szCs w:val="20"/>
        </w:rPr>
      </w:pPr>
      <w:r w:rsidRPr="00E36524">
        <w:rPr>
          <w:rFonts w:asciiTheme="minorHAnsi" w:hAnsiTheme="minorHAnsi"/>
          <w:sz w:val="20"/>
          <w:szCs w:val="20"/>
        </w:rPr>
        <w:t xml:space="preserve">Essa metodologia tem sido utilizada para trabalhar o currículo dos cursos de graduação em medicina. Para tanto é necessário identificar uma unidade (disciplina, estágio, componente do curso) constante do currículo ou uma experiência educacional sobre a qual se deseja desenvolver o currículo baseado em competências. </w:t>
      </w:r>
    </w:p>
    <w:p w:rsidR="007A4F26" w:rsidRPr="00E36524" w:rsidRDefault="007A4F26" w:rsidP="001C5A73">
      <w:pPr>
        <w:spacing w:after="60"/>
        <w:jc w:val="both"/>
        <w:rPr>
          <w:rFonts w:asciiTheme="minorHAnsi" w:hAnsiTheme="minorHAnsi"/>
          <w:sz w:val="20"/>
          <w:szCs w:val="20"/>
        </w:rPr>
      </w:pPr>
      <w:r w:rsidRPr="00E36524">
        <w:rPr>
          <w:rFonts w:asciiTheme="minorHAnsi" w:hAnsiTheme="minorHAnsi"/>
          <w:sz w:val="20"/>
          <w:szCs w:val="20"/>
        </w:rPr>
        <w:t>O planejamento curricular é uma ferramenta muito útil para deixar claro para os estudantes e professores o que se pretende com a</w:t>
      </w:r>
      <w:r w:rsidR="0048041F" w:rsidRPr="00E36524">
        <w:rPr>
          <w:rFonts w:asciiTheme="minorHAnsi" w:hAnsiTheme="minorHAnsi"/>
          <w:sz w:val="20"/>
          <w:szCs w:val="20"/>
        </w:rPr>
        <w:t>quela</w:t>
      </w:r>
      <w:r w:rsidRPr="00E36524">
        <w:rPr>
          <w:rFonts w:asciiTheme="minorHAnsi" w:hAnsiTheme="minorHAnsi"/>
          <w:sz w:val="20"/>
          <w:szCs w:val="20"/>
        </w:rPr>
        <w:t xml:space="preserve"> experiência educacional proposta. </w:t>
      </w:r>
      <w:r w:rsidR="0048041F" w:rsidRPr="00E36524">
        <w:rPr>
          <w:rFonts w:asciiTheme="minorHAnsi" w:hAnsiTheme="minorHAnsi"/>
          <w:sz w:val="20"/>
          <w:szCs w:val="20"/>
        </w:rPr>
        <w:t xml:space="preserve">Em seguida é preciso seguir o passo-a-passo proposto. </w:t>
      </w:r>
      <w:r w:rsidRPr="00E36524">
        <w:rPr>
          <w:rFonts w:asciiTheme="minorHAnsi" w:hAnsiTheme="minorHAnsi"/>
          <w:sz w:val="20"/>
          <w:szCs w:val="20"/>
        </w:rPr>
        <w:t>São seis os passos necessários para executar um planejamento curricular baseado em competências.</w:t>
      </w:r>
    </w:p>
    <w:p w:rsidR="007A4F26" w:rsidRPr="00E36524" w:rsidRDefault="007A4F26" w:rsidP="001C5A73">
      <w:pPr>
        <w:numPr>
          <w:ilvl w:val="0"/>
          <w:numId w:val="17"/>
        </w:numPr>
        <w:tabs>
          <w:tab w:val="clear" w:pos="888"/>
          <w:tab w:val="num" w:pos="540"/>
        </w:tabs>
        <w:spacing w:after="60"/>
        <w:ind w:left="539" w:firstLine="0"/>
        <w:jc w:val="both"/>
        <w:rPr>
          <w:rFonts w:asciiTheme="minorHAnsi" w:hAnsiTheme="minorHAnsi"/>
          <w:sz w:val="20"/>
          <w:szCs w:val="20"/>
        </w:rPr>
      </w:pPr>
      <w:r w:rsidRPr="00E36524">
        <w:rPr>
          <w:rFonts w:asciiTheme="minorHAnsi" w:hAnsiTheme="minorHAnsi"/>
          <w:b/>
          <w:sz w:val="20"/>
          <w:szCs w:val="20"/>
        </w:rPr>
        <w:t xml:space="preserve">Passo 1: </w:t>
      </w:r>
      <w:r w:rsidRPr="00E36524">
        <w:rPr>
          <w:rFonts w:asciiTheme="minorHAnsi" w:hAnsiTheme="minorHAnsi"/>
          <w:bCs/>
          <w:sz w:val="20"/>
          <w:szCs w:val="20"/>
        </w:rPr>
        <w:t>Identificar as necessid</w:t>
      </w:r>
      <w:r w:rsidR="0048041F" w:rsidRPr="00E36524">
        <w:rPr>
          <w:rFonts w:asciiTheme="minorHAnsi" w:hAnsiTheme="minorHAnsi"/>
          <w:bCs/>
          <w:sz w:val="20"/>
          <w:szCs w:val="20"/>
        </w:rPr>
        <w:t>ades dos aprendizes e da sociedade. Enfim, o</w:t>
      </w:r>
      <w:r w:rsidRPr="00E36524">
        <w:rPr>
          <w:rFonts w:asciiTheme="minorHAnsi" w:hAnsiTheme="minorHAnsi"/>
          <w:bCs/>
          <w:sz w:val="20"/>
          <w:szCs w:val="20"/>
        </w:rPr>
        <w:t>nde se pretende chegar</w:t>
      </w:r>
      <w:r w:rsidR="0048041F" w:rsidRPr="00E36524">
        <w:rPr>
          <w:rFonts w:asciiTheme="minorHAnsi" w:hAnsiTheme="minorHAnsi"/>
          <w:bCs/>
          <w:sz w:val="20"/>
          <w:szCs w:val="20"/>
        </w:rPr>
        <w:t xml:space="preserve"> ao final da experiência educacional e por que isto é relevante?</w:t>
      </w:r>
      <w:r w:rsidRPr="00E36524">
        <w:rPr>
          <w:rFonts w:asciiTheme="minorHAnsi" w:hAnsiTheme="minorHAnsi"/>
          <w:bCs/>
          <w:sz w:val="20"/>
          <w:szCs w:val="20"/>
        </w:rPr>
        <w:t xml:space="preserve"> </w:t>
      </w:r>
    </w:p>
    <w:p w:rsidR="007A4F26" w:rsidRPr="00E36524" w:rsidRDefault="007A4F26" w:rsidP="001C5A73">
      <w:pPr>
        <w:numPr>
          <w:ilvl w:val="0"/>
          <w:numId w:val="17"/>
        </w:numPr>
        <w:tabs>
          <w:tab w:val="clear" w:pos="888"/>
          <w:tab w:val="num" w:pos="540"/>
        </w:tabs>
        <w:spacing w:after="60"/>
        <w:ind w:left="539" w:firstLine="0"/>
        <w:jc w:val="both"/>
        <w:rPr>
          <w:rFonts w:asciiTheme="minorHAnsi" w:hAnsiTheme="minorHAnsi"/>
          <w:sz w:val="20"/>
          <w:szCs w:val="20"/>
        </w:rPr>
      </w:pPr>
      <w:r w:rsidRPr="00E36524">
        <w:rPr>
          <w:rFonts w:asciiTheme="minorHAnsi" w:hAnsiTheme="minorHAnsi"/>
          <w:b/>
          <w:sz w:val="20"/>
          <w:szCs w:val="20"/>
        </w:rPr>
        <w:t xml:space="preserve">Passo 2: </w:t>
      </w:r>
      <w:r w:rsidRPr="00E36524">
        <w:rPr>
          <w:rFonts w:asciiTheme="minorHAnsi" w:hAnsiTheme="minorHAnsi"/>
          <w:bCs/>
          <w:sz w:val="20"/>
          <w:szCs w:val="20"/>
        </w:rPr>
        <w:t>Elencar e definir as competências que devem ser desenvolvidas e adquiridas durante e ao final da experiência educacional.</w:t>
      </w:r>
    </w:p>
    <w:p w:rsidR="007A4F26" w:rsidRPr="00E36524" w:rsidRDefault="007A4F26" w:rsidP="001C5A73">
      <w:pPr>
        <w:numPr>
          <w:ilvl w:val="0"/>
          <w:numId w:val="17"/>
        </w:numPr>
        <w:tabs>
          <w:tab w:val="clear" w:pos="888"/>
          <w:tab w:val="num" w:pos="720"/>
        </w:tabs>
        <w:spacing w:after="60"/>
        <w:ind w:left="539" w:firstLine="0"/>
        <w:jc w:val="both"/>
        <w:rPr>
          <w:rFonts w:asciiTheme="minorHAnsi" w:hAnsiTheme="minorHAnsi"/>
          <w:sz w:val="20"/>
          <w:szCs w:val="20"/>
        </w:rPr>
      </w:pPr>
      <w:r w:rsidRPr="00E36524">
        <w:rPr>
          <w:rFonts w:asciiTheme="minorHAnsi" w:hAnsiTheme="minorHAnsi"/>
          <w:b/>
          <w:sz w:val="20"/>
          <w:szCs w:val="20"/>
        </w:rPr>
        <w:t xml:space="preserve">Passo 3: </w:t>
      </w:r>
      <w:r w:rsidRPr="00E36524">
        <w:rPr>
          <w:rFonts w:asciiTheme="minorHAnsi" w:hAnsiTheme="minorHAnsi"/>
          <w:bCs/>
          <w:sz w:val="20"/>
          <w:szCs w:val="20"/>
        </w:rPr>
        <w:t xml:space="preserve">Descrever as competências na forma de resultados esperados e objetivos </w:t>
      </w:r>
      <w:r w:rsidR="0048041F" w:rsidRPr="00E36524">
        <w:rPr>
          <w:rFonts w:asciiTheme="minorHAnsi" w:hAnsiTheme="minorHAnsi"/>
          <w:bCs/>
          <w:sz w:val="20"/>
          <w:szCs w:val="20"/>
        </w:rPr>
        <w:t>de aprendizagem</w:t>
      </w:r>
      <w:r w:rsidRPr="00E36524">
        <w:rPr>
          <w:rFonts w:asciiTheme="minorHAnsi" w:hAnsiTheme="minorHAnsi"/>
          <w:bCs/>
          <w:sz w:val="20"/>
          <w:szCs w:val="20"/>
        </w:rPr>
        <w:t xml:space="preserve">. </w:t>
      </w:r>
    </w:p>
    <w:p w:rsidR="007A4F26" w:rsidRPr="00E36524" w:rsidRDefault="007A4F26" w:rsidP="001C5A73">
      <w:pPr>
        <w:numPr>
          <w:ilvl w:val="0"/>
          <w:numId w:val="17"/>
        </w:numPr>
        <w:tabs>
          <w:tab w:val="clear" w:pos="888"/>
          <w:tab w:val="num" w:pos="720"/>
        </w:tabs>
        <w:spacing w:after="60"/>
        <w:ind w:left="539" w:firstLine="0"/>
        <w:jc w:val="both"/>
        <w:rPr>
          <w:rFonts w:asciiTheme="minorHAnsi" w:hAnsiTheme="minorHAnsi"/>
          <w:bCs/>
          <w:sz w:val="20"/>
          <w:szCs w:val="20"/>
        </w:rPr>
      </w:pPr>
      <w:r w:rsidRPr="00E36524">
        <w:rPr>
          <w:rFonts w:asciiTheme="minorHAnsi" w:hAnsiTheme="minorHAnsi"/>
          <w:b/>
          <w:sz w:val="20"/>
          <w:szCs w:val="20"/>
        </w:rPr>
        <w:t xml:space="preserve">Passo 4: </w:t>
      </w:r>
      <w:r w:rsidRPr="00E36524">
        <w:rPr>
          <w:rFonts w:asciiTheme="minorHAnsi" w:hAnsiTheme="minorHAnsi"/>
          <w:bCs/>
          <w:sz w:val="20"/>
          <w:szCs w:val="20"/>
        </w:rPr>
        <w:t xml:space="preserve">Garantir </w:t>
      </w:r>
      <w:r w:rsidR="0048041F" w:rsidRPr="00E36524">
        <w:rPr>
          <w:rFonts w:asciiTheme="minorHAnsi" w:hAnsiTheme="minorHAnsi"/>
          <w:bCs/>
          <w:sz w:val="20"/>
          <w:szCs w:val="20"/>
        </w:rPr>
        <w:t xml:space="preserve">as </w:t>
      </w:r>
      <w:r w:rsidRPr="00E36524">
        <w:rPr>
          <w:rFonts w:asciiTheme="minorHAnsi" w:hAnsiTheme="minorHAnsi"/>
          <w:bCs/>
          <w:sz w:val="20"/>
          <w:szCs w:val="20"/>
        </w:rPr>
        <w:t>oportunidades de aprendizagem</w:t>
      </w:r>
      <w:r w:rsidR="0048041F" w:rsidRPr="00E36524">
        <w:rPr>
          <w:rFonts w:asciiTheme="minorHAnsi" w:hAnsiTheme="minorHAnsi"/>
          <w:bCs/>
          <w:sz w:val="20"/>
          <w:szCs w:val="20"/>
        </w:rPr>
        <w:t xml:space="preserve"> necessárias para se chegar ao resultado esperado</w:t>
      </w:r>
      <w:r w:rsidRPr="00E36524">
        <w:rPr>
          <w:rFonts w:asciiTheme="minorHAnsi" w:hAnsiTheme="minorHAnsi"/>
          <w:bCs/>
          <w:sz w:val="20"/>
          <w:szCs w:val="20"/>
        </w:rPr>
        <w:t xml:space="preserve">. </w:t>
      </w:r>
    </w:p>
    <w:p w:rsidR="007A4F26" w:rsidRPr="00E36524" w:rsidRDefault="007A4F26" w:rsidP="001C5A73">
      <w:pPr>
        <w:numPr>
          <w:ilvl w:val="0"/>
          <w:numId w:val="17"/>
        </w:numPr>
        <w:tabs>
          <w:tab w:val="clear" w:pos="888"/>
          <w:tab w:val="num" w:pos="720"/>
        </w:tabs>
        <w:spacing w:after="60"/>
        <w:ind w:left="539" w:firstLine="0"/>
        <w:jc w:val="both"/>
        <w:rPr>
          <w:rFonts w:asciiTheme="minorHAnsi" w:hAnsiTheme="minorHAnsi"/>
          <w:sz w:val="20"/>
          <w:szCs w:val="20"/>
        </w:rPr>
      </w:pPr>
      <w:r w:rsidRPr="00E36524">
        <w:rPr>
          <w:rFonts w:asciiTheme="minorHAnsi" w:hAnsiTheme="minorHAnsi"/>
          <w:b/>
          <w:sz w:val="20"/>
          <w:szCs w:val="20"/>
        </w:rPr>
        <w:lastRenderedPageBreak/>
        <w:t>Passo 5:</w:t>
      </w:r>
      <w:r w:rsidRPr="00E36524">
        <w:rPr>
          <w:rFonts w:asciiTheme="minorHAnsi" w:hAnsiTheme="minorHAnsi"/>
          <w:bCs/>
          <w:sz w:val="20"/>
          <w:szCs w:val="20"/>
        </w:rPr>
        <w:t xml:space="preserve"> Determinar os mé</w:t>
      </w:r>
      <w:r w:rsidR="0048041F" w:rsidRPr="00E36524">
        <w:rPr>
          <w:rFonts w:asciiTheme="minorHAnsi" w:hAnsiTheme="minorHAnsi"/>
          <w:bCs/>
          <w:sz w:val="20"/>
          <w:szCs w:val="20"/>
        </w:rPr>
        <w:t xml:space="preserve">todos de avaliação do estudante. Certificar-se que os resultados </w:t>
      </w:r>
      <w:r w:rsidR="001833E8" w:rsidRPr="00E36524">
        <w:rPr>
          <w:rFonts w:asciiTheme="minorHAnsi" w:hAnsiTheme="minorHAnsi"/>
          <w:bCs/>
          <w:sz w:val="20"/>
          <w:szCs w:val="20"/>
        </w:rPr>
        <w:t>f</w:t>
      </w:r>
      <w:r w:rsidR="0048041F" w:rsidRPr="00E36524">
        <w:rPr>
          <w:rFonts w:asciiTheme="minorHAnsi" w:hAnsiTheme="minorHAnsi"/>
          <w:bCs/>
          <w:sz w:val="20"/>
          <w:szCs w:val="20"/>
        </w:rPr>
        <w:t>oram realmente alcançados.</w:t>
      </w:r>
    </w:p>
    <w:p w:rsidR="007A4F26" w:rsidRPr="00E36524" w:rsidRDefault="007A4F26" w:rsidP="001C5A73">
      <w:pPr>
        <w:numPr>
          <w:ilvl w:val="0"/>
          <w:numId w:val="17"/>
        </w:numPr>
        <w:tabs>
          <w:tab w:val="clear" w:pos="888"/>
          <w:tab w:val="num" w:pos="720"/>
        </w:tabs>
        <w:spacing w:after="60"/>
        <w:ind w:left="539" w:firstLine="0"/>
        <w:jc w:val="both"/>
        <w:rPr>
          <w:rFonts w:asciiTheme="minorHAnsi" w:hAnsiTheme="minorHAnsi"/>
          <w:sz w:val="20"/>
          <w:szCs w:val="20"/>
        </w:rPr>
      </w:pPr>
      <w:r w:rsidRPr="00E36524">
        <w:rPr>
          <w:rFonts w:asciiTheme="minorHAnsi" w:hAnsiTheme="minorHAnsi"/>
          <w:b/>
          <w:sz w:val="20"/>
          <w:szCs w:val="20"/>
        </w:rPr>
        <w:t xml:space="preserve">Passo 6: </w:t>
      </w:r>
      <w:r w:rsidRPr="00E36524">
        <w:rPr>
          <w:rFonts w:asciiTheme="minorHAnsi" w:hAnsiTheme="minorHAnsi"/>
          <w:bCs/>
          <w:sz w:val="20"/>
          <w:szCs w:val="20"/>
        </w:rPr>
        <w:t xml:space="preserve">Estabelecer como a experiência educacional será avaliada e melhorada. </w:t>
      </w:r>
      <w:r w:rsidR="0048041F" w:rsidRPr="00E36524">
        <w:rPr>
          <w:rFonts w:asciiTheme="minorHAnsi" w:hAnsiTheme="minorHAnsi"/>
          <w:bCs/>
          <w:sz w:val="20"/>
          <w:szCs w:val="20"/>
        </w:rPr>
        <w:t>Checar se a proposta realmente cumpriu com aquilo que havia se proposto no início.</w:t>
      </w:r>
    </w:p>
    <w:p w:rsidR="007A4F26" w:rsidRPr="00E36524" w:rsidRDefault="007A4F26" w:rsidP="001C5A73">
      <w:pPr>
        <w:spacing w:after="60"/>
        <w:jc w:val="both"/>
        <w:rPr>
          <w:rFonts w:asciiTheme="minorHAnsi" w:hAnsiTheme="minorHAnsi"/>
          <w:sz w:val="20"/>
          <w:szCs w:val="20"/>
        </w:rPr>
      </w:pPr>
      <w:r w:rsidRPr="00E36524">
        <w:rPr>
          <w:rFonts w:asciiTheme="minorHAnsi" w:hAnsiTheme="minorHAnsi"/>
          <w:sz w:val="20"/>
          <w:szCs w:val="20"/>
        </w:rPr>
        <w:t>No início de cada estágio/disciplina, professores e estudantes devem rever o currículo proposto para o estágio e ter clareza sobre objetivos de aprendizagem, estratégias de ensino, métodos de avaliação do desempenho esperado (conhecimento, habilidades e atitudes) e como o estágio será avaliado e melhorado. Essa atividade é essencial para que os estudantes estejam informados e esclarecidos sobre o que devem esperar e o que se espera deles. Assim podemos minimizar desentendimentos futuros, caso o estudante não possa progredir por mau desempenho na avaliação. Como diz o ditado: “O</w:t>
      </w:r>
      <w:r w:rsidRPr="00E36524">
        <w:rPr>
          <w:rFonts w:asciiTheme="minorHAnsi" w:hAnsiTheme="minorHAnsi"/>
          <w:i/>
          <w:iCs/>
          <w:sz w:val="20"/>
          <w:szCs w:val="20"/>
        </w:rPr>
        <w:t xml:space="preserve"> que é </w:t>
      </w:r>
      <w:r w:rsidRPr="00E36524">
        <w:rPr>
          <w:rFonts w:asciiTheme="minorHAnsi" w:hAnsiTheme="minorHAnsi"/>
          <w:b/>
          <w:i/>
          <w:iCs/>
          <w:sz w:val="20"/>
          <w:szCs w:val="20"/>
        </w:rPr>
        <w:t xml:space="preserve"> </w:t>
      </w:r>
      <w:r w:rsidRPr="00E36524">
        <w:rPr>
          <w:rFonts w:asciiTheme="minorHAnsi" w:hAnsiTheme="minorHAnsi"/>
          <w:bCs/>
          <w:i/>
          <w:iCs/>
          <w:sz w:val="20"/>
          <w:szCs w:val="20"/>
        </w:rPr>
        <w:t>combinado, não sai caro!</w:t>
      </w:r>
      <w:r w:rsidRPr="00E36524">
        <w:rPr>
          <w:rFonts w:asciiTheme="minorHAnsi" w:hAnsiTheme="minorHAnsi"/>
          <w:bCs/>
          <w:sz w:val="20"/>
          <w:szCs w:val="20"/>
        </w:rPr>
        <w:t>”</w:t>
      </w:r>
    </w:p>
    <w:p w:rsidR="002076A7" w:rsidRPr="00E36524" w:rsidRDefault="007A4F26" w:rsidP="001C5A73">
      <w:pPr>
        <w:spacing w:after="60"/>
        <w:jc w:val="both"/>
        <w:rPr>
          <w:rFonts w:asciiTheme="minorHAnsi" w:hAnsiTheme="minorHAnsi"/>
          <w:sz w:val="20"/>
          <w:szCs w:val="20"/>
        </w:rPr>
      </w:pPr>
      <w:r w:rsidRPr="00E36524">
        <w:rPr>
          <w:rFonts w:asciiTheme="minorHAnsi" w:hAnsiTheme="minorHAnsi"/>
          <w:sz w:val="20"/>
          <w:szCs w:val="20"/>
        </w:rPr>
        <w:t xml:space="preserve">Os objetivos devem ser estabelecidos tendo como premissa a real possibilidade de serem alcançados com os recursos disponíveis ou com o compromisso de que serão disponibilizados. Objetivos de aprendizagem são afirmações explícitas que refletem o que o estudante deverá aprender para se tornar competente e capaz, considerando cada estágio ou disciplina e o nível de complexidade do programa. </w:t>
      </w:r>
    </w:p>
    <w:p w:rsidR="002076A7" w:rsidRPr="00E36524" w:rsidRDefault="007A4F26" w:rsidP="001C5A73">
      <w:pPr>
        <w:spacing w:after="60"/>
        <w:jc w:val="both"/>
        <w:rPr>
          <w:rFonts w:asciiTheme="minorHAnsi" w:hAnsiTheme="minorHAnsi"/>
          <w:sz w:val="20"/>
          <w:szCs w:val="20"/>
        </w:rPr>
      </w:pPr>
      <w:r w:rsidRPr="00E36524">
        <w:rPr>
          <w:rFonts w:asciiTheme="minorHAnsi" w:hAnsiTheme="minorHAnsi"/>
          <w:sz w:val="20"/>
          <w:szCs w:val="20"/>
        </w:rPr>
        <w:t xml:space="preserve">Uma dificuldade comum tem sido escrever objetivos de aprendizagem de forma correta. Geralmente a lista de objetivos do plano de ensino da disciplina se confunde com uma lista de patologias ou assuntos que serão estudadas durante o estágio:, i.e: insuficiência renal aguda, nefrites, princípios do equilíbrio ácido-base, etc.. </w:t>
      </w:r>
    </w:p>
    <w:p w:rsidR="007A4F26" w:rsidRPr="00F5094D" w:rsidRDefault="00C6032C" w:rsidP="001C5A73">
      <w:pPr>
        <w:spacing w:after="60"/>
        <w:jc w:val="both"/>
        <w:rPr>
          <w:rFonts w:asciiTheme="minorHAnsi" w:hAnsiTheme="minorHAnsi"/>
          <w:sz w:val="20"/>
          <w:szCs w:val="20"/>
        </w:rPr>
      </w:pPr>
      <w:r w:rsidRPr="00F5094D">
        <w:rPr>
          <w:rFonts w:asciiTheme="minorHAnsi" w:hAnsiTheme="minorHAnsi"/>
          <w:sz w:val="20"/>
          <w:szCs w:val="20"/>
        </w:rPr>
        <w:t xml:space="preserve">Dicas para escrever objetivos de aprendizagem: </w:t>
      </w:r>
      <w:r w:rsidR="007A4F26" w:rsidRPr="00F5094D">
        <w:rPr>
          <w:rFonts w:asciiTheme="minorHAnsi" w:hAnsiTheme="minorHAnsi"/>
          <w:sz w:val="20"/>
          <w:szCs w:val="20"/>
        </w:rPr>
        <w:t>Os objetivos de aprendizagem devem ser escritos utilizando verbos de ação no infinitivo</w:t>
      </w:r>
      <w:r w:rsidR="00D310D4" w:rsidRPr="00F5094D">
        <w:rPr>
          <w:rFonts w:asciiTheme="minorHAnsi" w:hAnsiTheme="minorHAnsi"/>
          <w:sz w:val="20"/>
          <w:szCs w:val="20"/>
        </w:rPr>
        <w:t>(*)</w:t>
      </w:r>
      <w:r w:rsidR="007A4F26" w:rsidRPr="00F5094D">
        <w:rPr>
          <w:rFonts w:asciiTheme="minorHAnsi" w:hAnsiTheme="minorHAnsi"/>
          <w:sz w:val="20"/>
          <w:szCs w:val="20"/>
        </w:rPr>
        <w:t>, e devemos evitar o uso de sentenças que contenham apenas o substantivo (lista de temas) ou verbos no gerúndio. Existe um acrônimo em inglês que explica as características desejadas na formulação de um objetivo de aprendizagem. (SMART, 2004)</w:t>
      </w:r>
    </w:p>
    <w:p w:rsidR="007A4F26" w:rsidRPr="00F5094D" w:rsidRDefault="007A4F26" w:rsidP="001C5A73">
      <w:pPr>
        <w:numPr>
          <w:ilvl w:val="0"/>
          <w:numId w:val="21"/>
        </w:numPr>
        <w:spacing w:after="60"/>
        <w:jc w:val="both"/>
        <w:rPr>
          <w:rFonts w:asciiTheme="minorHAnsi" w:hAnsiTheme="minorHAnsi"/>
          <w:sz w:val="20"/>
          <w:szCs w:val="20"/>
        </w:rPr>
      </w:pPr>
      <w:r w:rsidRPr="00F5094D">
        <w:rPr>
          <w:rFonts w:asciiTheme="minorHAnsi" w:hAnsiTheme="minorHAnsi"/>
          <w:sz w:val="20"/>
          <w:szCs w:val="20"/>
        </w:rPr>
        <w:t>S – Specific (Específico). O que exatamente estaremos fazendo? Os objetivos devem ser claramente definidos.</w:t>
      </w:r>
    </w:p>
    <w:p w:rsidR="007A4F26" w:rsidRPr="00F5094D" w:rsidRDefault="007A4F26" w:rsidP="001C5A73">
      <w:pPr>
        <w:numPr>
          <w:ilvl w:val="0"/>
          <w:numId w:val="21"/>
        </w:numPr>
        <w:spacing w:after="60"/>
        <w:jc w:val="both"/>
        <w:rPr>
          <w:rFonts w:asciiTheme="minorHAnsi" w:hAnsiTheme="minorHAnsi"/>
          <w:sz w:val="20"/>
          <w:szCs w:val="20"/>
        </w:rPr>
      </w:pPr>
      <w:r w:rsidRPr="00F5094D">
        <w:rPr>
          <w:rFonts w:asciiTheme="minorHAnsi" w:hAnsiTheme="minorHAnsi"/>
          <w:sz w:val="20"/>
          <w:szCs w:val="20"/>
        </w:rPr>
        <w:t xml:space="preserve">M – Measurable (Mensurável). Podemos medir o resultado? O objetivo deve ser passível de mensuração e o método utilizado para isso deve ser identificado. </w:t>
      </w:r>
    </w:p>
    <w:p w:rsidR="007A4F26" w:rsidRPr="00F5094D" w:rsidRDefault="007A4F26" w:rsidP="001C5A73">
      <w:pPr>
        <w:numPr>
          <w:ilvl w:val="0"/>
          <w:numId w:val="21"/>
        </w:numPr>
        <w:spacing w:after="60"/>
        <w:jc w:val="both"/>
        <w:rPr>
          <w:rFonts w:asciiTheme="minorHAnsi" w:hAnsiTheme="minorHAnsi"/>
          <w:sz w:val="20"/>
          <w:szCs w:val="20"/>
        </w:rPr>
      </w:pPr>
      <w:r w:rsidRPr="00F5094D">
        <w:rPr>
          <w:rFonts w:asciiTheme="minorHAnsi" w:hAnsiTheme="minorHAnsi"/>
          <w:sz w:val="20"/>
          <w:szCs w:val="20"/>
        </w:rPr>
        <w:t>A – Achievable (Alcançável). Poderemos alcançar o resultado esperado? Com a quantidade de recursos disponíveis? Os objetivos e as expectativas de resultados têm de ser realistas considerando o contexto onde a atividade será desenvolvida.</w:t>
      </w:r>
    </w:p>
    <w:p w:rsidR="00515496" w:rsidRPr="00F5094D" w:rsidRDefault="007A4F26" w:rsidP="001C5A73">
      <w:pPr>
        <w:numPr>
          <w:ilvl w:val="0"/>
          <w:numId w:val="21"/>
        </w:numPr>
        <w:spacing w:after="60"/>
        <w:jc w:val="both"/>
        <w:rPr>
          <w:rFonts w:asciiTheme="minorHAnsi" w:hAnsiTheme="minorHAnsi"/>
          <w:sz w:val="20"/>
          <w:szCs w:val="20"/>
        </w:rPr>
      </w:pPr>
      <w:r w:rsidRPr="00F5094D">
        <w:rPr>
          <w:rFonts w:asciiTheme="minorHAnsi" w:hAnsiTheme="minorHAnsi"/>
          <w:sz w:val="20"/>
          <w:szCs w:val="20"/>
        </w:rPr>
        <w:t xml:space="preserve">R – Relevant (Relevante). Os objetivos estabelecidos realmente levam aos resultados esperados? Contemplam a essência do que desejamos obter como resultado? </w:t>
      </w:r>
    </w:p>
    <w:p w:rsidR="007A4F26" w:rsidRPr="00F5094D" w:rsidRDefault="00A03BB3" w:rsidP="00515496">
      <w:pPr>
        <w:spacing w:after="60"/>
        <w:ind w:left="720"/>
        <w:jc w:val="both"/>
        <w:rPr>
          <w:rFonts w:asciiTheme="minorHAnsi" w:hAnsiTheme="minorHAnsi"/>
          <w:sz w:val="20"/>
          <w:szCs w:val="20"/>
        </w:rPr>
      </w:pPr>
      <w:r w:rsidRPr="00F5094D">
        <w:rPr>
          <w:rFonts w:asciiTheme="minorHAnsi" w:hAnsiTheme="minorHAnsi"/>
          <w:sz w:val="20"/>
          <w:szCs w:val="20"/>
          <w:u w:val="single"/>
        </w:rPr>
        <w:t>R</w:t>
      </w:r>
      <w:r w:rsidR="007A4F26" w:rsidRPr="00F5094D">
        <w:rPr>
          <w:rFonts w:asciiTheme="minorHAnsi" w:hAnsiTheme="minorHAnsi"/>
          <w:sz w:val="20"/>
          <w:szCs w:val="20"/>
          <w:u w:val="single"/>
        </w:rPr>
        <w:t>eforçamos a necessidade de não fragmentar demais os objetivos</w:t>
      </w:r>
      <w:r w:rsidR="00515496" w:rsidRPr="00F5094D">
        <w:rPr>
          <w:rFonts w:asciiTheme="minorHAnsi" w:hAnsiTheme="minorHAnsi"/>
          <w:sz w:val="20"/>
          <w:szCs w:val="20"/>
          <w:u w:val="single"/>
        </w:rPr>
        <w:t>.</w:t>
      </w:r>
      <w:r w:rsidR="007A4F26" w:rsidRPr="00F5094D">
        <w:rPr>
          <w:rFonts w:asciiTheme="minorHAnsi" w:hAnsiTheme="minorHAnsi"/>
          <w:sz w:val="20"/>
          <w:szCs w:val="20"/>
        </w:rPr>
        <w:t xml:space="preserve"> Um bom atendimento </w:t>
      </w:r>
      <w:r w:rsidRPr="00F5094D">
        <w:rPr>
          <w:rFonts w:asciiTheme="minorHAnsi" w:hAnsiTheme="minorHAnsi"/>
          <w:sz w:val="20"/>
          <w:szCs w:val="20"/>
        </w:rPr>
        <w:t>em saúde</w:t>
      </w:r>
      <w:r w:rsidR="007A4F26" w:rsidRPr="00F5094D">
        <w:rPr>
          <w:rFonts w:asciiTheme="minorHAnsi" w:hAnsiTheme="minorHAnsi"/>
          <w:sz w:val="20"/>
          <w:szCs w:val="20"/>
        </w:rPr>
        <w:t xml:space="preserve"> não é composto por várias ações fragmentadas e individualizadas, mas sim por um conjunto harmônico que deve ser ensinado, aprendido e executado. Se compreendermos isso no desenho do CBC aumentamos as chances de definir e avaliar objetivos de aprendizagem realmente relevantes.</w:t>
      </w:r>
    </w:p>
    <w:p w:rsidR="007A4F26" w:rsidRPr="00F5094D" w:rsidRDefault="007A4F26" w:rsidP="001C5A73">
      <w:pPr>
        <w:numPr>
          <w:ilvl w:val="0"/>
          <w:numId w:val="21"/>
        </w:numPr>
        <w:spacing w:after="60"/>
        <w:jc w:val="both"/>
        <w:rPr>
          <w:rFonts w:asciiTheme="minorHAnsi" w:hAnsiTheme="minorHAnsi"/>
          <w:sz w:val="20"/>
          <w:szCs w:val="20"/>
        </w:rPr>
      </w:pPr>
      <w:r w:rsidRPr="00F5094D">
        <w:rPr>
          <w:rFonts w:asciiTheme="minorHAnsi" w:hAnsiTheme="minorHAnsi"/>
          <w:sz w:val="20"/>
          <w:szCs w:val="20"/>
        </w:rPr>
        <w:t>T – Time framed (tempo definido). É necessário definir claramente quando esperamos alcançar o objetivo. Devemos então nos questionar se poderemos alcançar o resultado esperado</w:t>
      </w:r>
      <w:r w:rsidR="001833E8" w:rsidRPr="00F5094D">
        <w:rPr>
          <w:rFonts w:asciiTheme="minorHAnsi" w:hAnsiTheme="minorHAnsi"/>
          <w:sz w:val="20"/>
          <w:szCs w:val="20"/>
        </w:rPr>
        <w:t xml:space="preserve"> no tempo disponível para tanto.</w:t>
      </w:r>
      <w:r w:rsidRPr="00F5094D">
        <w:rPr>
          <w:rFonts w:asciiTheme="minorHAnsi" w:hAnsiTheme="minorHAnsi"/>
          <w:sz w:val="20"/>
          <w:szCs w:val="20"/>
        </w:rPr>
        <w:t xml:space="preserve"> </w:t>
      </w:r>
    </w:p>
    <w:p w:rsidR="007A4F26" w:rsidRPr="00F5094D" w:rsidRDefault="000449DC" w:rsidP="001C5A73">
      <w:pPr>
        <w:spacing w:after="60"/>
        <w:jc w:val="both"/>
        <w:rPr>
          <w:rFonts w:asciiTheme="minorHAnsi" w:hAnsiTheme="minorHAnsi"/>
          <w:sz w:val="20"/>
          <w:szCs w:val="20"/>
        </w:rPr>
      </w:pPr>
      <w:r>
        <w:rPr>
          <w:rFonts w:asciiTheme="minorHAnsi" w:hAnsiTheme="minorHAnsi"/>
          <w:sz w:val="20"/>
          <w:szCs w:val="20"/>
        </w:rPr>
        <w:t>Para atender aos</w:t>
      </w:r>
      <w:r w:rsidR="007A4F26" w:rsidRPr="00F5094D">
        <w:rPr>
          <w:rFonts w:asciiTheme="minorHAnsi" w:hAnsiTheme="minorHAnsi"/>
          <w:sz w:val="20"/>
          <w:szCs w:val="20"/>
        </w:rPr>
        <w:t xml:space="preserve"> objetivos </w:t>
      </w:r>
      <w:r>
        <w:rPr>
          <w:rFonts w:asciiTheme="minorHAnsi" w:hAnsiTheme="minorHAnsi"/>
          <w:sz w:val="20"/>
          <w:szCs w:val="20"/>
        </w:rPr>
        <w:t>de aprendizagem o planejamento deve contemplar</w:t>
      </w:r>
      <w:r w:rsidR="007A4F26" w:rsidRPr="00F5094D">
        <w:rPr>
          <w:rFonts w:asciiTheme="minorHAnsi" w:hAnsiTheme="minorHAnsi"/>
          <w:sz w:val="20"/>
          <w:szCs w:val="20"/>
        </w:rPr>
        <w:t>: QUEM deverá fazer O QUE, QUANDO e ONDE, e sempre que possível com referência ao padrão de qualidade desejado.</w:t>
      </w:r>
    </w:p>
    <w:p w:rsidR="00692BBD" w:rsidRDefault="00E36524" w:rsidP="00692BBD">
      <w:pPr>
        <w:spacing w:after="60"/>
        <w:jc w:val="both"/>
        <w:rPr>
          <w:rFonts w:asciiTheme="minorHAnsi" w:hAnsiTheme="minorHAnsi"/>
          <w:sz w:val="20"/>
          <w:szCs w:val="20"/>
        </w:rPr>
      </w:pPr>
      <w:r>
        <w:rPr>
          <w:rFonts w:asciiTheme="minorHAnsi" w:hAnsiTheme="minorHAnsi"/>
          <w:b/>
          <w:bCs/>
          <w:sz w:val="20"/>
          <w:szCs w:val="20"/>
        </w:rPr>
        <w:t>O humanismo nos cursos da saúde</w:t>
      </w:r>
      <w:r w:rsidR="00692BBD" w:rsidRPr="00692BBD">
        <w:rPr>
          <w:rFonts w:asciiTheme="minorHAnsi" w:hAnsiTheme="minorHAnsi"/>
          <w:sz w:val="20"/>
          <w:szCs w:val="20"/>
        </w:rPr>
        <w:t xml:space="preserve"> </w:t>
      </w:r>
    </w:p>
    <w:p w:rsidR="00692BBD" w:rsidRDefault="00692BBD" w:rsidP="00692BBD">
      <w:pPr>
        <w:spacing w:after="60"/>
        <w:jc w:val="both"/>
        <w:rPr>
          <w:rFonts w:asciiTheme="minorHAnsi" w:hAnsiTheme="minorHAnsi"/>
          <w:sz w:val="20"/>
          <w:szCs w:val="20"/>
        </w:rPr>
      </w:pPr>
      <w:r>
        <w:rPr>
          <w:rFonts w:asciiTheme="minorHAnsi" w:hAnsiTheme="minorHAnsi"/>
          <w:sz w:val="20"/>
          <w:szCs w:val="20"/>
        </w:rPr>
        <w:t>Ao analisarmos o conceito dos</w:t>
      </w:r>
      <w:r w:rsidRPr="000C5853">
        <w:rPr>
          <w:rFonts w:asciiTheme="minorHAnsi" w:hAnsiTheme="minorHAnsi"/>
          <w:sz w:val="20"/>
          <w:szCs w:val="20"/>
        </w:rPr>
        <w:t xml:space="preserve"> “Quatro Pilares da Educação”</w:t>
      </w:r>
      <w:r>
        <w:rPr>
          <w:rFonts w:asciiTheme="minorHAnsi" w:hAnsiTheme="minorHAnsi"/>
          <w:sz w:val="20"/>
          <w:szCs w:val="20"/>
        </w:rPr>
        <w:t xml:space="preserve"> - </w:t>
      </w:r>
      <w:r w:rsidRPr="000C5853">
        <w:rPr>
          <w:rFonts w:asciiTheme="minorHAnsi" w:hAnsiTheme="minorHAnsi"/>
          <w:sz w:val="20"/>
          <w:szCs w:val="20"/>
        </w:rPr>
        <w:t>aprender a conhecer, aprender a fazer, aprender a conviver e aprender a ser</w:t>
      </w:r>
      <w:r>
        <w:rPr>
          <w:rFonts w:asciiTheme="minorHAnsi" w:hAnsiTheme="minorHAnsi"/>
          <w:sz w:val="20"/>
          <w:szCs w:val="20"/>
        </w:rPr>
        <w:t xml:space="preserve"> - </w:t>
      </w:r>
      <w:r w:rsidRPr="000C5853">
        <w:rPr>
          <w:rFonts w:asciiTheme="minorHAnsi" w:hAnsiTheme="minorHAnsi"/>
          <w:sz w:val="20"/>
          <w:szCs w:val="20"/>
        </w:rPr>
        <w:t>propostos pela Unesco no documento “Educação: Um Tesouro a Descobrir” (Delors, 2000)</w:t>
      </w:r>
      <w:r>
        <w:rPr>
          <w:rFonts w:asciiTheme="minorHAnsi" w:hAnsiTheme="minorHAnsi"/>
          <w:sz w:val="20"/>
          <w:szCs w:val="20"/>
        </w:rPr>
        <w:t>, podemos identificar que existe profunda interelação entre as competências humanísticas propostas pela</w:t>
      </w:r>
      <w:r w:rsidR="00A46242">
        <w:rPr>
          <w:rFonts w:asciiTheme="minorHAnsi" w:hAnsiTheme="minorHAnsi"/>
          <w:sz w:val="20"/>
          <w:szCs w:val="20"/>
        </w:rPr>
        <w:t>s</w:t>
      </w:r>
      <w:r>
        <w:rPr>
          <w:rFonts w:asciiTheme="minorHAnsi" w:hAnsiTheme="minorHAnsi"/>
          <w:sz w:val="20"/>
          <w:szCs w:val="20"/>
        </w:rPr>
        <w:t xml:space="preserve"> DNC e os pilares no processo educacional. </w:t>
      </w:r>
    </w:p>
    <w:p w:rsidR="00692BBD" w:rsidRDefault="00D92669" w:rsidP="000C5853">
      <w:pPr>
        <w:spacing w:after="60"/>
        <w:jc w:val="both"/>
        <w:rPr>
          <w:rFonts w:asciiTheme="minorHAnsi" w:hAnsiTheme="minorHAnsi"/>
          <w:sz w:val="20"/>
          <w:szCs w:val="20"/>
        </w:rPr>
      </w:pPr>
      <w:r w:rsidRPr="00692BBD">
        <w:rPr>
          <w:rFonts w:asciiTheme="minorHAnsi" w:hAnsiTheme="minorHAnsi"/>
          <w:sz w:val="20"/>
          <w:szCs w:val="20"/>
        </w:rPr>
        <w:t>A</w:t>
      </w:r>
      <w:r w:rsidR="000449DC">
        <w:rPr>
          <w:rFonts w:asciiTheme="minorHAnsi" w:hAnsiTheme="minorHAnsi"/>
          <w:sz w:val="20"/>
          <w:szCs w:val="20"/>
        </w:rPr>
        <w:t>s DCN, que tê</w:t>
      </w:r>
      <w:r w:rsidRPr="00692BBD">
        <w:rPr>
          <w:rFonts w:asciiTheme="minorHAnsi" w:hAnsiTheme="minorHAnsi"/>
          <w:sz w:val="20"/>
          <w:szCs w:val="20"/>
        </w:rPr>
        <w:t>m conceitos reafirmados em sua nova versão (2014)</w:t>
      </w:r>
      <w:r w:rsidR="00692BBD" w:rsidRPr="00692BBD">
        <w:rPr>
          <w:rFonts w:asciiTheme="minorHAnsi" w:hAnsiTheme="minorHAnsi"/>
          <w:sz w:val="20"/>
          <w:szCs w:val="20"/>
        </w:rPr>
        <w:t>,</w:t>
      </w:r>
      <w:r w:rsidRPr="00692BBD">
        <w:rPr>
          <w:rFonts w:asciiTheme="minorHAnsi" w:hAnsiTheme="minorHAnsi"/>
          <w:sz w:val="20"/>
          <w:szCs w:val="20"/>
        </w:rPr>
        <w:t xml:space="preserve"> orientam a realização de educação humanista, crítica, reflexiva e integrada </w:t>
      </w:r>
      <w:r w:rsidR="00692BBD" w:rsidRPr="00692BBD">
        <w:rPr>
          <w:rFonts w:asciiTheme="minorHAnsi" w:hAnsiTheme="minorHAnsi"/>
          <w:sz w:val="20"/>
          <w:szCs w:val="20"/>
        </w:rPr>
        <w:t>ao Sistema Único de Saúde (SUS)</w:t>
      </w:r>
      <w:r w:rsidRPr="00692BBD">
        <w:rPr>
          <w:rFonts w:asciiTheme="minorHAnsi" w:hAnsiTheme="minorHAnsi"/>
          <w:sz w:val="20"/>
          <w:szCs w:val="20"/>
        </w:rPr>
        <w:t>.</w:t>
      </w:r>
      <w:r w:rsidR="00692BBD" w:rsidRPr="00692BBD">
        <w:rPr>
          <w:rFonts w:asciiTheme="minorHAnsi" w:hAnsiTheme="minorHAnsi"/>
          <w:sz w:val="20"/>
          <w:szCs w:val="20"/>
        </w:rPr>
        <w:t xml:space="preserve"> Há um consenso entre autores acerca de que a prática humanizada envolve conhecimentos interdisciplinares, vontade política, olhares e leituras críticas consistentes, já que há a finalidade de se produzir saúde num contexto coletivo, considerando a autonomia e o protagonismo dos seus atores (ALEKSANDROWICZ; MINAYO, 2005; SANTOS-FILHO, 2007), sem o equívoco do pensamento que delega à tecnologia o </w:t>
      </w:r>
      <w:r w:rsidR="00692BBD" w:rsidRPr="00692BBD">
        <w:rPr>
          <w:rFonts w:asciiTheme="minorHAnsi" w:hAnsiTheme="minorHAnsi"/>
          <w:i/>
          <w:iCs/>
          <w:sz w:val="20"/>
          <w:szCs w:val="20"/>
        </w:rPr>
        <w:t xml:space="preserve">status </w:t>
      </w:r>
      <w:r w:rsidR="00692BBD" w:rsidRPr="00692BBD">
        <w:rPr>
          <w:rFonts w:asciiTheme="minorHAnsi" w:hAnsiTheme="minorHAnsi"/>
          <w:sz w:val="20"/>
          <w:szCs w:val="20"/>
        </w:rPr>
        <w:t xml:space="preserve">de divina ou diabólica (FREIRE, 1996). </w:t>
      </w:r>
    </w:p>
    <w:p w:rsidR="00D92669" w:rsidRDefault="00692BBD" w:rsidP="000C5853">
      <w:pPr>
        <w:spacing w:after="60"/>
        <w:jc w:val="both"/>
        <w:rPr>
          <w:rFonts w:asciiTheme="minorHAnsi" w:hAnsiTheme="minorHAnsi"/>
          <w:sz w:val="20"/>
          <w:szCs w:val="20"/>
        </w:rPr>
      </w:pPr>
      <w:r w:rsidRPr="00692BBD">
        <w:rPr>
          <w:rFonts w:asciiTheme="minorHAnsi" w:hAnsiTheme="minorHAnsi"/>
          <w:sz w:val="20"/>
          <w:szCs w:val="20"/>
        </w:rPr>
        <w:t xml:space="preserve">Podemos considerar que a formação humanística consiste na construção de conhecimentos, de habilidades e de atitudes que propiciem ao egresso de cursos da saúde realizar o cuidado na atenção à saúde, articulando, sempre, o saber técnico-científico à compreensão dos aspectos psicossociais e culturais dos indivíduos e da coletividade com capacidade de estabelecer relações intersubjetivas. O profissional da medicina deve nutrir os valores humanísticos, estar aberto a lidar com as diferenças e com a reflexão crítica da sua </w:t>
      </w:r>
      <w:r w:rsidRPr="00692BBD">
        <w:rPr>
          <w:rFonts w:asciiTheme="minorHAnsi" w:hAnsiTheme="minorHAnsi"/>
          <w:i/>
          <w:iCs/>
          <w:sz w:val="20"/>
          <w:szCs w:val="20"/>
        </w:rPr>
        <w:t xml:space="preserve">práxis </w:t>
      </w:r>
      <w:r w:rsidRPr="00692BBD">
        <w:rPr>
          <w:rFonts w:asciiTheme="minorHAnsi" w:hAnsiTheme="minorHAnsi"/>
          <w:sz w:val="20"/>
          <w:szCs w:val="20"/>
        </w:rPr>
        <w:t>no contexto coletivo da produção de cuidado (COHEN; SHERIF, 2014; FEUERWERKER, 2014; RIOS; SCHREIBER, 2012).</w:t>
      </w:r>
    </w:p>
    <w:p w:rsidR="00692BBD" w:rsidRPr="00692BBD" w:rsidRDefault="00692BBD" w:rsidP="000C5853">
      <w:pPr>
        <w:spacing w:after="60"/>
        <w:jc w:val="both"/>
        <w:rPr>
          <w:rFonts w:asciiTheme="minorHAnsi" w:hAnsiTheme="minorHAnsi"/>
          <w:color w:val="FF0000"/>
          <w:sz w:val="20"/>
          <w:szCs w:val="20"/>
        </w:rPr>
      </w:pPr>
      <w:r>
        <w:rPr>
          <w:rFonts w:asciiTheme="minorHAnsi" w:hAnsiTheme="minorHAnsi"/>
          <w:sz w:val="20"/>
          <w:szCs w:val="20"/>
        </w:rPr>
        <w:t xml:space="preserve">A transformação curricular </w:t>
      </w:r>
      <w:r w:rsidR="006974EB">
        <w:rPr>
          <w:rFonts w:asciiTheme="minorHAnsi" w:hAnsiTheme="minorHAnsi"/>
          <w:sz w:val="20"/>
          <w:szCs w:val="20"/>
        </w:rPr>
        <w:t xml:space="preserve">para atender à formação deste profissional de saúde, </w:t>
      </w:r>
      <w:r>
        <w:rPr>
          <w:rFonts w:asciiTheme="minorHAnsi" w:hAnsiTheme="minorHAnsi"/>
          <w:sz w:val="20"/>
          <w:szCs w:val="20"/>
        </w:rPr>
        <w:t xml:space="preserve">nos obriga a pensar em estratégias que </w:t>
      </w:r>
      <w:r w:rsidR="006974EB">
        <w:rPr>
          <w:rFonts w:asciiTheme="minorHAnsi" w:hAnsiTheme="minorHAnsi"/>
          <w:sz w:val="20"/>
          <w:szCs w:val="20"/>
        </w:rPr>
        <w:t xml:space="preserve">permitam, </w:t>
      </w:r>
      <w:r>
        <w:rPr>
          <w:rFonts w:asciiTheme="minorHAnsi" w:hAnsiTheme="minorHAnsi"/>
          <w:sz w:val="20"/>
          <w:szCs w:val="20"/>
        </w:rPr>
        <w:t>efetivamente</w:t>
      </w:r>
      <w:r w:rsidR="006974EB">
        <w:rPr>
          <w:rFonts w:asciiTheme="minorHAnsi" w:hAnsiTheme="minorHAnsi"/>
          <w:sz w:val="20"/>
          <w:szCs w:val="20"/>
        </w:rPr>
        <w:t>,</w:t>
      </w:r>
      <w:r>
        <w:rPr>
          <w:rFonts w:asciiTheme="minorHAnsi" w:hAnsiTheme="minorHAnsi"/>
          <w:sz w:val="20"/>
          <w:szCs w:val="20"/>
        </w:rPr>
        <w:t xml:space="preserve"> a incorporação do tema Humanismo nos diferentes componentes curriculares</w:t>
      </w:r>
      <w:r w:rsidR="006974EB">
        <w:rPr>
          <w:rFonts w:asciiTheme="minorHAnsi" w:hAnsiTheme="minorHAnsi"/>
          <w:sz w:val="20"/>
          <w:szCs w:val="20"/>
        </w:rPr>
        <w:t>,</w:t>
      </w:r>
      <w:r>
        <w:rPr>
          <w:rFonts w:asciiTheme="minorHAnsi" w:hAnsiTheme="minorHAnsi"/>
          <w:sz w:val="20"/>
          <w:szCs w:val="20"/>
        </w:rPr>
        <w:t xml:space="preserve"> de forma</w:t>
      </w:r>
      <w:r w:rsidR="006974EB">
        <w:rPr>
          <w:rFonts w:asciiTheme="minorHAnsi" w:hAnsiTheme="minorHAnsi"/>
          <w:sz w:val="20"/>
          <w:szCs w:val="20"/>
        </w:rPr>
        <w:t xml:space="preserve"> transversal, sem que seja perdida a concepção integrada do conjunto.</w:t>
      </w:r>
      <w:r>
        <w:rPr>
          <w:rFonts w:asciiTheme="minorHAnsi" w:hAnsiTheme="minorHAnsi"/>
          <w:sz w:val="20"/>
          <w:szCs w:val="20"/>
        </w:rPr>
        <w:t xml:space="preserve"> </w:t>
      </w:r>
    </w:p>
    <w:sectPr w:rsidR="00692BBD" w:rsidRPr="00692BBD" w:rsidSect="00A1618D">
      <w:footerReference w:type="default" r:id="rId8"/>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FD" w:rsidRDefault="005B22FD">
      <w:pPr>
        <w:spacing w:after="0"/>
      </w:pPr>
      <w:r>
        <w:separator/>
      </w:r>
    </w:p>
  </w:endnote>
  <w:endnote w:type="continuationSeparator" w:id="0">
    <w:p w:rsidR="005B22FD" w:rsidRDefault="005B22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A7" w:rsidRDefault="002076A7" w:rsidP="00DE6BBA">
    <w:pPr>
      <w:pStyle w:val="Rodap"/>
      <w:rPr>
        <w:rFonts w:ascii="Calibri" w:hAnsi="Calibri"/>
        <w:i/>
        <w:sz w:val="18"/>
      </w:rPr>
    </w:pPr>
    <w:r w:rsidRPr="001C5A73">
      <w:rPr>
        <w:rFonts w:ascii="Calibri" w:hAnsi="Calibri"/>
        <w:i/>
        <w:sz w:val="18"/>
      </w:rPr>
      <w:t>Prof. Valdes Roberto Bollela</w:t>
    </w:r>
    <w:r w:rsidR="00DE6BBA">
      <w:rPr>
        <w:rFonts w:ascii="Calibri" w:hAnsi="Calibri"/>
        <w:i/>
        <w:sz w:val="18"/>
      </w:rPr>
      <w:t xml:space="preserve"> -</w:t>
    </w:r>
    <w:r w:rsidRPr="001C5A73">
      <w:rPr>
        <w:rFonts w:ascii="Calibri" w:hAnsi="Calibri"/>
        <w:i/>
        <w:sz w:val="18"/>
      </w:rPr>
      <w:t>FMRP-USP</w:t>
    </w:r>
  </w:p>
  <w:p w:rsidR="00E36524" w:rsidRPr="001C5A73" w:rsidRDefault="00E36524" w:rsidP="00DE6BBA">
    <w:pPr>
      <w:pStyle w:val="Rodap"/>
      <w:rPr>
        <w:rFonts w:ascii="Calibri" w:hAnsi="Calibri"/>
        <w:i/>
        <w:sz w:val="18"/>
      </w:rPr>
    </w:pPr>
    <w:r>
      <w:rPr>
        <w:rFonts w:ascii="Calibri" w:hAnsi="Calibri"/>
        <w:i/>
        <w:sz w:val="18"/>
      </w:rPr>
      <w:t>Adaptado por Marta Menezes e Lígia Vilas-Boas</w:t>
    </w:r>
    <w:r w:rsidR="00DE6BBA">
      <w:rPr>
        <w:rFonts w:ascii="Calibri" w:hAnsi="Calibri"/>
        <w:i/>
        <w:sz w:val="18"/>
      </w:rPr>
      <w:t xml:space="preserve"> - </w:t>
    </w:r>
    <w:r>
      <w:rPr>
        <w:rFonts w:ascii="Calibri" w:hAnsi="Calibri"/>
        <w:i/>
        <w:sz w:val="18"/>
      </w:rPr>
      <w:t>EBMSP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FD" w:rsidRDefault="005B22FD">
      <w:pPr>
        <w:spacing w:after="0"/>
      </w:pPr>
      <w:r>
        <w:separator/>
      </w:r>
    </w:p>
  </w:footnote>
  <w:footnote w:type="continuationSeparator" w:id="0">
    <w:p w:rsidR="005B22FD" w:rsidRDefault="005B22F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BC2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E4EEE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8720C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22029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3607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1AD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35A80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7423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B9EBC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0ED8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1F4B6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279E3"/>
    <w:multiLevelType w:val="hybridMultilevel"/>
    <w:tmpl w:val="FC446F76"/>
    <w:lvl w:ilvl="0" w:tplc="04160009">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3D5370"/>
    <w:multiLevelType w:val="hybridMultilevel"/>
    <w:tmpl w:val="BF967FA2"/>
    <w:lvl w:ilvl="0" w:tplc="F74CCBB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0751E00"/>
    <w:multiLevelType w:val="hybridMultilevel"/>
    <w:tmpl w:val="1B10A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E84E82"/>
    <w:multiLevelType w:val="hybridMultilevel"/>
    <w:tmpl w:val="54709E3C"/>
    <w:lvl w:ilvl="0" w:tplc="E0BC0D0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B2773A"/>
    <w:multiLevelType w:val="hybridMultilevel"/>
    <w:tmpl w:val="896ED8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326F3E"/>
    <w:multiLevelType w:val="hybridMultilevel"/>
    <w:tmpl w:val="CADCD436"/>
    <w:lvl w:ilvl="0" w:tplc="1328462C">
      <w:start w:val="1"/>
      <w:numFmt w:val="bullet"/>
      <w:lvlText w:val=""/>
      <w:lvlJc w:val="left"/>
      <w:pPr>
        <w:tabs>
          <w:tab w:val="num" w:pos="5892"/>
        </w:tabs>
        <w:ind w:left="5892" w:hanging="360"/>
      </w:pPr>
      <w:rPr>
        <w:rFonts w:ascii="Symbol" w:hAnsi="Symbol" w:hint="default"/>
      </w:rPr>
    </w:lvl>
    <w:lvl w:ilvl="1" w:tplc="04160003" w:tentative="1">
      <w:start w:val="1"/>
      <w:numFmt w:val="bullet"/>
      <w:lvlText w:val="o"/>
      <w:lvlJc w:val="left"/>
      <w:pPr>
        <w:tabs>
          <w:tab w:val="num" w:pos="6612"/>
        </w:tabs>
        <w:ind w:left="6612" w:hanging="360"/>
      </w:pPr>
      <w:rPr>
        <w:rFonts w:ascii="Courier New" w:hAnsi="Courier New" w:cs="Courier New" w:hint="default"/>
      </w:rPr>
    </w:lvl>
    <w:lvl w:ilvl="2" w:tplc="04160005" w:tentative="1">
      <w:start w:val="1"/>
      <w:numFmt w:val="bullet"/>
      <w:lvlText w:val=""/>
      <w:lvlJc w:val="left"/>
      <w:pPr>
        <w:tabs>
          <w:tab w:val="num" w:pos="7332"/>
        </w:tabs>
        <w:ind w:left="7332" w:hanging="360"/>
      </w:pPr>
      <w:rPr>
        <w:rFonts w:ascii="Wingdings" w:hAnsi="Wingdings" w:hint="default"/>
      </w:rPr>
    </w:lvl>
    <w:lvl w:ilvl="3" w:tplc="04160001" w:tentative="1">
      <w:start w:val="1"/>
      <w:numFmt w:val="bullet"/>
      <w:lvlText w:val=""/>
      <w:lvlJc w:val="left"/>
      <w:pPr>
        <w:tabs>
          <w:tab w:val="num" w:pos="8052"/>
        </w:tabs>
        <w:ind w:left="8052" w:hanging="360"/>
      </w:pPr>
      <w:rPr>
        <w:rFonts w:ascii="Symbol" w:hAnsi="Symbol" w:hint="default"/>
      </w:rPr>
    </w:lvl>
    <w:lvl w:ilvl="4" w:tplc="04160003" w:tentative="1">
      <w:start w:val="1"/>
      <w:numFmt w:val="bullet"/>
      <w:lvlText w:val="o"/>
      <w:lvlJc w:val="left"/>
      <w:pPr>
        <w:tabs>
          <w:tab w:val="num" w:pos="8772"/>
        </w:tabs>
        <w:ind w:left="8772" w:hanging="360"/>
      </w:pPr>
      <w:rPr>
        <w:rFonts w:ascii="Courier New" w:hAnsi="Courier New" w:cs="Courier New" w:hint="default"/>
      </w:rPr>
    </w:lvl>
    <w:lvl w:ilvl="5" w:tplc="04160005" w:tentative="1">
      <w:start w:val="1"/>
      <w:numFmt w:val="bullet"/>
      <w:lvlText w:val=""/>
      <w:lvlJc w:val="left"/>
      <w:pPr>
        <w:tabs>
          <w:tab w:val="num" w:pos="9492"/>
        </w:tabs>
        <w:ind w:left="9492" w:hanging="360"/>
      </w:pPr>
      <w:rPr>
        <w:rFonts w:ascii="Wingdings" w:hAnsi="Wingdings" w:hint="default"/>
      </w:rPr>
    </w:lvl>
    <w:lvl w:ilvl="6" w:tplc="04160001" w:tentative="1">
      <w:start w:val="1"/>
      <w:numFmt w:val="bullet"/>
      <w:lvlText w:val=""/>
      <w:lvlJc w:val="left"/>
      <w:pPr>
        <w:tabs>
          <w:tab w:val="num" w:pos="10212"/>
        </w:tabs>
        <w:ind w:left="10212" w:hanging="360"/>
      </w:pPr>
      <w:rPr>
        <w:rFonts w:ascii="Symbol" w:hAnsi="Symbol" w:hint="default"/>
      </w:rPr>
    </w:lvl>
    <w:lvl w:ilvl="7" w:tplc="04160003" w:tentative="1">
      <w:start w:val="1"/>
      <w:numFmt w:val="bullet"/>
      <w:lvlText w:val="o"/>
      <w:lvlJc w:val="left"/>
      <w:pPr>
        <w:tabs>
          <w:tab w:val="num" w:pos="10932"/>
        </w:tabs>
        <w:ind w:left="10932" w:hanging="360"/>
      </w:pPr>
      <w:rPr>
        <w:rFonts w:ascii="Courier New" w:hAnsi="Courier New" w:cs="Courier New" w:hint="default"/>
      </w:rPr>
    </w:lvl>
    <w:lvl w:ilvl="8" w:tplc="04160005" w:tentative="1">
      <w:start w:val="1"/>
      <w:numFmt w:val="bullet"/>
      <w:lvlText w:val=""/>
      <w:lvlJc w:val="left"/>
      <w:pPr>
        <w:tabs>
          <w:tab w:val="num" w:pos="11652"/>
        </w:tabs>
        <w:ind w:left="11652" w:hanging="360"/>
      </w:pPr>
      <w:rPr>
        <w:rFonts w:ascii="Wingdings" w:hAnsi="Wingdings" w:hint="default"/>
      </w:rPr>
    </w:lvl>
  </w:abstractNum>
  <w:abstractNum w:abstractNumId="17" w15:restartNumberingAfterBreak="0">
    <w:nsid w:val="2BA47594"/>
    <w:multiLevelType w:val="hybridMultilevel"/>
    <w:tmpl w:val="17CEBD72"/>
    <w:lvl w:ilvl="0" w:tplc="1328462C">
      <w:start w:val="1"/>
      <w:numFmt w:val="bullet"/>
      <w:lvlText w:val=""/>
      <w:lvlJc w:val="left"/>
      <w:pPr>
        <w:tabs>
          <w:tab w:val="num" w:pos="888"/>
        </w:tabs>
        <w:ind w:left="888" w:hanging="360"/>
      </w:pPr>
      <w:rPr>
        <w:rFonts w:ascii="Symbol" w:hAnsi="Symbol" w:hint="default"/>
      </w:rPr>
    </w:lvl>
    <w:lvl w:ilvl="1" w:tplc="04160019" w:tentative="1">
      <w:start w:val="1"/>
      <w:numFmt w:val="lowerLetter"/>
      <w:lvlText w:val="%2."/>
      <w:lvlJc w:val="left"/>
      <w:pPr>
        <w:tabs>
          <w:tab w:val="num" w:pos="-3582"/>
        </w:tabs>
        <w:ind w:left="-3582" w:hanging="360"/>
      </w:pPr>
    </w:lvl>
    <w:lvl w:ilvl="2" w:tplc="0416001B" w:tentative="1">
      <w:start w:val="1"/>
      <w:numFmt w:val="lowerRoman"/>
      <w:lvlText w:val="%3."/>
      <w:lvlJc w:val="right"/>
      <w:pPr>
        <w:tabs>
          <w:tab w:val="num" w:pos="-2862"/>
        </w:tabs>
        <w:ind w:left="-2862" w:hanging="180"/>
      </w:pPr>
    </w:lvl>
    <w:lvl w:ilvl="3" w:tplc="0416000F" w:tentative="1">
      <w:start w:val="1"/>
      <w:numFmt w:val="decimal"/>
      <w:lvlText w:val="%4."/>
      <w:lvlJc w:val="left"/>
      <w:pPr>
        <w:tabs>
          <w:tab w:val="num" w:pos="-2142"/>
        </w:tabs>
        <w:ind w:left="-2142" w:hanging="360"/>
      </w:pPr>
    </w:lvl>
    <w:lvl w:ilvl="4" w:tplc="04160019" w:tentative="1">
      <w:start w:val="1"/>
      <w:numFmt w:val="lowerLetter"/>
      <w:lvlText w:val="%5."/>
      <w:lvlJc w:val="left"/>
      <w:pPr>
        <w:tabs>
          <w:tab w:val="num" w:pos="-1422"/>
        </w:tabs>
        <w:ind w:left="-1422" w:hanging="360"/>
      </w:pPr>
    </w:lvl>
    <w:lvl w:ilvl="5" w:tplc="0416001B" w:tentative="1">
      <w:start w:val="1"/>
      <w:numFmt w:val="lowerRoman"/>
      <w:lvlText w:val="%6."/>
      <w:lvlJc w:val="right"/>
      <w:pPr>
        <w:tabs>
          <w:tab w:val="num" w:pos="-702"/>
        </w:tabs>
        <w:ind w:left="-702" w:hanging="180"/>
      </w:pPr>
    </w:lvl>
    <w:lvl w:ilvl="6" w:tplc="0416000F" w:tentative="1">
      <w:start w:val="1"/>
      <w:numFmt w:val="decimal"/>
      <w:lvlText w:val="%7."/>
      <w:lvlJc w:val="left"/>
      <w:pPr>
        <w:tabs>
          <w:tab w:val="num" w:pos="18"/>
        </w:tabs>
        <w:ind w:left="18" w:hanging="360"/>
      </w:pPr>
    </w:lvl>
    <w:lvl w:ilvl="7" w:tplc="04160019" w:tentative="1">
      <w:start w:val="1"/>
      <w:numFmt w:val="lowerLetter"/>
      <w:lvlText w:val="%8."/>
      <w:lvlJc w:val="left"/>
      <w:pPr>
        <w:tabs>
          <w:tab w:val="num" w:pos="738"/>
        </w:tabs>
        <w:ind w:left="738" w:hanging="360"/>
      </w:pPr>
    </w:lvl>
    <w:lvl w:ilvl="8" w:tplc="0416001B" w:tentative="1">
      <w:start w:val="1"/>
      <w:numFmt w:val="lowerRoman"/>
      <w:lvlText w:val="%9."/>
      <w:lvlJc w:val="right"/>
      <w:pPr>
        <w:tabs>
          <w:tab w:val="num" w:pos="1458"/>
        </w:tabs>
        <w:ind w:left="1458" w:hanging="180"/>
      </w:pPr>
    </w:lvl>
  </w:abstractNum>
  <w:abstractNum w:abstractNumId="18" w15:restartNumberingAfterBreak="0">
    <w:nsid w:val="63B612CD"/>
    <w:multiLevelType w:val="hybridMultilevel"/>
    <w:tmpl w:val="CB202EEC"/>
    <w:lvl w:ilvl="0" w:tplc="1328462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D80E44"/>
    <w:multiLevelType w:val="hybridMultilevel"/>
    <w:tmpl w:val="DD62A70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F1A6418"/>
    <w:multiLevelType w:val="hybridMultilevel"/>
    <w:tmpl w:val="7CFC3240"/>
    <w:lvl w:ilvl="0" w:tplc="F74CCBB0">
      <w:start w:val="1"/>
      <w:numFmt w:val="upperRoman"/>
      <w:lvlText w:val="%1."/>
      <w:lvlJc w:val="left"/>
      <w:pPr>
        <w:tabs>
          <w:tab w:val="num" w:pos="1450"/>
        </w:tabs>
        <w:ind w:left="1450" w:hanging="720"/>
      </w:pPr>
      <w:rPr>
        <w:rFonts w:hint="default"/>
      </w:rPr>
    </w:lvl>
    <w:lvl w:ilvl="1" w:tplc="04160019" w:tentative="1">
      <w:start w:val="1"/>
      <w:numFmt w:val="lowerLetter"/>
      <w:lvlText w:val="%2."/>
      <w:lvlJc w:val="left"/>
      <w:pPr>
        <w:tabs>
          <w:tab w:val="num" w:pos="1810"/>
        </w:tabs>
        <w:ind w:left="1810" w:hanging="360"/>
      </w:pPr>
    </w:lvl>
    <w:lvl w:ilvl="2" w:tplc="0416001B" w:tentative="1">
      <w:start w:val="1"/>
      <w:numFmt w:val="lowerRoman"/>
      <w:lvlText w:val="%3."/>
      <w:lvlJc w:val="right"/>
      <w:pPr>
        <w:tabs>
          <w:tab w:val="num" w:pos="2530"/>
        </w:tabs>
        <w:ind w:left="2530" w:hanging="180"/>
      </w:pPr>
    </w:lvl>
    <w:lvl w:ilvl="3" w:tplc="0416000F" w:tentative="1">
      <w:start w:val="1"/>
      <w:numFmt w:val="decimal"/>
      <w:lvlText w:val="%4."/>
      <w:lvlJc w:val="left"/>
      <w:pPr>
        <w:tabs>
          <w:tab w:val="num" w:pos="3250"/>
        </w:tabs>
        <w:ind w:left="3250" w:hanging="360"/>
      </w:pPr>
    </w:lvl>
    <w:lvl w:ilvl="4" w:tplc="04160019" w:tentative="1">
      <w:start w:val="1"/>
      <w:numFmt w:val="lowerLetter"/>
      <w:lvlText w:val="%5."/>
      <w:lvlJc w:val="left"/>
      <w:pPr>
        <w:tabs>
          <w:tab w:val="num" w:pos="3970"/>
        </w:tabs>
        <w:ind w:left="3970" w:hanging="360"/>
      </w:pPr>
    </w:lvl>
    <w:lvl w:ilvl="5" w:tplc="0416001B" w:tentative="1">
      <w:start w:val="1"/>
      <w:numFmt w:val="lowerRoman"/>
      <w:lvlText w:val="%6."/>
      <w:lvlJc w:val="right"/>
      <w:pPr>
        <w:tabs>
          <w:tab w:val="num" w:pos="4690"/>
        </w:tabs>
        <w:ind w:left="4690" w:hanging="180"/>
      </w:pPr>
    </w:lvl>
    <w:lvl w:ilvl="6" w:tplc="0416000F" w:tentative="1">
      <w:start w:val="1"/>
      <w:numFmt w:val="decimal"/>
      <w:lvlText w:val="%7."/>
      <w:lvlJc w:val="left"/>
      <w:pPr>
        <w:tabs>
          <w:tab w:val="num" w:pos="5410"/>
        </w:tabs>
        <w:ind w:left="5410" w:hanging="360"/>
      </w:pPr>
    </w:lvl>
    <w:lvl w:ilvl="7" w:tplc="04160019" w:tentative="1">
      <w:start w:val="1"/>
      <w:numFmt w:val="lowerLetter"/>
      <w:lvlText w:val="%8."/>
      <w:lvlJc w:val="left"/>
      <w:pPr>
        <w:tabs>
          <w:tab w:val="num" w:pos="6130"/>
        </w:tabs>
        <w:ind w:left="6130" w:hanging="360"/>
      </w:pPr>
    </w:lvl>
    <w:lvl w:ilvl="8" w:tplc="0416001B" w:tentative="1">
      <w:start w:val="1"/>
      <w:numFmt w:val="lowerRoman"/>
      <w:lvlText w:val="%9."/>
      <w:lvlJc w:val="right"/>
      <w:pPr>
        <w:tabs>
          <w:tab w:val="num" w:pos="6850"/>
        </w:tabs>
        <w:ind w:left="685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2"/>
  </w:num>
  <w:num w:numId="15">
    <w:abstractNumId w:val="20"/>
  </w:num>
  <w:num w:numId="16">
    <w:abstractNumId w:val="16"/>
  </w:num>
  <w:num w:numId="17">
    <w:abstractNumId w:val="17"/>
  </w:num>
  <w:num w:numId="18">
    <w:abstractNumId w:val="19"/>
  </w:num>
  <w:num w:numId="19">
    <w:abstractNumId w:val="14"/>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69"/>
    <w:rsid w:val="00016061"/>
    <w:rsid w:val="0003002D"/>
    <w:rsid w:val="00035838"/>
    <w:rsid w:val="000449DC"/>
    <w:rsid w:val="000519B9"/>
    <w:rsid w:val="00053059"/>
    <w:rsid w:val="00073084"/>
    <w:rsid w:val="000A2D6D"/>
    <w:rsid w:val="000B69A6"/>
    <w:rsid w:val="000C5853"/>
    <w:rsid w:val="000D1B12"/>
    <w:rsid w:val="000D7524"/>
    <w:rsid w:val="000D78C3"/>
    <w:rsid w:val="000E733C"/>
    <w:rsid w:val="000F73F1"/>
    <w:rsid w:val="00117F0F"/>
    <w:rsid w:val="00136368"/>
    <w:rsid w:val="00163BB9"/>
    <w:rsid w:val="001833E8"/>
    <w:rsid w:val="001A6D48"/>
    <w:rsid w:val="001C5A73"/>
    <w:rsid w:val="001E191C"/>
    <w:rsid w:val="001E1DA9"/>
    <w:rsid w:val="001F1547"/>
    <w:rsid w:val="001F3E8C"/>
    <w:rsid w:val="00202C64"/>
    <w:rsid w:val="002076A7"/>
    <w:rsid w:val="0022615F"/>
    <w:rsid w:val="00247DD0"/>
    <w:rsid w:val="002554B5"/>
    <w:rsid w:val="0025761C"/>
    <w:rsid w:val="00263939"/>
    <w:rsid w:val="00266029"/>
    <w:rsid w:val="00275060"/>
    <w:rsid w:val="002811A5"/>
    <w:rsid w:val="00291C6D"/>
    <w:rsid w:val="002967E1"/>
    <w:rsid w:val="002B05E4"/>
    <w:rsid w:val="002B2D18"/>
    <w:rsid w:val="002B6FB6"/>
    <w:rsid w:val="002D1AA6"/>
    <w:rsid w:val="003219DD"/>
    <w:rsid w:val="00375A59"/>
    <w:rsid w:val="003902B8"/>
    <w:rsid w:val="003B15B2"/>
    <w:rsid w:val="003C32AD"/>
    <w:rsid w:val="003C429C"/>
    <w:rsid w:val="003E2811"/>
    <w:rsid w:val="003E6ADB"/>
    <w:rsid w:val="00416700"/>
    <w:rsid w:val="004200B2"/>
    <w:rsid w:val="00435FFD"/>
    <w:rsid w:val="00452263"/>
    <w:rsid w:val="00466192"/>
    <w:rsid w:val="0048041F"/>
    <w:rsid w:val="00484E89"/>
    <w:rsid w:val="00485B17"/>
    <w:rsid w:val="0049697D"/>
    <w:rsid w:val="004A5DBA"/>
    <w:rsid w:val="004B34DA"/>
    <w:rsid w:val="004C0A5F"/>
    <w:rsid w:val="004D3818"/>
    <w:rsid w:val="004F5C26"/>
    <w:rsid w:val="00500085"/>
    <w:rsid w:val="00506C57"/>
    <w:rsid w:val="00515496"/>
    <w:rsid w:val="00521810"/>
    <w:rsid w:val="005412A2"/>
    <w:rsid w:val="00574889"/>
    <w:rsid w:val="00581D78"/>
    <w:rsid w:val="005B22FD"/>
    <w:rsid w:val="005B7D19"/>
    <w:rsid w:val="005C6DA7"/>
    <w:rsid w:val="005D1AA8"/>
    <w:rsid w:val="005F1240"/>
    <w:rsid w:val="005F211A"/>
    <w:rsid w:val="0062479A"/>
    <w:rsid w:val="00657B7B"/>
    <w:rsid w:val="0066778C"/>
    <w:rsid w:val="0067597B"/>
    <w:rsid w:val="00682FB9"/>
    <w:rsid w:val="00684539"/>
    <w:rsid w:val="00692BBD"/>
    <w:rsid w:val="006974EB"/>
    <w:rsid w:val="006A4368"/>
    <w:rsid w:val="006D7E47"/>
    <w:rsid w:val="006E532A"/>
    <w:rsid w:val="006F7176"/>
    <w:rsid w:val="007157BF"/>
    <w:rsid w:val="00725373"/>
    <w:rsid w:val="007447C9"/>
    <w:rsid w:val="00762AED"/>
    <w:rsid w:val="00795CA9"/>
    <w:rsid w:val="007978C3"/>
    <w:rsid w:val="007A4F26"/>
    <w:rsid w:val="007A7274"/>
    <w:rsid w:val="007B0FC0"/>
    <w:rsid w:val="007E2D56"/>
    <w:rsid w:val="007F72D7"/>
    <w:rsid w:val="007F7A22"/>
    <w:rsid w:val="0081063B"/>
    <w:rsid w:val="00811B19"/>
    <w:rsid w:val="00814673"/>
    <w:rsid w:val="00820E9C"/>
    <w:rsid w:val="00830987"/>
    <w:rsid w:val="008365AB"/>
    <w:rsid w:val="008422F9"/>
    <w:rsid w:val="00873078"/>
    <w:rsid w:val="008D1344"/>
    <w:rsid w:val="008E381B"/>
    <w:rsid w:val="008E71CD"/>
    <w:rsid w:val="008F445A"/>
    <w:rsid w:val="00905AE3"/>
    <w:rsid w:val="009076E7"/>
    <w:rsid w:val="009432CB"/>
    <w:rsid w:val="00980FFA"/>
    <w:rsid w:val="009829C8"/>
    <w:rsid w:val="009C3BCB"/>
    <w:rsid w:val="009D110B"/>
    <w:rsid w:val="009E09EA"/>
    <w:rsid w:val="00A03BB3"/>
    <w:rsid w:val="00A05270"/>
    <w:rsid w:val="00A153A4"/>
    <w:rsid w:val="00A1618D"/>
    <w:rsid w:val="00A36DB6"/>
    <w:rsid w:val="00A46242"/>
    <w:rsid w:val="00A57328"/>
    <w:rsid w:val="00A6428C"/>
    <w:rsid w:val="00A6613A"/>
    <w:rsid w:val="00A76D24"/>
    <w:rsid w:val="00A91A34"/>
    <w:rsid w:val="00A924CE"/>
    <w:rsid w:val="00A94399"/>
    <w:rsid w:val="00AA3CC6"/>
    <w:rsid w:val="00AD7FC2"/>
    <w:rsid w:val="00AF6A42"/>
    <w:rsid w:val="00B20061"/>
    <w:rsid w:val="00B25185"/>
    <w:rsid w:val="00B25EEA"/>
    <w:rsid w:val="00B3146B"/>
    <w:rsid w:val="00B34997"/>
    <w:rsid w:val="00B35097"/>
    <w:rsid w:val="00B35523"/>
    <w:rsid w:val="00B3780A"/>
    <w:rsid w:val="00B81791"/>
    <w:rsid w:val="00B840BD"/>
    <w:rsid w:val="00B868AE"/>
    <w:rsid w:val="00BE3DF0"/>
    <w:rsid w:val="00BF4BAC"/>
    <w:rsid w:val="00C367C8"/>
    <w:rsid w:val="00C459D0"/>
    <w:rsid w:val="00C52C52"/>
    <w:rsid w:val="00C6032C"/>
    <w:rsid w:val="00C770CB"/>
    <w:rsid w:val="00C92201"/>
    <w:rsid w:val="00C94DC3"/>
    <w:rsid w:val="00CA2F52"/>
    <w:rsid w:val="00CA329A"/>
    <w:rsid w:val="00CA6902"/>
    <w:rsid w:val="00CA7DF8"/>
    <w:rsid w:val="00CB379A"/>
    <w:rsid w:val="00CB5DA8"/>
    <w:rsid w:val="00CD3CB2"/>
    <w:rsid w:val="00CE5575"/>
    <w:rsid w:val="00CF5490"/>
    <w:rsid w:val="00D11B9F"/>
    <w:rsid w:val="00D310D4"/>
    <w:rsid w:val="00D51DA9"/>
    <w:rsid w:val="00D575C5"/>
    <w:rsid w:val="00D756CA"/>
    <w:rsid w:val="00D8295D"/>
    <w:rsid w:val="00D83C38"/>
    <w:rsid w:val="00D92669"/>
    <w:rsid w:val="00DE6BBA"/>
    <w:rsid w:val="00DF3528"/>
    <w:rsid w:val="00E05869"/>
    <w:rsid w:val="00E06621"/>
    <w:rsid w:val="00E10EA5"/>
    <w:rsid w:val="00E11F08"/>
    <w:rsid w:val="00E21D32"/>
    <w:rsid w:val="00E32FB9"/>
    <w:rsid w:val="00E36524"/>
    <w:rsid w:val="00E42CCC"/>
    <w:rsid w:val="00E43841"/>
    <w:rsid w:val="00E62172"/>
    <w:rsid w:val="00EA7CCC"/>
    <w:rsid w:val="00EB3141"/>
    <w:rsid w:val="00EB73DD"/>
    <w:rsid w:val="00EC1F7E"/>
    <w:rsid w:val="00EC6D95"/>
    <w:rsid w:val="00ED4DE4"/>
    <w:rsid w:val="00EE38E9"/>
    <w:rsid w:val="00EF4D5E"/>
    <w:rsid w:val="00F07F09"/>
    <w:rsid w:val="00F13D2A"/>
    <w:rsid w:val="00F5094D"/>
    <w:rsid w:val="00F76D9B"/>
    <w:rsid w:val="00FB0748"/>
    <w:rsid w:val="00FB1DE1"/>
    <w:rsid w:val="00FC2E69"/>
    <w:rsid w:val="00FD6E05"/>
    <w:rsid w:val="00FE54AF"/>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5:docId w15:val="{6774562D-8084-4801-8D09-7C630600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23"/>
    <w:pPr>
      <w:spacing w:after="200"/>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2E69"/>
    <w:pPr>
      <w:tabs>
        <w:tab w:val="center" w:pos="4320"/>
        <w:tab w:val="right" w:pos="8640"/>
      </w:tabs>
      <w:spacing w:after="0"/>
    </w:pPr>
    <w:rPr>
      <w:sz w:val="20"/>
      <w:szCs w:val="20"/>
    </w:rPr>
  </w:style>
  <w:style w:type="character" w:customStyle="1" w:styleId="CabealhoChar">
    <w:name w:val="Cabeçalho Char"/>
    <w:link w:val="Cabealho"/>
    <w:uiPriority w:val="99"/>
    <w:rsid w:val="00FC2E69"/>
    <w:rPr>
      <w:lang w:val="pt-BR"/>
    </w:rPr>
  </w:style>
  <w:style w:type="paragraph" w:styleId="Rodap">
    <w:name w:val="footer"/>
    <w:basedOn w:val="Normal"/>
    <w:link w:val="RodapChar"/>
    <w:uiPriority w:val="99"/>
    <w:unhideWhenUsed/>
    <w:rsid w:val="00FC2E69"/>
    <w:pPr>
      <w:tabs>
        <w:tab w:val="center" w:pos="4320"/>
        <w:tab w:val="right" w:pos="8640"/>
      </w:tabs>
      <w:spacing w:after="0"/>
    </w:pPr>
    <w:rPr>
      <w:sz w:val="20"/>
      <w:szCs w:val="20"/>
    </w:rPr>
  </w:style>
  <w:style w:type="character" w:customStyle="1" w:styleId="RodapChar">
    <w:name w:val="Rodapé Char"/>
    <w:link w:val="Rodap"/>
    <w:uiPriority w:val="99"/>
    <w:rsid w:val="00FC2E69"/>
    <w:rPr>
      <w:lang w:val="pt-BR"/>
    </w:rPr>
  </w:style>
  <w:style w:type="paragraph" w:customStyle="1" w:styleId="ListParagraph1">
    <w:name w:val="List Paragraph1"/>
    <w:basedOn w:val="Normal"/>
    <w:uiPriority w:val="34"/>
    <w:qFormat/>
    <w:rsid w:val="00820E9C"/>
    <w:pPr>
      <w:spacing w:line="276" w:lineRule="auto"/>
      <w:ind w:left="720"/>
      <w:contextualSpacing/>
    </w:pPr>
    <w:rPr>
      <w:rFonts w:ascii="Calibri" w:eastAsia="Calibri" w:hAnsi="Calibri"/>
      <w:sz w:val="22"/>
      <w:szCs w:val="22"/>
    </w:rPr>
  </w:style>
  <w:style w:type="table" w:styleId="Tabelacomgrade">
    <w:name w:val="Table Grid"/>
    <w:basedOn w:val="Tabelanormal"/>
    <w:uiPriority w:val="59"/>
    <w:rsid w:val="0072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4F26"/>
    <w:pPr>
      <w:spacing w:before="100" w:beforeAutospacing="1" w:after="100" w:afterAutospacing="1"/>
    </w:pPr>
    <w:rPr>
      <w:rFonts w:ascii="Arial Unicode MS" w:eastAsia="Arial Unicode MS" w:hAnsi="Arial Unicode MS" w:cs="Arial Unicode MS"/>
      <w:lang w:eastAsia="pt-BR"/>
    </w:rPr>
  </w:style>
  <w:style w:type="paragraph" w:styleId="PargrafodaLista">
    <w:name w:val="List Paragraph"/>
    <w:basedOn w:val="Normal"/>
    <w:qFormat/>
    <w:rsid w:val="007A4F26"/>
    <w:pPr>
      <w:spacing w:line="276" w:lineRule="auto"/>
      <w:ind w:left="720"/>
      <w:contextualSpacing/>
    </w:pPr>
    <w:rPr>
      <w:rFonts w:ascii="Calibri" w:eastAsia="Calibri" w:hAnsi="Calibri"/>
      <w:sz w:val="22"/>
      <w:szCs w:val="22"/>
      <w:lang w:val="en-US"/>
    </w:rPr>
  </w:style>
  <w:style w:type="paragraph" w:styleId="Recuodecorpodetexto">
    <w:name w:val="Body Text Indent"/>
    <w:basedOn w:val="Normal"/>
    <w:link w:val="RecuodecorpodetextoChar"/>
    <w:rsid w:val="007A4F26"/>
    <w:pPr>
      <w:autoSpaceDE w:val="0"/>
      <w:autoSpaceDN w:val="0"/>
      <w:adjustRightInd w:val="0"/>
      <w:spacing w:after="0"/>
      <w:ind w:left="360"/>
      <w:jc w:val="both"/>
    </w:pPr>
    <w:rPr>
      <w:rFonts w:ascii="Times New Roman" w:eastAsia="SimSun" w:hAnsi="Times New Roman"/>
      <w:iCs/>
      <w:lang w:eastAsia="zh-CN"/>
    </w:rPr>
  </w:style>
  <w:style w:type="character" w:customStyle="1" w:styleId="RecuodecorpodetextoChar">
    <w:name w:val="Recuo de corpo de texto Char"/>
    <w:basedOn w:val="Fontepargpadro"/>
    <w:link w:val="Recuodecorpodetexto"/>
    <w:rsid w:val="007A4F26"/>
    <w:rPr>
      <w:rFonts w:ascii="Times New Roman" w:eastAsia="SimSun" w:hAnsi="Times New Roman"/>
      <w:iCs/>
      <w:sz w:val="24"/>
      <w:szCs w:val="24"/>
      <w:lang w:eastAsia="zh-CN"/>
    </w:rPr>
  </w:style>
  <w:style w:type="character" w:styleId="Forte">
    <w:name w:val="Strong"/>
    <w:basedOn w:val="Fontepargpadro"/>
    <w:qFormat/>
    <w:rsid w:val="007A4F26"/>
    <w:rPr>
      <w:b/>
      <w:bCs/>
    </w:rPr>
  </w:style>
  <w:style w:type="paragraph" w:styleId="Textodenotadefim">
    <w:name w:val="endnote text"/>
    <w:basedOn w:val="Normal"/>
    <w:link w:val="TextodenotadefimChar"/>
    <w:semiHidden/>
    <w:rsid w:val="007A4F26"/>
    <w:pPr>
      <w:spacing w:after="0"/>
    </w:pPr>
    <w:rPr>
      <w:rFonts w:ascii="Bookman Old Style" w:eastAsia="Times New Roman" w:hAnsi="Bookman Old Style"/>
      <w:sz w:val="20"/>
      <w:szCs w:val="20"/>
      <w:lang w:val="en-GB"/>
    </w:rPr>
  </w:style>
  <w:style w:type="character" w:customStyle="1" w:styleId="TextodenotadefimChar">
    <w:name w:val="Texto de nota de fim Char"/>
    <w:basedOn w:val="Fontepargpadro"/>
    <w:link w:val="Textodenotadefim"/>
    <w:semiHidden/>
    <w:rsid w:val="007A4F26"/>
    <w:rPr>
      <w:rFonts w:ascii="Bookman Old Style" w:eastAsia="Times New Roman" w:hAnsi="Bookman Old Style"/>
      <w:lang w:val="en-GB" w:eastAsia="en-US"/>
    </w:rPr>
  </w:style>
  <w:style w:type="character" w:styleId="Refdecomentrio">
    <w:name w:val="annotation reference"/>
    <w:basedOn w:val="Fontepargpadro"/>
    <w:uiPriority w:val="99"/>
    <w:semiHidden/>
    <w:unhideWhenUsed/>
    <w:rsid w:val="00CA6902"/>
    <w:rPr>
      <w:sz w:val="16"/>
      <w:szCs w:val="16"/>
    </w:rPr>
  </w:style>
  <w:style w:type="paragraph" w:styleId="Textodecomentrio">
    <w:name w:val="annotation text"/>
    <w:basedOn w:val="Normal"/>
    <w:link w:val="TextodecomentrioChar"/>
    <w:uiPriority w:val="99"/>
    <w:semiHidden/>
    <w:unhideWhenUsed/>
    <w:rsid w:val="00CA6902"/>
    <w:rPr>
      <w:sz w:val="20"/>
      <w:szCs w:val="20"/>
    </w:rPr>
  </w:style>
  <w:style w:type="character" w:customStyle="1" w:styleId="TextodecomentrioChar">
    <w:name w:val="Texto de comentário Char"/>
    <w:basedOn w:val="Fontepargpadro"/>
    <w:link w:val="Textodecomentrio"/>
    <w:uiPriority w:val="99"/>
    <w:semiHidden/>
    <w:rsid w:val="00CA6902"/>
    <w:rPr>
      <w:lang w:eastAsia="en-US"/>
    </w:rPr>
  </w:style>
  <w:style w:type="paragraph" w:styleId="Assuntodocomentrio">
    <w:name w:val="annotation subject"/>
    <w:basedOn w:val="Textodecomentrio"/>
    <w:next w:val="Textodecomentrio"/>
    <w:link w:val="AssuntodocomentrioChar"/>
    <w:uiPriority w:val="99"/>
    <w:semiHidden/>
    <w:unhideWhenUsed/>
    <w:rsid w:val="00CA6902"/>
    <w:rPr>
      <w:b/>
      <w:bCs/>
    </w:rPr>
  </w:style>
  <w:style w:type="character" w:customStyle="1" w:styleId="AssuntodocomentrioChar">
    <w:name w:val="Assunto do comentário Char"/>
    <w:basedOn w:val="TextodecomentrioChar"/>
    <w:link w:val="Assuntodocomentrio"/>
    <w:uiPriority w:val="99"/>
    <w:semiHidden/>
    <w:rsid w:val="00CA6902"/>
    <w:rPr>
      <w:b/>
      <w:bCs/>
      <w:lang w:eastAsia="en-US"/>
    </w:rPr>
  </w:style>
  <w:style w:type="paragraph" w:styleId="Textodebalo">
    <w:name w:val="Balloon Text"/>
    <w:basedOn w:val="Normal"/>
    <w:link w:val="TextodebaloChar"/>
    <w:uiPriority w:val="99"/>
    <w:semiHidden/>
    <w:unhideWhenUsed/>
    <w:rsid w:val="00CA6902"/>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CA69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0304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413A-F438-499C-933F-C9B3D0DA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1740</Words>
  <Characters>9397</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Imac</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Carla da Silva Santos</cp:lastModifiedBy>
  <cp:revision>2</cp:revision>
  <cp:lastPrinted>2012-09-06T13:08:00Z</cp:lastPrinted>
  <dcterms:created xsi:type="dcterms:W3CDTF">2018-08-27T11:15:00Z</dcterms:created>
  <dcterms:modified xsi:type="dcterms:W3CDTF">2018-08-27T11:15:00Z</dcterms:modified>
</cp:coreProperties>
</file>